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png" ContentType="image/png"/>
  <Override PartName="/word/media/image3.jpeg" ContentType="image/jpeg"/>
  <Override PartName="/word/media/image2.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___________________________</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6,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0-25346 </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48"/>
        </w:rPr>
      </w:pPr>
      <w:r>
        <w:rPr>
          <w:rFonts w:ascii="Times New Roman;serif" w:hAnsi="Times New Roman;serif"/>
          <w:b/>
          <w:color w:val="000000"/>
          <w:sz w:val="48"/>
        </w:rPr>
        <w:t xml:space="preserve">ACI WORLDWIDE, INC. </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7972" w:type="dxa"/>
        <w:jc w:val="center"/>
        <w:tblInd w:w="0" w:type="dxa"/>
        <w:tblLayout w:type="fixed"/>
        <w:tblCellMar>
          <w:top w:w="28" w:type="dxa"/>
          <w:left w:w="28" w:type="dxa"/>
          <w:bottom w:w="28" w:type="dxa"/>
          <w:right w:w="28" w:type="dxa"/>
        </w:tblCellMar>
      </w:tblPr>
      <w:tblGrid>
        <w:gridCol w:w="691"/>
        <w:gridCol w:w="607"/>
        <w:gridCol w:w="607"/>
        <w:gridCol w:w="498"/>
        <w:gridCol w:w="498"/>
        <w:gridCol w:w="498"/>
        <w:gridCol w:w="498"/>
        <w:gridCol w:w="498"/>
        <w:gridCol w:w="506"/>
        <w:gridCol w:w="109"/>
        <w:gridCol w:w="109"/>
        <w:gridCol w:w="109"/>
        <w:gridCol w:w="801"/>
        <w:gridCol w:w="801"/>
        <w:gridCol w:w="1142"/>
      </w:tblGrid>
      <w:tr>
        <w:trPr/>
        <w:tc>
          <w:tcPr>
            <w:tcW w:w="6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47-0772104</w:t>
            </w:r>
          </w:p>
        </w:tc>
      </w:tr>
      <w:tr>
        <w:trPr/>
        <w:tc>
          <w:tcPr>
            <w:tcW w:w="4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6060 Coventry Drive</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Elkhorn,</w:t>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Nebraska</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68022</w:t>
            </w:r>
          </w:p>
        </w:tc>
      </w:tr>
      <w:tr>
        <w:trPr/>
        <w:tc>
          <w:tcPr>
            <w:tcW w:w="4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(402) 390-7600 </w:t>
      </w:r>
    </w:p>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347" w:type="dxa"/>
        <w:jc w:val="center"/>
        <w:tblInd w:w="0" w:type="dxa"/>
        <w:tblLayout w:type="fixed"/>
        <w:tblCellMar>
          <w:top w:w="28" w:type="dxa"/>
          <w:left w:w="28" w:type="dxa"/>
          <w:bottom w:w="28" w:type="dxa"/>
          <w:right w:w="28" w:type="dxa"/>
        </w:tblCellMar>
      </w:tblPr>
      <w:tblGrid>
        <w:gridCol w:w="1057"/>
        <w:gridCol w:w="927"/>
        <w:gridCol w:w="940"/>
        <w:gridCol w:w="109"/>
        <w:gridCol w:w="109"/>
        <w:gridCol w:w="109"/>
        <w:gridCol w:w="484"/>
        <w:gridCol w:w="484"/>
        <w:gridCol w:w="486"/>
        <w:gridCol w:w="109"/>
        <w:gridCol w:w="109"/>
        <w:gridCol w:w="109"/>
        <w:gridCol w:w="971"/>
        <w:gridCol w:w="971"/>
        <w:gridCol w:w="1373"/>
      </w:tblGrid>
      <w:tr>
        <w:trPr/>
        <w:tc>
          <w:tcPr>
            <w:tcW w:w="105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231F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2.02. Results of Operation and Financial Condition</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6, 2026, the Company issued a press release announcing its financial results for the three months ended June 30, 2026. A copy of this press release is attached hereto as Exhibit 99.1.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information (including the exhibits hereto) is being furnished under “Item 2.02 – Results of Operations and Financial Condition” and “Item 7.01 – Regulation FD Disclosure.” Such information (including the exhibits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filing of this report and the furnishing of this information pursuant to Items 2.02 and 7.01 do not mean that such information is material or that disclosure of such information is required.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See “Item 2.02 – Results of Operation and Financial Condition”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081" w:type="dxa"/>
        <w:jc w:val="center"/>
        <w:tblInd w:w="0" w:type="dxa"/>
        <w:tblLayout w:type="fixed"/>
        <w:tblCellMar>
          <w:top w:w="28" w:type="dxa"/>
          <w:left w:w="28" w:type="dxa"/>
          <w:bottom w:w="28" w:type="dxa"/>
          <w:right w:w="28" w:type="dxa"/>
        </w:tblCellMar>
      </w:tblPr>
      <w:tblGrid>
        <w:gridCol w:w="174"/>
        <w:gridCol w:w="153"/>
        <w:gridCol w:w="154"/>
        <w:gridCol w:w="1926"/>
        <w:gridCol w:w="1926"/>
        <w:gridCol w:w="2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iw-20260806_exx991.htm">
              <w:r>
                <w:rPr>
                  <w:rStyle w:val="InternetLink"/>
                  <w:rFonts w:ascii="Times New Roman;serif" w:hAnsi="Times New Roman;serif"/>
                  <w:b w:val="false"/>
                  <w:color w:val="0000FF"/>
                  <w:sz w:val="20"/>
                  <w:u w:val="single"/>
                </w:rPr>
                <w:t>99.1</w:t>
              </w:r>
            </w:hyperlink>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August 6, 2026</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iw-20260806_ex992.htm">
              <w:r>
                <w:rPr>
                  <w:rStyle w:val="InternetLink"/>
                  <w:rFonts w:ascii="Times New Roman;serif" w:hAnsi="Times New Roman;serif"/>
                  <w:b w:val="false"/>
                  <w:color w:val="0000FF"/>
                  <w:sz w:val="20"/>
                  <w:u w:val="single"/>
                </w:rPr>
                <w:t>99.2</w:t>
              </w:r>
            </w:hyperlink>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 presentation materials dated August 6, 2026</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w:t>
      </w:r>
    </w:p>
    <w:tbl>
      <w:tblPr>
        <w:tblW w:w="9509" w:type="dxa"/>
        <w:jc w:val="left"/>
        <w:tblInd w:w="0" w:type="dxa"/>
        <w:tblLayout w:type="fixed"/>
        <w:tblCellMar>
          <w:top w:w="28" w:type="dxa"/>
          <w:left w:w="28" w:type="dxa"/>
          <w:bottom w:w="28" w:type="dxa"/>
          <w:right w:w="28" w:type="dxa"/>
        </w:tblCellMar>
      </w:tblPr>
      <w:tblGrid>
        <w:gridCol w:w="667"/>
        <w:gridCol w:w="587"/>
        <w:gridCol w:w="590"/>
        <w:gridCol w:w="340"/>
        <w:gridCol w:w="340"/>
        <w:gridCol w:w="340"/>
        <w:gridCol w:w="2006"/>
        <w:gridCol w:w="2006"/>
        <w:gridCol w:w="263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ACI WORLDWIDE, INC.</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6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W. LEIBROCK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W. Leibrock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 and Chief Accounting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286000" cy="2571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25717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32"/>
        </w:rPr>
      </w:pPr>
      <w:r>
        <w:rPr>
          <w:rFonts w:ascii="Arial;sans-serif" w:hAnsi="Arial;sans-serif"/>
          <w:b/>
          <w:color w:val="000000"/>
          <w:sz w:val="32"/>
        </w:rPr>
        <w:t>ACI Worldwide Reports Strong Second Quarter 2026</w:t>
      </w:r>
    </w:p>
    <w:p>
      <w:pPr>
        <w:pStyle w:val="TextBody"/>
        <w:bidi w:val="0"/>
        <w:spacing w:lineRule="auto" w:line="268" w:before="0" w:after="0"/>
        <w:jc w:val="center"/>
        <w:rPr>
          <w:rFonts w:ascii="Arial;sans-serif" w:hAnsi="Arial;sans-serif"/>
          <w:b/>
          <w:color w:val="000000"/>
          <w:sz w:val="32"/>
        </w:rPr>
      </w:pPr>
      <w:r>
        <w:rPr>
          <w:rFonts w:ascii="Arial;sans-serif" w:hAnsi="Arial;sans-serif"/>
          <w:b/>
          <w:color w:val="000000"/>
          <w:sz w:val="32"/>
        </w:rPr>
        <w:t>Results and Raises Full-Year Guidance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HIGHLIGHTS</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4"/>
        </w:rPr>
        <w:t>Q2 revenue of $430 million, increased 7% (6% in constant currency)</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4"/>
        </w:rPr>
        <w:t>Q2 GAAP net income of $32 million and adjusted EBITDA of $91 million, increased 12% (9% in constant currency)</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4"/>
        </w:rPr>
        <w:t>Q2 GAAP diluted EPS of $0.31 and adjusted diluted EPS of $0.54, increased 54%</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4"/>
        </w:rPr>
        <w:t>Successfully enabled ACI Connetic across eight major U.S. payment networks and signed two U.S. customers</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4"/>
        </w:rPr>
        <w:t>2.5 million shares repurchased YTD for $107 million</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4"/>
        </w:rPr>
        <w:t>Raising full year 2026 financial guidance for revenue &amp; adjusted EBITDA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 xml:space="preserve">Omaha, NE — August 6, 2026 — </w:t>
      </w:r>
      <w:r>
        <w:rPr>
          <w:rFonts w:ascii="Arial;sans-serif" w:hAnsi="Arial;sans-serif"/>
          <w:b w:val="false"/>
          <w:color w:val="000000"/>
          <w:sz w:val="22"/>
        </w:rPr>
        <w:t>ACI Worldwide (NASDAQ: ACIW), a leading provider of global payments technology, today announced financial results for the second quarter ended June 30, 2026 and increased financial guidance for full-year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"Signing two U.S.-based customers for ACI Connetic is a significant milestone and validates both the strength of our cloud-native payments platform and the growing demand for payments modernization in the world's largest banking market," said Thomas Warsop, President and CEO of ACI Worldwide.</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"In the second quarter, we delivered 7% revenue growth, expanded EBITDA margins and continued to execute our balanced capital allocation strategy. We continued to invest in ACI Connetic to support long-term organic growth and, at the same time, returned capital to shareholders through share repurchases. As a result of our strong first-half performance, we are increasing our full-year revenue and adjusted EBITDA guidance. We enter the second half of 2026 with strong momentum, a healthy pipeline and confidence in our ability to create long-term shareholder value."</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Q2 2026 FINANCIAL SUMMARY</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In Q2 2026, total revenue was $430 million, up 7% from Q2 2025, or up 6% on a constant currency basis. Recurring revenue was $336 million, up 5% from Q2 2025, or up 4% on a constant currency basis.</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Net income of $32 million in Q2 2026 compares to net income of $12 million in Q2 2025. Total adjusted EBITDA in Q2 2026 was $91 million, up 12% from Q2 2025, or up 9% on a constant currency basis. Net adjusted EBITDA margin in Q2 2026 was 34%, up from 32% in Q2 2025.</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GAAP diluted EPS in Q2 2026 was $0.31 and adjusted diluted EPS was $0.54, up 54% from Q2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PAYMENT SOFTWARE SEGMENT RESULTS</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Payment Software revenue in Q2 2026 was $196 million, up 9% from Q2 2025, or up 7% on a constant currency basis. The segment saw particular strength from Issuing and Acquiring revenue, which increased 33% on a constant currency basis versus Q2 2025, driven by large expansions with renewing customers. Payments Intelligence and Merchant Payments revenue each increased 3% on a constant currency basis in the quarter. Real-Time Payments revenue was $23 million, down from last year due to renewal timing. Recurring revenue in the segment, which represents SaaS and Maintenance revenues, increased 3%, versus Q2 2025, or 2% on a constant currency basis.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Payment Software adjusted EBITDA in Q2 2026 was $94 million, up 12%, or up 9% on a constant currency basis from Q2 2025 driven by operating leverage and disciplined expense management, partially offset by ongoing growth investments. As a result, net adjusted EBITDA margin in Q2 2026 was 48%, up from 46% in Q2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BILLER SEGMENT RESULTS</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Biller revenue in Q2 2026 was $234 million, up 5% from Q2 2025 on a reported and constant currency basis. Biller revenue, net of interchange fees, was $68 million, down 3%, from Q2 2025, driven by a strong comparison with significant new onboarding and transactions in the same period last year, as previously discussed. Based on new business wins and current transactions trends, the company’s expectation for full-year 2026 Biller revenue growth in the high single digits remains unchanged.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Biller adjusted EBITDA in Q2 2026 was $35 million, down 13%, from Q2 2025. Net adjusted EBITDA margin, net of interchange fees, was 51%, down from 56% in Q2 2025. Results in the current period reflected lower net revenue compared to the strong prior-year, the impact of certain discrete operating expenses and continued investments in Speedpay ONE.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YEAR-TO-DATE 2026 FINANCIAL SUMMARY</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Year-to-date 2026 total revenue was $856 million, up 8% from year-to-date 2025, or up 6% on a constant currency basis. Recurring revenue was $649 million, up 7% from year-to-date 2025, or up 6% on a constant currency basis. Year-to-date 2026 net income of $70 million compares to net income of $71 million for year-to-date 2025, which included a $22 million after-tax gain on the sale of our minority interest in Mindgate. GAAP diluted EPS for year-to-date 2026 was $0.69 and adjusted diluted EPS was $1.16, up 35% from year-to-date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Total adjusted EBITDA for year-to-date 2026 was $196 million, up 12% from year-to-date 2025, or up 8% on a constant currency basis. Net adjusted EBITDA margin for year-to-date 2026 was 36%, up from 34%</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year-to-date 2025.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NEW BOOKINGS</w:t>
      </w:r>
    </w:p>
    <w:p>
      <w:pPr>
        <w:pStyle w:val="TextBody"/>
        <w:bidi w:val="0"/>
        <w:spacing w:lineRule="auto" w:line="288" w:before="120" w:after="283"/>
        <w:jc w:val="left"/>
        <w:rPr/>
      </w:pPr>
      <w:r>
        <w:rPr>
          <w:rFonts w:ascii="Arial;sans-serif" w:hAnsi="Arial;sans-serif"/>
          <w:b w:val="false"/>
          <w:color w:val="000000"/>
          <w:sz w:val="22"/>
        </w:rPr>
        <w:t>Net new ARR bookings in Q2 2026 were $18 million, down 25%, from Q2 2025, as strength in Biller segment ARR growth was offset by the timing of expected Payment Software contracts. New license and services bookings were $59 million in Q2 2026, up 2%</w:t>
      </w:r>
      <w:r>
        <w:rPr>
          <w:color w:val="000000"/>
        </w:rPr>
        <w:t xml:space="preserve"> </w:t>
      </w:r>
      <w:r>
        <w:rPr>
          <w:rFonts w:ascii="Arial;sans-serif" w:hAnsi="Arial;sans-serif"/>
          <w:b w:val="false"/>
          <w:color w:val="000000"/>
          <w:sz w:val="22"/>
        </w:rPr>
        <w:t>from Q2 2025. Net new ARR bookings for the trailing twelve months ended June 30, 2026 were $68 million,</w:t>
      </w:r>
      <w:r>
        <w:rPr>
          <w:color w:val="000000"/>
        </w:rPr>
        <w:t xml:space="preserve"> </w:t>
      </w:r>
      <w:r>
        <w:rPr>
          <w:rFonts w:ascii="Arial;sans-serif" w:hAnsi="Arial;sans-serif"/>
          <w:b w:val="false"/>
          <w:color w:val="000000"/>
          <w:sz w:val="22"/>
        </w:rPr>
        <w:t>down</w:t>
      </w:r>
      <w:r>
        <w:rPr>
          <w:color w:val="000000"/>
        </w:rPr>
        <w:t xml:space="preserve"> </w:t>
      </w:r>
      <w:r>
        <w:rPr>
          <w:rFonts w:ascii="Arial;sans-serif" w:hAnsi="Arial;sans-serif"/>
          <w:b w:val="false"/>
          <w:color w:val="000000"/>
          <w:sz w:val="22"/>
        </w:rPr>
        <w:t>15% from 2025. New license and services bookings for the trailing twelve months ended June 30, 2026 were $255 million</w:t>
      </w:r>
      <w:r>
        <w:rPr>
          <w:color w:val="000000"/>
        </w:rPr>
        <w:t xml:space="preserve"> </w:t>
      </w:r>
      <w:r>
        <w:rPr>
          <w:rFonts w:ascii="Arial;sans-serif" w:hAnsi="Arial;sans-serif"/>
          <w:b w:val="false"/>
          <w:color w:val="000000"/>
          <w:sz w:val="22"/>
        </w:rPr>
        <w:t>down</w:t>
      </w:r>
      <w:r>
        <w:rPr>
          <w:color w:val="000000"/>
        </w:rPr>
        <w:t xml:space="preserve"> </w:t>
      </w:r>
      <w:r>
        <w:rPr>
          <w:rFonts w:ascii="Arial;sans-serif" w:hAnsi="Arial;sans-serif"/>
          <w:b w:val="false"/>
          <w:color w:val="000000"/>
          <w:sz w:val="22"/>
        </w:rPr>
        <w:t>12% from 2025. The company expects full year 2026 growth for both new ARR and new license and services bookings.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BALANCE SHEET AND LIQUIDITY, CASH FLOW, AND REPURCHASES</w:t>
      </w:r>
    </w:p>
    <w:p>
      <w:pPr>
        <w:pStyle w:val="TextBody"/>
        <w:bidi w:val="0"/>
        <w:spacing w:lineRule="auto" w:line="288" w:before="120" w:after="283"/>
        <w:jc w:val="left"/>
        <w:rPr/>
      </w:pPr>
      <w:r>
        <w:rPr>
          <w:rFonts w:ascii="Arial;sans-serif" w:hAnsi="Arial;sans-serif"/>
          <w:b w:val="false"/>
          <w:color w:val="000000"/>
          <w:sz w:val="22"/>
        </w:rPr>
        <w:t>ACI ended Q2 2026 with $167 million in cash on hand and a debt balance of $826 million, representing a net debt leverage ratio of 1.2x adjusted EBITDA. ACI had total cash and available liquidity under its credit facility of $540 million. Operating cash flows for year-to-date 2026 were $135 million, up</w:t>
      </w:r>
      <w:r>
        <w:rPr>
          <w:color w:val="000000"/>
        </w:rPr>
        <w:t xml:space="preserve"> </w:t>
      </w:r>
      <w:r>
        <w:rPr>
          <w:rFonts w:ascii="Arial;sans-serif" w:hAnsi="Arial;sans-serif"/>
          <w:b w:val="false"/>
          <w:color w:val="000000"/>
          <w:sz w:val="22"/>
        </w:rPr>
        <w:t xml:space="preserve">from $128 million for year-to-date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During Q2 2026, the company repurchased approximately 948,000 shares for approximately $41 million at an average price of $43.75. Year-to-date 2026, repurchases totaled 2.5 million shares for approximately $107 million at an average price of $42.75. The company has approximately $349 million remaining available on the share repurchase authorization and continues to expect to allocate 50-60% of operating cash flow to share repurchases for the full year, subject to market conditions.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RAISING 2026 GUIDANCE</w:t>
      </w:r>
    </w:p>
    <w:p>
      <w:pPr>
        <w:pStyle w:val="TextBody"/>
        <w:bidi w:val="0"/>
        <w:spacing w:lineRule="auto" w:line="288" w:before="120" w:after="283"/>
        <w:jc w:val="left"/>
        <w:rPr/>
      </w:pPr>
      <w:r>
        <w:rPr>
          <w:rFonts w:ascii="Arial;sans-serif" w:hAnsi="Arial;sans-serif"/>
          <w:b w:val="false"/>
          <w:color w:val="000000"/>
          <w:sz w:val="22"/>
        </w:rPr>
        <w:t>Based on first half 2026 performance and the strength of its pipeline, the company is increasing its full-year 2026 guidance. The company now expects revenue in the range of $1.895 billion to $1.925 billion, up from the prior range of $1.890 billion to $1.920 billion, and adjusted EBITDA in the range of $545 million to $560 million, up from $540 million</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$555 million. For the second half of 2026, the company continues to expect an approximately 40% and 60% revenue weighting for Q3 and Q4, respectively, driven by the timing of high margin Payment Software license renewals. This equates to revenue of $417 million</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$427 million in Q3 2026. Adjusted EBITDA in Q3 2026 is expected to be $90 million</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$95 million.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CONFERENCE CALL TO DISCUSS FINANCIAL RESULTS</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Today, management will host a conference call at 8:30 a.m. ET to discuss these results.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 xml:space="preserve">Webcast: </w:t>
      </w:r>
      <w:r>
        <w:rPr>
          <w:rFonts w:ascii="Arial;sans-serif" w:hAnsi="Arial;sans-serif"/>
          <w:b w:val="false"/>
          <w:color w:val="000000"/>
          <w:sz w:val="22"/>
        </w:rPr>
        <w:t>http://investor.aciworldwide.com/</w:t>
      </w:r>
    </w:p>
    <w:p>
      <w:pPr>
        <w:pStyle w:val="TextBody"/>
        <w:bidi w:val="0"/>
        <w:spacing w:lineRule="auto" w:line="288" w:before="0" w:after="0"/>
        <w:jc w:val="left"/>
        <w:rPr/>
      </w:pPr>
      <w:r>
        <w:rPr>
          <w:rFonts w:ascii="Arial;sans-serif" w:hAnsi="Arial;sans-serif"/>
          <w:b/>
          <w:color w:val="000000"/>
          <w:sz w:val="22"/>
        </w:rPr>
        <w:t xml:space="preserve">Pre-registration (recommended): </w:t>
      </w:r>
      <w:r>
        <w:rPr>
          <w:rFonts w:ascii="Arial;sans-serif" w:hAnsi="Arial;sans-serif"/>
          <w:b w:val="false"/>
          <w:color w:val="000000"/>
          <w:sz w:val="22"/>
        </w:rPr>
        <w:t>https://events.q4inc.com/analyst/520999677?pwd=fAB3MTWf</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Pre-registration provides a unique passcode to join without operator assistance.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Dial-in: </w:t>
      </w:r>
    </w:p>
    <w:p>
      <w:pPr>
        <w:pStyle w:val="TextBody"/>
        <w:bidi w:val="0"/>
        <w:spacing w:lineRule="auto" w:line="288" w:before="0" w:after="0"/>
        <w:jc w:val="left"/>
        <w:rPr/>
      </w:pPr>
      <w:r>
        <w:rPr>
          <w:rFonts w:ascii="Arial;sans-serif" w:hAnsi="Arial;sans-serif"/>
          <w:b w:val="false"/>
          <w:color w:val="000000"/>
          <w:sz w:val="22"/>
        </w:rPr>
        <w:t xml:space="preserve">USA Toll-Free: 1 833 461 5787 or International Toll: 1 585 542 9983 </w:t>
      </w:r>
      <w:r>
        <w:rPr>
          <w:rFonts w:ascii="Arial;sans-serif" w:hAnsi="Arial;sans-serif"/>
          <w:b/>
          <w:color w:val="000000"/>
          <w:sz w:val="22"/>
        </w:rPr>
        <w:t xml:space="preserve">Conference ID: </w:t>
      </w:r>
      <w:r>
        <w:rPr>
          <w:rFonts w:ascii="Arial;sans-serif" w:hAnsi="Arial;sans-serif"/>
          <w:b w:val="false"/>
          <w:color w:val="000000"/>
          <w:sz w:val="22"/>
        </w:rPr>
        <w:t>520999677</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About ACI Worldwide</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ACI Worldwide, an original innovator in global payments technology, delivers transformative software solutions that power intelligent payments orchestration in real time so banks, billers, and merchants can drive growth, while continuously modernizing their payment infrastructures, simply and securely. With more than 50 years of trusted payments expertise, we combine our global footprint with a local presence to offer enhanced payment experiences to stay ahead of constantly changing payment challenges and opportunities.</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Copyright ACI Worldwide, Inc. 2026.</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ACI, ACI Worldwide, ACI Payments, Inc., ACI Pay, Speedpay ONE and all ACI product/solution names are trademarks or registered trademarks of ACI Worldwide, Inc., or one of its subsidiaries, in the United States, other countries or both. Other parties' trademarks referenced are the property of their respective owners.</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For more information contact: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Investor Relations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John Kraft</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SVP, Head of Strategy and Finance</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305-894-2223 / john.kraft@aciworldwide.com</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To supplement our financial results presented on a GAAP basis, we use the non-GAAP measures indicated in the tables, which exclude significant transaction-related expenses, as well as other significant non-cash expenses such as depreciation, amortization, and stock-based compensation, that we believe are helpful in understanding our past financial performance and our future results. The presentation of these non-GAAP financial measures should be considered in addition to our GAAP results and are not intended to be considered in isolation or as a substitute for the financial information prepared and presented in accordance with GAAP. Management generally compensates for limitations in the use of non-GAAP financial measures by relying on comparable GAAP financial measures and providing investors with a reconciliation of non-GAAP financial measures only in addition to and in conjunction with results presented in accordance with GAAP.</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We believe that these non-GAAP financial measures reflect an additional way to view aspects of our operations that, when viewed with our GAAP results, provide a more complete understanding of factors and trends affecting our business. Certain non-GAAP measures include: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Adjusted EBITDA: net income (loss) plus income tax expense (benefit), net interest income (expense), net other income (expense), depreciation, amortization and stock-based compensation, as well as significant transaction-related expenses. Adjusted EBITDA should be considered in addition to, rather than as a substitute for, net income (loss).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Net Adjusted EBITDA Margin: Adjusted EBITDA divided by revenue net of pass-through interchange revenue. Net Adjusted EBITDA Margin should be considered in addition to, rather than as a substitute for, net income (loss).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Adjusted Diluted EPS: diluted EPS plus tax effected significant transaction related items, amortization of acquired intangibles and software, and non-cash stock-based compensation. Adjusted diluted EPS should be considered in addition to, rather than as a substitute for, diluted EPS.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Recurring Revenue: revenue from software as a service and platform as a service fees and maintenance fees. Recurring revenue should be considered in addition to, rather than as a substitute for, total revenue.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ARR: New annual recurring revenue expected to be generated from new accounts, new applications, and add-on sales bookings contracts signed in the period.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This press release contains forward-looking statements based on current expectations that involve a number of risks and uncertainties. Generally, forward-looking statements do not relate strictly to historical or current facts and may include words or phrases such as “believes,” “will,” “expects,” “anticipates,” “intends,” and words and phrases of similar impact. The forward-looking statements are made pursuant to safe harbor provisions of the Private Securities Litigation Reform Act of 1995.</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Forward-looking statements in this press release include, but are not limited to: (i) the growing demand for payments modernization in the world’s largest banking market, (ii) we enter the second half of 2026 with strong momentum, a healthy pipeline and confidence in our ability to create long-term shareholder value, (iii) based on new business wins and current transactions trends, the company’s expectation for full-year 2026 Biller revenue growth in the high single digits remains unchanged, (iv) the company expects full year 2026 growth for both new ARR and new license and services bookings, (v) our full</w:t>
        <w:noBreakHyphen/>
        <w:t>year outlook including Q3 2026 and full-year 2026 revenue and adjusted EBITDA financial guidance, and (vi) expectations to allocate 50-60% of operating cash flow to share repurchases for the full year, subject to market conditions.</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All of the foregoing forward-looking statements are expressly qualified by the risk factors discussed in our filings with the Securities and Exchange Commission. Such factors include, but are not limited to, increased competition, business interruptions, cybersecurity incidents or failure of our information technology and communication systems, security breaches, reliance on third-party cloud infrastructure and related services, reliance on third-parties, our ability to attract and retain senior management personnel and skilled technical employees, future acquisitions, strategic partnerships and investments, divestitures and other restructuring activities, implementation and success of our strategy, anti-takeover provisions, exposure to credit or operating risks arising from certain payment funding methods, loss caused by theft or fraud, customer reluctance to switch to a new vendor, our ability to adequately defend our intellectual property, litigation, consent orders and other compliance agreements, our offshore software development activities, risks from operating internationally, including fluctuations in currency exchange rates, adoption of ACI Connetic, adverse changes in the global economy, compliance of our products with applicable legislation, governmental regulations and industry standards, the complexity of our products and services and the risk that they may contain hidden defects, legal and business risks from artificial intelligence technology incorporated into our products, risks to our business from the use of artificial intelligence by our workforce, complex regulations applicable to our payments business, our compliance with privacy and cybersecurity regulations, compliance with requirements of the payment card networks and Nacha, exposure to unknown tax liabilities, changes in tax laws and regulations, consolidations and failures in the financial services industry, volatility in our stock price, demand for our products, failure to obtain renewals of customer contracts or to obtain such renewals on favorable terms, delay or cancellation of customer projects or inaccurate project completion estimates, changes in card association and debit network fees or products, impairment of our goodwill or intangible assets, the accuracy of management’s backlog estimates, the cyclical nature of our revenue and earnings and the accuracy of forecasts due to the concentration of revenue-generating activity during the final weeks of each quarter, restrictions and other financial covenants in our debt agreements, our existing levels of debt, incurring additional debt, events outside of our control including natural disasters, wars, and outbreaks of disease, and revenues or revenue mix below expectations. For a detailed discussion of these risk factors, parties that are relying on the forward-looking statements should review our filings with the Securities and Exchange Commission, including our most recently filed Annual Report on Form 10-K and our Quarterly Reports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ACI WORLDWIDE,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and in thousands)</w:t>
      </w:r>
    </w:p>
    <w:tbl>
      <w:tblPr>
        <w:tblW w:w="7952" w:type="dxa"/>
        <w:jc w:val="center"/>
        <w:tblInd w:w="0" w:type="dxa"/>
        <w:tblLayout w:type="fixed"/>
        <w:tblCellMar>
          <w:top w:w="28" w:type="dxa"/>
          <w:left w:w="28" w:type="dxa"/>
          <w:bottom w:w="28" w:type="dxa"/>
          <w:right w:w="28" w:type="dxa"/>
        </w:tblCellMar>
      </w:tblPr>
      <w:tblGrid>
        <w:gridCol w:w="1633"/>
        <w:gridCol w:w="1437"/>
        <w:gridCol w:w="1445"/>
        <w:gridCol w:w="211"/>
        <w:gridCol w:w="976"/>
        <w:gridCol w:w="109"/>
        <w:gridCol w:w="109"/>
        <w:gridCol w:w="109"/>
        <w:gridCol w:w="109"/>
        <w:gridCol w:w="285"/>
        <w:gridCol w:w="1321"/>
        <w:gridCol w:w="208"/>
      </w:tblGrid>
      <w:tr>
        <w:trPr/>
        <w:tc>
          <w:tcPr>
            <w:tcW w:w="16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196,462 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net of allowances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445,866 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397,346 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29,876 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19,564 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1,144,445 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1,089,114 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Noncurrent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receivables,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391,719 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37,363 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77,523 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1,231,128 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147,062 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73,124 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29,141 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3,095,270 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3,104,907 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64,931 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396,034 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56,142 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40,941 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73,637 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73,958 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705,643 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Noncurrent liabilities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13,620 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776,667 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38,514 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22,609 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28,776 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1,598,526 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1,585,829 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761,523 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1,824,743 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Treasury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(964,752)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(103,138)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1,519,078 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3,095,270 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3,104,907 </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Arial;sans-serif" w:hAnsi="Arial;sans-serif"/>
          <w:b/>
          <w:color w:val="000000"/>
          <w:sz w:val="18"/>
        </w:rPr>
        <w:t>ACI WORLDWIDE, INC.</w:t>
      </w:r>
      <w:r>
        <w:rPr>
          <w:color w:val="000000"/>
        </w:rPr>
        <w:t xml:space="preserve"> </w:t>
      </w:r>
      <w:r>
        <w:rPr>
          <w:rFonts w:ascii="Arial;sans-serif" w:hAnsi="Arial;sans-serif"/>
          <w:b/>
          <w:color w:val="000000"/>
          <w:sz w:val="18"/>
        </w:rPr>
        <w:t>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OPERATIONS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and in thousands, except per share amounts)</w:t>
      </w:r>
    </w:p>
    <w:tbl>
      <w:tblPr>
        <w:tblW w:w="9765" w:type="dxa"/>
        <w:jc w:val="center"/>
        <w:tblInd w:w="0" w:type="dxa"/>
        <w:tblLayout w:type="fixed"/>
        <w:tblCellMar>
          <w:top w:w="28" w:type="dxa"/>
          <w:left w:w="28" w:type="dxa"/>
          <w:bottom w:w="28" w:type="dxa"/>
          <w:right w:w="28" w:type="dxa"/>
        </w:tblCellMar>
      </w:tblPr>
      <w:tblGrid>
        <w:gridCol w:w="1505"/>
        <w:gridCol w:w="1321"/>
        <w:gridCol w:w="132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 as a service and platform as a service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Maintenance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401,258 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856,172 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795,823 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385,774 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702,449 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Operating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income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other income (expense)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Income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89,509 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Income per common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(1) The cost of revenue excludes charges for depreciation but includes amortization of purchased and developed software for resale.</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44"/>
        <w:gridCol w:w="1559"/>
        <w:gridCol w:w="1572"/>
        <w:gridCol w:w="199"/>
        <w:gridCol w:w="748"/>
        <w:gridCol w:w="110"/>
        <w:gridCol w:w="110"/>
        <w:gridCol w:w="110"/>
        <w:gridCol w:w="110"/>
        <w:gridCol w:w="199"/>
        <w:gridCol w:w="748"/>
        <w:gridCol w:w="110"/>
        <w:gridCol w:w="109"/>
        <w:gridCol w:w="109"/>
        <w:gridCol w:w="109"/>
        <w:gridCol w:w="196"/>
        <w:gridCol w:w="736"/>
        <w:gridCol w:w="109"/>
        <w:gridCol w:w="109"/>
        <w:gridCol w:w="109"/>
        <w:gridCol w:w="109"/>
        <w:gridCol w:w="196"/>
        <w:gridCol w:w="736"/>
        <w:gridCol w:w="159"/>
      </w:tblGrid>
      <w:tr>
        <w:trPr/>
        <w:tc>
          <w:tcPr>
            <w:tcW w:w="1844"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ACI WORLDWIDE,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CONDENSED CONSOLIDATED STATEMENTS OF CASH FLOWS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(unaudited and in thousands)</w:t>
            </w:r>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w:t>
            </w:r>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flows from operating activities:</w:t>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Net income</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31,798 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71,072 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Adjustments to reconcile net income to net cash flows from operating activities:</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20,403 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41,741 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operating lease right-of-use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deferred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(2,647)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(1,745)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(4,208)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Stock-based compensation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18,662 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16,411 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28,038 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Gain on sale of equity investment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(25,927)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Changes in operating assets and liabilities:</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Receivables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48,691 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Accrued employee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(16,202)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(3,569)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(3,193)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(7,841)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current and noncurrent assets and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(26,233)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(23,560)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(33,087)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flows from operating activities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70,789 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49,797 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135,036 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128,018 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flows from investing activities:</w:t>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Purchases of property and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(6,852)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(2,156)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(4,326)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Purchases of software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(6,861)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(5,383)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(12,142)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Proceeds from sale of equity investment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46,021 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flows from investing activities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(13,713)</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(7,539)</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29,553 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flows from financing activities:</w:t>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issuance of common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exercises of stock options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Repurchase of stock-based compensation awards for tax withholdings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(15,231)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(13,156)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(20,226)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Repurchases of common stock</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(41,476)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(119,362)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(133,770)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Redemption of 2026 Notes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(400,000)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(400,000)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revolving credit facility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Repayment of revolving credit facility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term portion of credit agreement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Repayment of term portion of credit agreement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(10,625)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(9,375)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(18,750)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Payments on or proceeds from other debt,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(7,127)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(6,447)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(10,664)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Payments for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(decrease) increase in settlement assets and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(24,724)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(26,751)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61,573 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flows from financing activities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(72,034)</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(114,192)</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(136,219)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(129,543)</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 of exchange rate fluctuations on cash</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(2,711)</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4,118 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5,909 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(decrease) increase in cash and cash equivalents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(17,669)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(67,816)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33,937 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and cash equivalents, including settlement deposits, beginning of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242,128 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366,771 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258,996 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265,018 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and cash equivalents, including settlement deposits, end of period</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224,459 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298,955 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298,955 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Reconciliation of cash and cash equivalents to the Consolidated Balance Sheets</w:t>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and cash equivalents</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167,398 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189,697 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167,398 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189,697 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Settlement deposits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57,061 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109,258 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109,258 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cash and cash equivalents</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224,459 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298,955 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224,459 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298,955 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46"/>
        <w:gridCol w:w="1430"/>
        <w:gridCol w:w="1435"/>
        <w:gridCol w:w="216"/>
        <w:gridCol w:w="634"/>
        <w:gridCol w:w="279"/>
        <w:gridCol w:w="111"/>
        <w:gridCol w:w="111"/>
        <w:gridCol w:w="111"/>
        <w:gridCol w:w="216"/>
        <w:gridCol w:w="634"/>
        <w:gridCol w:w="279"/>
        <w:gridCol w:w="109"/>
        <w:gridCol w:w="109"/>
        <w:gridCol w:w="109"/>
        <w:gridCol w:w="211"/>
        <w:gridCol w:w="616"/>
        <w:gridCol w:w="271"/>
        <w:gridCol w:w="109"/>
        <w:gridCol w:w="109"/>
        <w:gridCol w:w="109"/>
        <w:gridCol w:w="211"/>
        <w:gridCol w:w="616"/>
        <w:gridCol w:w="324"/>
      </w:tblGrid>
      <w:tr>
        <w:trPr/>
        <w:tc>
          <w:tcPr>
            <w:tcW w:w="1846"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(millions)</w:t>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Net income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Plus:</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tax expense</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expense</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other (income) expense</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expense</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expense</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stock-based compensation expense</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before significant transaction-related expenses</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169.5 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Significant transaction-related expenses:</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reduction strategies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71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net of interchange:</w:t>
            </w:r>
          </w:p>
        </w:tc>
        <w:tc>
          <w:tcPr>
            <w:tcW w:w="11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795.8 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Interchange</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281.9 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 net of interchange</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264.8 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250.2 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513.9 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Adjusted EBITDA Margin</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both"/>
        <w:rPr/>
      </w:pPr>
      <w:r>
        <w:rPr/>
      </w:r>
    </w:p>
    <w:tbl>
      <w:tblPr>
        <w:tblW w:w="8118" w:type="dxa"/>
        <w:jc w:val="center"/>
        <w:tblInd w:w="0" w:type="dxa"/>
        <w:tblLayout w:type="fixed"/>
        <w:tblCellMar>
          <w:top w:w="28" w:type="dxa"/>
          <w:left w:w="28" w:type="dxa"/>
          <w:bottom w:w="28" w:type="dxa"/>
          <w:right w:w="28" w:type="dxa"/>
        </w:tblCellMar>
      </w:tblPr>
      <w:tblGrid>
        <w:gridCol w:w="989"/>
        <w:gridCol w:w="869"/>
        <w:gridCol w:w="872"/>
        <w:gridCol w:w="251"/>
        <w:gridCol w:w="735"/>
        <w:gridCol w:w="130"/>
        <w:gridCol w:w="130"/>
        <w:gridCol w:w="130"/>
        <w:gridCol w:w="130"/>
        <w:gridCol w:w="251"/>
        <w:gridCol w:w="735"/>
        <w:gridCol w:w="130"/>
        <w:gridCol w:w="109"/>
        <w:gridCol w:w="109"/>
        <w:gridCol w:w="109"/>
        <w:gridCol w:w="229"/>
        <w:gridCol w:w="671"/>
        <w:gridCol w:w="118"/>
        <w:gridCol w:w="118"/>
        <w:gridCol w:w="118"/>
        <w:gridCol w:w="118"/>
        <w:gridCol w:w="229"/>
        <w:gridCol w:w="671"/>
        <w:gridCol w:w="167"/>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Information (millions)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Payment Software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Biller</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430.4 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401.3 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856.2 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795.8 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Recurring Revenue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Payment Software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Biller</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336.3 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321.7 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649.2 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607.4 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Adjusted EBITDA</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Payment Software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Biller</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jc w:val="left"/>
        <w:rPr>
          <w:rFonts w:ascii="Arial;sans-serif" w:hAnsi="Arial;sans-serif"/>
          <w:b w:val="false"/>
          <w:color w:val="000000"/>
          <w:sz w:val="18"/>
        </w:rPr>
      </w:pPr>
      <w:r>
        <w:rPr>
          <w:rFonts w:ascii="Arial;sans-serif" w:hAnsi="Arial;sans-serif"/>
          <w:b w:val="false"/>
          <w:color w:val="000000"/>
          <w:sz w:val="18"/>
        </w:rPr>
        <w:t>Note: Amounts may not recalculate due to rounding.</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54"/>
        <w:gridCol w:w="1632"/>
        <w:gridCol w:w="1635"/>
        <w:gridCol w:w="257"/>
        <w:gridCol w:w="623"/>
        <w:gridCol w:w="132"/>
        <w:gridCol w:w="109"/>
        <w:gridCol w:w="109"/>
        <w:gridCol w:w="109"/>
        <w:gridCol w:w="257"/>
        <w:gridCol w:w="623"/>
        <w:gridCol w:w="132"/>
        <w:gridCol w:w="109"/>
        <w:gridCol w:w="109"/>
        <w:gridCol w:w="109"/>
        <w:gridCol w:w="257"/>
        <w:gridCol w:w="623"/>
        <w:gridCol w:w="132"/>
        <w:gridCol w:w="109"/>
        <w:gridCol w:w="109"/>
        <w:gridCol w:w="109"/>
        <w:gridCol w:w="254"/>
        <w:gridCol w:w="618"/>
        <w:gridCol w:w="195"/>
      </w:tblGrid>
      <w:tr>
        <w:trPr/>
        <w:tc>
          <w:tcPr>
            <w:tcW w:w="1854"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5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EPS Impact of Non-cash and Significant Transaction-related Items (millions)</w:t>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EPS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in Millions</w:t>
              <w:b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EPS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in Millions</w:t>
              <w:br/>
              <w:t>(Net of Tax)</w:t>
            </w:r>
          </w:p>
        </w:tc>
      </w:tr>
      <w:tr>
        <w:trPr/>
        <w:tc>
          <w:tcPr>
            <w:tcW w:w="5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GAAP net income</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for:</w:t>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Significant transaction-related expenses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intangibles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software</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stock-based compensation</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adjustments</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Diluted EPS</w:t>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0.54 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0.35 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2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2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072" w:type="dxa"/>
            <w:gridSpan w:val="18"/>
            <w:tcBorders/>
          </w:tcPr>
          <w:p>
            <w:pPr>
              <w:pStyle w:val="TableContents"/>
              <w:bidi w:val="0"/>
              <w:spacing w:before="0" w:after="283"/>
              <w:jc w:val="left"/>
              <w:rPr>
                <w:sz w:val="4"/>
                <w:szCs w:val="4"/>
              </w:rPr>
            </w:pPr>
            <w:r>
              <w:rPr>
                <w:sz w:val="4"/>
                <w:szCs w:val="4"/>
              </w:rPr>
            </w:r>
          </w:p>
        </w:tc>
      </w:tr>
      <w:tr>
        <w:trPr/>
        <w:tc>
          <w:tcPr>
            <w:tcW w:w="512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2733" w:type="dxa"/>
            <w:gridSpan w:val="12"/>
            <w:tcBorders/>
          </w:tcPr>
          <w:p>
            <w:pPr>
              <w:pStyle w:val="TableContents"/>
              <w:bidi w:val="0"/>
              <w:spacing w:before="0" w:after="283"/>
              <w:jc w:val="left"/>
              <w:rPr>
                <w:sz w:val="4"/>
                <w:szCs w:val="4"/>
              </w:rPr>
            </w:pPr>
            <w:r>
              <w:rPr>
                <w:sz w:val="4"/>
                <w:szCs w:val="4"/>
              </w:rPr>
            </w:r>
          </w:p>
        </w:tc>
      </w:tr>
      <w:tr>
        <w:trPr/>
        <w:tc>
          <w:tcPr>
            <w:tcW w:w="512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2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2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2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2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2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2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2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2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2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44"/>
        <w:gridCol w:w="1624"/>
        <w:gridCol w:w="1626"/>
        <w:gridCol w:w="257"/>
        <w:gridCol w:w="622"/>
        <w:gridCol w:w="132"/>
        <w:gridCol w:w="109"/>
        <w:gridCol w:w="109"/>
        <w:gridCol w:w="109"/>
        <w:gridCol w:w="235"/>
        <w:gridCol w:w="688"/>
        <w:gridCol w:w="121"/>
        <w:gridCol w:w="109"/>
        <w:gridCol w:w="109"/>
        <w:gridCol w:w="109"/>
        <w:gridCol w:w="257"/>
        <w:gridCol w:w="622"/>
        <w:gridCol w:w="132"/>
        <w:gridCol w:w="109"/>
        <w:gridCol w:w="109"/>
        <w:gridCol w:w="109"/>
        <w:gridCol w:w="254"/>
        <w:gridCol w:w="617"/>
        <w:gridCol w:w="193"/>
      </w:tblGrid>
      <w:tr>
        <w:trPr/>
        <w:tc>
          <w:tcPr>
            <w:tcW w:w="1844"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EPS Impact of Non-cash and Significant Transaction-related Items (millions)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EPS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in Millions</w:t>
              <w:b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EPS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in Millions</w:t>
              <w:br/>
              <w:t>(Net of Tax)</w:t>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GAAP net income</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for:</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on sale of equity investment</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Significant transaction-related expenses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intangibles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software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stock-based compensation</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adjustments</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0.47 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Diluted EPS</w:t>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100" w:type="dxa"/>
            <w:gridSpan w:val="18"/>
            <w:tcBorders/>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2729" w:type="dxa"/>
            <w:gridSpan w:val="12"/>
            <w:tcBorders/>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997" w:type="dxa"/>
        <w:jc w:val="left"/>
        <w:tblInd w:w="0" w:type="dxa"/>
        <w:tblLayout w:type="fixed"/>
        <w:tblCellMar>
          <w:top w:w="28" w:type="dxa"/>
          <w:left w:w="28" w:type="dxa"/>
          <w:bottom w:w="28" w:type="dxa"/>
          <w:right w:w="28" w:type="dxa"/>
        </w:tblCellMar>
      </w:tblPr>
      <w:tblGrid>
        <w:gridCol w:w="944"/>
        <w:gridCol w:w="831"/>
        <w:gridCol w:w="834"/>
        <w:gridCol w:w="251"/>
        <w:gridCol w:w="735"/>
        <w:gridCol w:w="130"/>
        <w:gridCol w:w="130"/>
        <w:gridCol w:w="130"/>
        <w:gridCol w:w="130"/>
        <w:gridCol w:w="251"/>
        <w:gridCol w:w="735"/>
        <w:gridCol w:w="130"/>
        <w:gridCol w:w="109"/>
        <w:gridCol w:w="109"/>
        <w:gridCol w:w="109"/>
        <w:gridCol w:w="229"/>
        <w:gridCol w:w="671"/>
        <w:gridCol w:w="118"/>
        <w:gridCol w:w="118"/>
        <w:gridCol w:w="118"/>
        <w:gridCol w:w="118"/>
        <w:gridCol w:w="229"/>
        <w:gridCol w:w="671"/>
        <w:gridCol w:w="167"/>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Recurring Revenue (millions)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SaaS and PaaS fees</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508.3 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Maintenance fees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Recurring Revenue</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336.3 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321.7 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649.2 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607.4 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535" w:type="dxa"/>
        <w:jc w:val="left"/>
        <w:tblInd w:w="0" w:type="dxa"/>
        <w:tblLayout w:type="fixed"/>
        <w:tblCellMar>
          <w:top w:w="28" w:type="dxa"/>
          <w:left w:w="28" w:type="dxa"/>
          <w:bottom w:w="28" w:type="dxa"/>
          <w:right w:w="28" w:type="dxa"/>
        </w:tblCellMar>
      </w:tblPr>
      <w:tblGrid>
        <w:gridCol w:w="1287"/>
        <w:gridCol w:w="1130"/>
        <w:gridCol w:w="1138"/>
        <w:gridCol w:w="278"/>
        <w:gridCol w:w="674"/>
        <w:gridCol w:w="143"/>
        <w:gridCol w:w="143"/>
        <w:gridCol w:w="143"/>
        <w:gridCol w:w="143"/>
        <w:gridCol w:w="278"/>
        <w:gridCol w:w="674"/>
        <w:gridCol w:w="143"/>
        <w:gridCol w:w="109"/>
        <w:gridCol w:w="109"/>
        <w:gridCol w:w="109"/>
        <w:gridCol w:w="211"/>
        <w:gridCol w:w="511"/>
        <w:gridCol w:w="109"/>
        <w:gridCol w:w="109"/>
        <w:gridCol w:w="109"/>
        <w:gridCol w:w="109"/>
        <w:gridCol w:w="211"/>
        <w:gridCol w:w="511"/>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New Bookings (millions)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TTM Ended June 30,</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Annual recurring revenue (ARR) bookings</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License and services bookings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both"/>
        <w:rPr>
          <w:rFonts w:ascii="Arial;sans-serif" w:hAnsi="Arial;sans-serif"/>
          <w:b w:val="false"/>
          <w:color w:val="000000"/>
          <w:sz w:val="18"/>
        </w:rPr>
      </w:pPr>
      <w:r>
        <w:rPr>
          <w:rFonts w:ascii="Arial;sans-serif" w:hAnsi="Arial;sans-serif"/>
          <w:b w:val="false"/>
          <w:color w:val="000000"/>
          <w:sz w:val="18"/>
        </w:rPr>
        <w:t>Note: Amounts may not recalculate due to rounding.</w:t>
      </w:r>
    </w:p>
    <w:p>
      <w:pPr>
        <w:pStyle w:val="TextBody"/>
        <w:bidi w:val="0"/>
        <w:jc w:val="center"/>
        <w:rPr/>
      </w:pPr>
      <w:bookmarkStart w:id="0" w:name="aciw-20260806_ex992.htm"/>
      <w:bookmarkStart w:id="1" w:name="ksaciw20260806_ex992"/>
      <w:bookmarkEnd w:id="0"/>
      <w:bookmarkEnd w:id="1"/>
      <w:r>
        <w:rPr/>
        <w:drawing>
          <wp:inline distT="0" distB="0" distL="0" distR="0">
            <wp:extent cx="9753600" cy="548640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4316</Words>
  <Characters>24313</Characters>
  <CharactersWithSpaces>28144</CharactersWithSpaces>
  <Paragraphs>1008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aciw-20260806_ex992</dc:title>
</cp:coreProperties>
</file>