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120015</wp:posOffset>
            </wp:positionV>
            <wp:extent cx="67633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146050</wp:posOffset>
            </wp:positionV>
            <wp:extent cx="6763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6"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 w:lineRule="exact"/>
        <w:rPr>
          <w:sz w:val="24"/>
          <w:szCs w:val="24"/>
          <w:color w:val="auto"/>
        </w:rPr>
      </w:pPr>
    </w:p>
    <w:p>
      <w:pPr>
        <w:ind w:left="440" w:right="660" w:hanging="414"/>
        <w:spacing w:after="0" w:line="238" w:lineRule="auto"/>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40" w:lineRule="exact"/>
        <w:rPr>
          <w:sz w:val="24"/>
          <w:szCs w:val="24"/>
          <w:color w:val="auto"/>
        </w:rPr>
      </w:pPr>
    </w:p>
    <w:p>
      <w:pPr>
        <w:ind w:left="840" w:hanging="414"/>
        <w:spacing w:after="0"/>
        <w:tabs>
          <w:tab w:leader="none" w:pos="8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spacing w:after="0" w:line="3" w:lineRule="exact"/>
        <w:rPr>
          <w:sz w:val="24"/>
          <w:szCs w:val="24"/>
          <w:color w:val="auto"/>
        </w:rPr>
      </w:pPr>
    </w:p>
    <w:tbl>
      <w:tblPr>
        <w:tblLayout w:type="fixed"/>
        <w:tblInd w:w="180" w:type="dxa"/>
        <w:tblCellMar>
          <w:top w:w="0" w:type="dxa"/>
          <w:left w:w="0" w:type="dxa"/>
          <w:bottom w:w="0" w:type="dxa"/>
          <w:right w:w="0" w:type="dxa"/>
        </w:tblCellMar>
      </w:tblPr>
      <w:tr>
        <w:trPr>
          <w:trHeight w:val="286"/>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Or</w:t>
            </w:r>
          </w:p>
        </w:tc>
        <w:tc>
          <w:tcPr>
            <w:tcW w:w="63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OF 1934</w:t>
            </w:r>
          </w:p>
        </w:tc>
        <w:tc>
          <w:tcPr>
            <w:tcW w:w="0" w:type="dxa"/>
            <w:vAlign w:val="bottom"/>
          </w:tcPr>
          <w:p>
            <w:pPr>
              <w:spacing w:after="0"/>
              <w:rPr>
                <w:sz w:val="1"/>
                <w:szCs w:val="1"/>
                <w:color w:val="auto"/>
              </w:rPr>
            </w:pPr>
          </w:p>
        </w:tc>
      </w:tr>
      <w:tr>
        <w:trPr>
          <w:trHeight w:val="68"/>
        </w:trPr>
        <w:tc>
          <w:tcPr>
            <w:tcW w:w="440" w:type="dxa"/>
            <w:vAlign w:val="bottom"/>
            <w:vMerge w:val="continue"/>
          </w:tcPr>
          <w:p>
            <w:pPr>
              <w:spacing w:after="0"/>
              <w:rPr>
                <w:sz w:val="5"/>
                <w:szCs w:val="5"/>
                <w:color w:val="auto"/>
              </w:rPr>
            </w:pPr>
          </w:p>
        </w:tc>
        <w:tc>
          <w:tcPr>
            <w:tcW w:w="6320" w:type="dxa"/>
            <w:vAlign w:val="bottom"/>
            <w:vMerge w:val="restart"/>
          </w:tcPr>
          <w:p>
            <w:pPr>
              <w:jc w:val="center"/>
              <w:ind w:left="3586"/>
              <w:spacing w:after="0"/>
              <w:rPr>
                <w:sz w:val="20"/>
                <w:szCs w:val="20"/>
                <w:color w:val="auto"/>
              </w:rPr>
            </w:pPr>
            <w:r>
              <w:rPr>
                <w:rFonts w:ascii="Times New Roman" w:cs="Times New Roman" w:eastAsia="Times New Roman" w:hAnsi="Times New Roman"/>
                <w:sz w:val="18"/>
                <w:szCs w:val="18"/>
                <w:b w:val="1"/>
                <w:bCs w:val="1"/>
                <w:color w:val="auto"/>
                <w:w w:val="99"/>
              </w:rPr>
              <w:t>For the transition period from to</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6320" w:type="dxa"/>
            <w:vAlign w:val="bottom"/>
          </w:tcPr>
          <w:p>
            <w:pPr>
              <w:jc w:val="center"/>
              <w:ind w:left="3606"/>
              <w:spacing w:after="0"/>
              <w:rPr>
                <w:sz w:val="20"/>
                <w:szCs w:val="20"/>
                <w:color w:val="auto"/>
              </w:rPr>
            </w:pPr>
            <w:r>
              <w:rPr>
                <w:rFonts w:ascii="Times New Roman" w:cs="Times New Roman" w:eastAsia="Times New Roman" w:hAnsi="Times New Roman"/>
                <w:sz w:val="18"/>
                <w:szCs w:val="18"/>
                <w:b w:val="1"/>
                <w:bCs w:val="1"/>
                <w:color w:val="auto"/>
              </w:rPr>
              <w:t>Commission File Number 0-25346</w:t>
            </w: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6320" w:type="dxa"/>
            <w:vAlign w:val="bottom"/>
          </w:tcPr>
          <w:p>
            <w:pPr>
              <w:jc w:val="center"/>
              <w:ind w:left="3586"/>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tc>
        <w:tc>
          <w:tcPr>
            <w:tcW w:w="0" w:type="dxa"/>
            <w:vAlign w:val="bottom"/>
          </w:tcPr>
          <w:p>
            <w:pPr>
              <w:spacing w:after="0"/>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ACI WORLDWIDE,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ectPr>
          <w:pgSz w:w="11900" w:h="16838" w:orient="portrait"/>
          <w:cols w:equalWidth="0" w:num="1">
            <w:col w:w="11240"/>
          </w:cols>
          <w:pgMar w:left="320" w:top="229" w:right="339" w:bottom="1440" w:gutter="0" w:footer="0" w:header="0"/>
        </w:sectPr>
      </w:pPr>
    </w:p>
    <w:p>
      <w:pPr>
        <w:spacing w:after="0" w:line="2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47-0772104</w:t>
      </w:r>
    </w:p>
    <w:p>
      <w:pPr>
        <w:spacing w:after="0" w:line="113" w:lineRule="exact"/>
        <w:rPr>
          <w:sz w:val="24"/>
          <w:szCs w:val="24"/>
          <w:color w:val="auto"/>
        </w:rPr>
      </w:pPr>
    </w:p>
    <w:p>
      <w:pPr>
        <w:sectPr>
          <w:pgSz w:w="11900" w:h="16838" w:orient="portrait"/>
          <w:cols w:equalWidth="0" w:num="2">
            <w:col w:w="6860" w:space="720"/>
            <w:col w:w="3660"/>
          </w:cols>
          <w:pgMar w:left="320" w:top="229" w:right="339" w:bottom="1440" w:gutter="0" w:footer="0" w:header="0"/>
          <w:type w:val="continuous"/>
        </w:sectPr>
      </w:pPr>
    </w:p>
    <w:p>
      <w:pPr>
        <w:jc w:val="center"/>
        <w:ind w:left="7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25" w:lineRule="exact"/>
        <w:rPr>
          <w:sz w:val="24"/>
          <w:szCs w:val="24"/>
          <w:color w:val="auto"/>
        </w:rPr>
      </w:pPr>
    </w:p>
    <w:p>
      <w:pPr>
        <w:sectPr>
          <w:pgSz w:w="11900" w:h="16838" w:orient="portrait"/>
          <w:cols w:equalWidth="0" w:num="2">
            <w:col w:w="6180" w:space="720"/>
            <w:col w:w="4340"/>
          </w:cols>
          <w:pgMar w:left="320" w:top="229" w:right="33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7"/>
          <w:szCs w:val="17"/>
          <w:b w:val="1"/>
          <w:bCs w:val="1"/>
          <w:color w:val="auto"/>
        </w:rPr>
        <w:t>6060 Coventry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Elkhorn, Nebraska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68022</w:t>
      </w:r>
    </w:p>
    <w:p>
      <w:pPr>
        <w:spacing w:after="0" w:line="74" w:lineRule="exact"/>
        <w:rPr>
          <w:sz w:val="24"/>
          <w:szCs w:val="24"/>
          <w:color w:val="auto"/>
        </w:rPr>
      </w:pPr>
    </w:p>
    <w:p>
      <w:pPr>
        <w:sectPr>
          <w:pgSz w:w="11900" w:h="16838" w:orient="portrait"/>
          <w:cols w:equalWidth="0" w:num="3">
            <w:col w:w="3320" w:space="720"/>
            <w:col w:w="3020" w:space="720"/>
            <w:col w:w="3460"/>
          </w:cols>
          <w:pgMar w:left="320" w:top="229" w:right="339" w:bottom="1440" w:gutter="0" w:footer="0" w:header="0"/>
          <w:type w:val="continuous"/>
        </w:sectPr>
      </w:pPr>
    </w:p>
    <w:p>
      <w:pPr>
        <w:ind w:left="2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92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92" w:lineRule="exact"/>
        <w:rPr>
          <w:sz w:val="24"/>
          <w:szCs w:val="24"/>
          <w:color w:val="auto"/>
        </w:rPr>
      </w:pPr>
    </w:p>
    <w:p>
      <w:pPr>
        <w:sectPr>
          <w:pgSz w:w="11900" w:h="16838" w:orient="portrait"/>
          <w:cols w:equalWidth="0" w:num="2">
            <w:col w:w="6980" w:space="720"/>
            <w:col w:w="354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(402) 390-7600</w:t>
      </w:r>
    </w:p>
    <w:p>
      <w:pPr>
        <w:sectPr>
          <w:pgSz w:w="11900" w:h="16838" w:orient="portrait"/>
          <w:cols w:equalWidth="0" w:num="1">
            <w:col w:w="11240"/>
          </w:cols>
          <w:pgMar w:left="320" w:top="229" w:right="339" w:bottom="144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w:t>
      </w:r>
    </w:p>
    <w:p>
      <w:pPr>
        <w:spacing w:after="0" w:line="9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the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w:t>
      </w:r>
    </w:p>
    <w:tbl>
      <w:tblPr>
        <w:tblLayout w:type="fixed"/>
        <w:tblInd w:w="0" w:type="dxa"/>
        <w:tblCellMar>
          <w:top w:w="0" w:type="dxa"/>
          <w:left w:w="0" w:type="dxa"/>
          <w:bottom w:w="0" w:type="dxa"/>
          <w:right w:w="0" w:type="dxa"/>
        </w:tblCellMar>
      </w:tblPr>
      <w:tr>
        <w:trPr>
          <w:trHeight w:val="22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Rule</w:t>
            </w:r>
          </w:p>
        </w:tc>
        <w:tc>
          <w:tcPr>
            <w:tcW w:w="1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12b-2</w:t>
            </w:r>
          </w:p>
        </w:tc>
        <w:tc>
          <w:tcPr>
            <w:tcW w:w="1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of</w:t>
            </w:r>
          </w:p>
        </w:tc>
        <w:tc>
          <w:tcPr>
            <w:tcW w:w="1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w:t>
            </w:r>
          </w:p>
        </w:tc>
        <w:tc>
          <w:tcPr>
            <w:tcW w:w="2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Exchange</w:t>
            </w: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w:t>
            </w:r>
          </w:p>
        </w:tc>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(Check</w:t>
            </w: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7"/>
              </w:rPr>
              <w:t>one):</w:t>
            </w:r>
          </w:p>
        </w:tc>
      </w:tr>
      <w:tr>
        <w:trPr>
          <w:trHeight w:val="25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1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Accelerated filer</w:t>
            </w:r>
          </w:p>
        </w:tc>
        <w:tc>
          <w:tcPr>
            <w:tcW w:w="820" w:type="dxa"/>
            <w:vAlign w:val="bottom"/>
          </w:tcPr>
          <w:p>
            <w:pPr>
              <w:spacing w:after="0"/>
              <w:rPr>
                <w:sz w:val="22"/>
                <w:szCs w:val="22"/>
                <w:color w:val="auto"/>
              </w:rPr>
            </w:pPr>
          </w:p>
        </w:tc>
        <w:tc>
          <w:tcPr>
            <w:tcW w:w="16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2"/>
                <w:szCs w:val="22"/>
                <w:color w:val="auto"/>
              </w:rPr>
            </w:pPr>
          </w:p>
        </w:tc>
      </w:tr>
      <w:tr>
        <w:trPr>
          <w:trHeight w:val="256"/>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1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9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2"/>
                <w:szCs w:val="22"/>
                <w:color w:val="auto"/>
              </w:rPr>
            </w:pPr>
          </w:p>
        </w:tc>
      </w:tr>
      <w:tr>
        <w:trPr>
          <w:trHeight w:val="303"/>
        </w:trPr>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4"/>
                <w:szCs w:val="24"/>
                <w:color w:val="auto"/>
              </w:rPr>
            </w:pPr>
          </w:p>
        </w:tc>
      </w:tr>
    </w:tbl>
    <w:p>
      <w:pPr>
        <w:spacing w:after="0" w:line="15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7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4, 2026, there were 101,661,570 shares of the registrant’s common stock outstanding.</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02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r>
      <w:tr>
        <w:trPr>
          <w:trHeight w:val="232"/>
        </w:trPr>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$0.005 par value</w:t>
            </w:r>
          </w:p>
        </w:tc>
        <w:tc>
          <w:tcPr>
            <w:tcW w:w="140" w:type="dxa"/>
            <w:vAlign w:val="bottom"/>
          </w:tcPr>
          <w:p>
            <w:pPr>
              <w:spacing w:after="0"/>
              <w:rPr>
                <w:sz w:val="20"/>
                <w:szCs w:val="20"/>
                <w:color w:val="auto"/>
              </w:rPr>
            </w:pPr>
          </w:p>
        </w:tc>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ACIW</w:t>
            </w:r>
          </w:p>
        </w:tc>
        <w:tc>
          <w:tcPr>
            <w:tcW w:w="140" w:type="dxa"/>
            <w:vAlign w:val="bottom"/>
          </w:tcPr>
          <w:p>
            <w:pPr>
              <w:spacing w:after="0"/>
              <w:rPr>
                <w:sz w:val="20"/>
                <w:szCs w:val="20"/>
                <w:color w:val="auto"/>
              </w:rPr>
            </w:pPr>
          </w:p>
        </w:tc>
        <w:tc>
          <w:tcPr>
            <w:tcW w:w="3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153"/>
        </w:trPr>
        <w:tc>
          <w:tcPr>
            <w:tcW w:w="3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21"/>
        </w:trPr>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770"/>
        </w:trPr>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20" w:type="dxa"/>
            <w:vAlign w:val="bottom"/>
            <w:gridSpan w:val="12"/>
            <w:vMerge w:val="restart"/>
          </w:tcPr>
          <w:p>
            <w:pPr>
              <w:jc w:val="center"/>
              <w:ind w:right="3260"/>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20" w:type="dxa"/>
            <w:vAlign w:val="bottom"/>
            <w:gridSpan w:val="12"/>
            <w:vMerge w:val="continue"/>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80" w:type="dxa"/>
            <w:vAlign w:val="bottom"/>
          </w:tcPr>
          <w:p>
            <w:pPr>
              <w:spacing w:after="0"/>
              <w:rPr>
                <w:sz w:val="24"/>
                <w:szCs w:val="24"/>
                <w:color w:val="auto"/>
              </w:rPr>
            </w:pPr>
          </w:p>
        </w:tc>
        <w:tc>
          <w:tcPr>
            <w:tcW w:w="3160" w:type="dxa"/>
            <w:vAlign w:val="bottom"/>
            <w:tcBorders>
              <w:top w:val="single" w:sz="8" w:color="0000FF"/>
            </w:tcBorders>
            <w:gridSpan w:val="6"/>
          </w:tcPr>
          <w:p>
            <w:pPr>
              <w:spacing w:after="0"/>
              <w:rPr>
                <w:sz w:val="24"/>
                <w:szCs w:val="24"/>
                <w:color w:val="auto"/>
              </w:rPr>
            </w:pPr>
          </w:p>
        </w:tc>
        <w:tc>
          <w:tcPr>
            <w:tcW w:w="326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2026 and 2025</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Months Ended March 31, 2026 and 2025</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8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2026 and 2025</w:t>
            </w:r>
          </w:p>
        </w:tc>
        <w:tc>
          <w:tcPr>
            <w:tcW w:w="68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2026 and 2025</w:t>
            </w:r>
          </w:p>
        </w:tc>
        <w:tc>
          <w:tcPr>
            <w:tcW w:w="1580" w:type="dxa"/>
            <w:vAlign w:val="bottom"/>
            <w:gridSpan w:val="3"/>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280" w:type="dxa"/>
            <w:vAlign w:val="bottom"/>
            <w:gridSpan w:val="10"/>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6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5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960" w:type="dxa"/>
            <w:vAlign w:val="bottom"/>
            <w:gridSpan w:val="5"/>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20" w:type="dxa"/>
            <w:vAlign w:val="bottom"/>
            <w:gridSpan w:val="8"/>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79"/>
        </w:trPr>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400" w:type="dxa"/>
            <w:vAlign w:val="bottom"/>
            <w:gridSpan w:val="7"/>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140" w:type="dxa"/>
            <w:vAlign w:val="bottom"/>
            <w:gridSpan w:val="16"/>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40" w:type="dxa"/>
            <w:vAlign w:val="bottom"/>
            <w:gridSpan w:val="9"/>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140" w:type="dxa"/>
            <w:vAlign w:val="bottom"/>
            <w:gridSpan w:val="9"/>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160" w:type="dxa"/>
            <w:vAlign w:val="bottom"/>
            <w:gridSpan w:val="14"/>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18"/>
                <w:szCs w:val="18"/>
                <w:color w:val="auto"/>
              </w:rPr>
            </w:pPr>
          </w:p>
        </w:tc>
        <w:tc>
          <w:tcPr>
            <w:tcW w:w="7720" w:type="dxa"/>
            <w:vAlign w:val="bottom"/>
            <w:gridSpan w:val="15"/>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79"/>
        </w:trPr>
        <w:tc>
          <w:tcPr>
            <w:tcW w:w="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2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90"/>
        </w:trPr>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3"/>
        </w:trPr>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5"/>
        </w:trPr>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84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ACI WORLDWIDE, INC. AND SUBSIDIARIES</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16"/>
        </w:trPr>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4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980" w:type="dxa"/>
            <w:vAlign w:val="bottom"/>
            <w:gridSpan w:val="2"/>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(unaudited and in thousands, except share and per share amounts)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7"/>
        </w:trPr>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0"/>
        </w:trPr>
        <w:tc>
          <w:tcPr>
            <w:tcW w:w="60" w:type="dxa"/>
            <w:vAlign w:val="bottom"/>
          </w:tcPr>
          <w:p>
            <w:pPr>
              <w:spacing w:after="0"/>
              <w:rPr>
                <w:sz w:val="20"/>
                <w:szCs w:val="20"/>
                <w:color w:val="auto"/>
              </w:rPr>
            </w:pPr>
          </w:p>
        </w:tc>
        <w:tc>
          <w:tcPr>
            <w:tcW w:w="8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8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196,462</w:t>
            </w:r>
          </w:p>
        </w:tc>
      </w:tr>
      <w:tr>
        <w:trPr>
          <w:trHeight w:val="229"/>
        </w:trPr>
        <w:tc>
          <w:tcPr>
            <w:tcW w:w="60" w:type="dxa"/>
            <w:vAlign w:val="bottom"/>
          </w:tcPr>
          <w:p>
            <w:pPr>
              <w:spacing w:after="0"/>
              <w:rPr>
                <w:sz w:val="19"/>
                <w:szCs w:val="19"/>
                <w:color w:val="auto"/>
              </w:rPr>
            </w:pPr>
          </w:p>
        </w:tc>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Receivables, net of allowances of $1,352 and $1,269, respectively</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445,866</w:t>
            </w:r>
          </w:p>
        </w:tc>
      </w:tr>
      <w:tr>
        <w:trPr>
          <w:trHeight w:val="250"/>
        </w:trPr>
        <w:tc>
          <w:tcPr>
            <w:tcW w:w="6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Settlement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397,346</w:t>
            </w:r>
          </w:p>
        </w:tc>
      </w:tr>
      <w:tr>
        <w:trPr>
          <w:trHeight w:val="243"/>
        </w:trPr>
        <w:tc>
          <w:tcPr>
            <w:tcW w:w="60" w:type="dxa"/>
            <w:vAlign w:val="bottom"/>
          </w:tcPr>
          <w:p>
            <w:pPr>
              <w:spacing w:after="0"/>
              <w:rPr>
                <w:sz w:val="21"/>
                <w:szCs w:val="21"/>
                <w:color w:val="auto"/>
              </w:rPr>
            </w:pPr>
          </w:p>
        </w:tc>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29,876</w:t>
            </w:r>
          </w:p>
        </w:tc>
      </w:tr>
      <w:tr>
        <w:trPr>
          <w:trHeight w:val="27"/>
        </w:trPr>
        <w:tc>
          <w:tcPr>
            <w:tcW w:w="60" w:type="dxa"/>
            <w:vAlign w:val="bottom"/>
          </w:tcPr>
          <w:p>
            <w:pPr>
              <w:spacing w:after="0"/>
              <w:rPr>
                <w:sz w:val="2"/>
                <w:szCs w:val="2"/>
                <w:color w:val="auto"/>
              </w:rPr>
            </w:pPr>
          </w:p>
        </w:tc>
        <w:tc>
          <w:tcPr>
            <w:tcW w:w="8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80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19,564</w:t>
            </w:r>
          </w:p>
        </w:tc>
      </w:tr>
      <w:tr>
        <w:trPr>
          <w:trHeight w:val="223"/>
        </w:trPr>
        <w:tc>
          <w:tcPr>
            <w:tcW w:w="60" w:type="dxa"/>
            <w:vAlign w:val="bottom"/>
          </w:tcPr>
          <w:p>
            <w:pPr>
              <w:spacing w:after="0"/>
              <w:rPr>
                <w:sz w:val="19"/>
                <w:szCs w:val="19"/>
                <w:color w:val="auto"/>
              </w:rPr>
            </w:pPr>
          </w:p>
        </w:tc>
        <w:tc>
          <w:tcPr>
            <w:tcW w:w="80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1,133,007</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1,089,114</w:t>
            </w:r>
          </w:p>
        </w:tc>
      </w:tr>
      <w:tr>
        <w:trPr>
          <w:trHeight w:val="210"/>
        </w:trPr>
        <w:tc>
          <w:tcPr>
            <w:tcW w:w="60" w:type="dxa"/>
            <w:vAlign w:val="bottom"/>
          </w:tcPr>
          <w:p>
            <w:pPr>
              <w:spacing w:after="0"/>
              <w:rPr>
                <w:sz w:val="18"/>
                <w:szCs w:val="18"/>
                <w:color w:val="auto"/>
              </w:rPr>
            </w:pPr>
          </w:p>
        </w:tc>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60" w:type="dxa"/>
            <w:vAlign w:val="bottom"/>
          </w:tcPr>
          <w:p>
            <w:pPr>
              <w:spacing w:after="0"/>
              <w:rPr>
                <w:sz w:val="21"/>
                <w:szCs w:val="21"/>
                <w:color w:val="auto"/>
              </w:rPr>
            </w:pPr>
          </w:p>
        </w:tc>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Accrued receivables, net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391,719</w:t>
            </w:r>
          </w:p>
        </w:tc>
      </w:tr>
      <w:tr>
        <w:trPr>
          <w:trHeight w:val="27"/>
        </w:trPr>
        <w:tc>
          <w:tcPr>
            <w:tcW w:w="60" w:type="dxa"/>
            <w:vAlign w:val="bottom"/>
          </w:tcPr>
          <w:p>
            <w:pPr>
              <w:spacing w:after="0"/>
              <w:rPr>
                <w:sz w:val="2"/>
                <w:szCs w:val="2"/>
                <w:color w:val="auto"/>
              </w:rPr>
            </w:pPr>
          </w:p>
        </w:tc>
        <w:tc>
          <w:tcPr>
            <w:tcW w:w="8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37,363</w:t>
            </w:r>
          </w:p>
        </w:tc>
      </w:tr>
      <w:tr>
        <w:trPr>
          <w:trHeight w:val="243"/>
        </w:trPr>
        <w:tc>
          <w:tcPr>
            <w:tcW w:w="60" w:type="dxa"/>
            <w:vAlign w:val="bottom"/>
          </w:tcPr>
          <w:p>
            <w:pPr>
              <w:spacing w:after="0"/>
              <w:rPr>
                <w:sz w:val="21"/>
                <w:szCs w:val="21"/>
                <w:color w:val="auto"/>
              </w:rPr>
            </w:pPr>
          </w:p>
        </w:tc>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28,733</w:t>
            </w:r>
          </w:p>
        </w:tc>
      </w:tr>
      <w:tr>
        <w:trPr>
          <w:trHeight w:val="27"/>
        </w:trPr>
        <w:tc>
          <w:tcPr>
            <w:tcW w:w="60" w:type="dxa"/>
            <w:vAlign w:val="bottom"/>
          </w:tcPr>
          <w:p>
            <w:pPr>
              <w:spacing w:after="0"/>
              <w:rPr>
                <w:sz w:val="2"/>
                <w:szCs w:val="2"/>
                <w:color w:val="auto"/>
              </w:rPr>
            </w:pPr>
          </w:p>
        </w:tc>
        <w:tc>
          <w:tcPr>
            <w:tcW w:w="8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Software,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77,523</w:t>
            </w:r>
          </w:p>
        </w:tc>
      </w:tr>
      <w:tr>
        <w:trPr>
          <w:trHeight w:val="243"/>
        </w:trPr>
        <w:tc>
          <w:tcPr>
            <w:tcW w:w="60" w:type="dxa"/>
            <w:vAlign w:val="bottom"/>
          </w:tcPr>
          <w:p>
            <w:pPr>
              <w:spacing w:after="0"/>
              <w:rPr>
                <w:sz w:val="21"/>
                <w:szCs w:val="21"/>
                <w:color w:val="auto"/>
              </w:rPr>
            </w:pPr>
          </w:p>
        </w:tc>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1,231,026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1,231,128</w:t>
            </w:r>
          </w:p>
        </w:tc>
      </w:tr>
      <w:tr>
        <w:trPr>
          <w:trHeight w:val="27"/>
        </w:trPr>
        <w:tc>
          <w:tcPr>
            <w:tcW w:w="60" w:type="dxa"/>
            <w:vAlign w:val="bottom"/>
          </w:tcPr>
          <w:p>
            <w:pPr>
              <w:spacing w:after="0"/>
              <w:rPr>
                <w:sz w:val="2"/>
                <w:szCs w:val="2"/>
                <w:color w:val="auto"/>
              </w:rPr>
            </w:pPr>
          </w:p>
        </w:tc>
        <w:tc>
          <w:tcPr>
            <w:tcW w:w="8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147,062</w:t>
            </w:r>
          </w:p>
        </w:tc>
      </w:tr>
      <w:tr>
        <w:trPr>
          <w:trHeight w:val="243"/>
        </w:trPr>
        <w:tc>
          <w:tcPr>
            <w:tcW w:w="60" w:type="dxa"/>
            <w:vAlign w:val="bottom"/>
          </w:tcPr>
          <w:p>
            <w:pPr>
              <w:spacing w:after="0"/>
              <w:rPr>
                <w:sz w:val="21"/>
                <w:szCs w:val="21"/>
                <w:color w:val="auto"/>
              </w:rPr>
            </w:pPr>
          </w:p>
        </w:tc>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73,124</w:t>
            </w:r>
          </w:p>
        </w:tc>
      </w:tr>
      <w:tr>
        <w:trPr>
          <w:trHeight w:val="27"/>
        </w:trPr>
        <w:tc>
          <w:tcPr>
            <w:tcW w:w="60" w:type="dxa"/>
            <w:vAlign w:val="bottom"/>
          </w:tcPr>
          <w:p>
            <w:pPr>
              <w:spacing w:after="0"/>
              <w:rPr>
                <w:sz w:val="2"/>
                <w:szCs w:val="2"/>
                <w:color w:val="auto"/>
              </w:rPr>
            </w:pPr>
          </w:p>
        </w:tc>
        <w:tc>
          <w:tcPr>
            <w:tcW w:w="8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80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29,141</w:t>
            </w:r>
          </w:p>
        </w:tc>
      </w:tr>
      <w:tr>
        <w:trPr>
          <w:trHeight w:val="223"/>
        </w:trPr>
        <w:tc>
          <w:tcPr>
            <w:tcW w:w="60" w:type="dxa"/>
            <w:vAlign w:val="bottom"/>
          </w:tcPr>
          <w:p>
            <w:pPr>
              <w:spacing w:after="0"/>
              <w:rPr>
                <w:sz w:val="19"/>
                <w:szCs w:val="19"/>
                <w:color w:val="auto"/>
              </w:rPr>
            </w:pPr>
          </w:p>
        </w:tc>
        <w:tc>
          <w:tcPr>
            <w:tcW w:w="80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3,104,622</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3,104,907</w:t>
            </w:r>
          </w:p>
        </w:tc>
      </w:tr>
      <w:tr>
        <w:trPr>
          <w:trHeight w:val="20"/>
        </w:trPr>
        <w:tc>
          <w:tcPr>
            <w:tcW w:w="60" w:type="dxa"/>
            <w:vAlign w:val="bottom"/>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80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3"/>
        </w:trPr>
        <w:tc>
          <w:tcPr>
            <w:tcW w:w="60" w:type="dxa"/>
            <w:vAlign w:val="bottom"/>
          </w:tcPr>
          <w:p>
            <w:pPr>
              <w:spacing w:after="0"/>
              <w:rPr>
                <w:sz w:val="21"/>
                <w:szCs w:val="21"/>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8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64,931</w:t>
            </w:r>
          </w:p>
        </w:tc>
      </w:tr>
      <w:tr>
        <w:trPr>
          <w:trHeight w:val="243"/>
        </w:trPr>
        <w:tc>
          <w:tcPr>
            <w:tcW w:w="60" w:type="dxa"/>
            <w:vAlign w:val="bottom"/>
          </w:tcPr>
          <w:p>
            <w:pPr>
              <w:spacing w:after="0"/>
              <w:rPr>
                <w:sz w:val="21"/>
                <w:szCs w:val="21"/>
                <w:color w:val="auto"/>
              </w:rPr>
            </w:pPr>
          </w:p>
        </w:tc>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Settlement liabilities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396,034</w:t>
            </w:r>
          </w:p>
        </w:tc>
      </w:tr>
      <w:tr>
        <w:trPr>
          <w:trHeight w:val="27"/>
        </w:trPr>
        <w:tc>
          <w:tcPr>
            <w:tcW w:w="60" w:type="dxa"/>
            <w:vAlign w:val="bottom"/>
          </w:tcPr>
          <w:p>
            <w:pPr>
              <w:spacing w:after="0"/>
              <w:rPr>
                <w:sz w:val="2"/>
                <w:szCs w:val="2"/>
                <w:color w:val="auto"/>
              </w:rPr>
            </w:pPr>
          </w:p>
        </w:tc>
        <w:tc>
          <w:tcPr>
            <w:tcW w:w="8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Employee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56,142</w:t>
            </w:r>
          </w:p>
        </w:tc>
      </w:tr>
      <w:tr>
        <w:trPr>
          <w:trHeight w:val="229"/>
        </w:trPr>
        <w:tc>
          <w:tcPr>
            <w:tcW w:w="60" w:type="dxa"/>
            <w:vAlign w:val="bottom"/>
          </w:tcPr>
          <w:p>
            <w:pPr>
              <w:spacing w:after="0"/>
              <w:rPr>
                <w:sz w:val="19"/>
                <w:szCs w:val="19"/>
                <w:color w:val="auto"/>
              </w:rPr>
            </w:pPr>
          </w:p>
        </w:tc>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40,941</w:t>
            </w:r>
          </w:p>
        </w:tc>
      </w:tr>
      <w:tr>
        <w:trPr>
          <w:trHeight w:val="250"/>
        </w:trPr>
        <w:tc>
          <w:tcPr>
            <w:tcW w:w="6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73,637</w:t>
            </w:r>
          </w:p>
        </w:tc>
      </w:tr>
      <w:tr>
        <w:trPr>
          <w:trHeight w:val="243"/>
        </w:trPr>
        <w:tc>
          <w:tcPr>
            <w:tcW w:w="60" w:type="dxa"/>
            <w:vAlign w:val="bottom"/>
          </w:tcPr>
          <w:p>
            <w:pPr>
              <w:spacing w:after="0"/>
              <w:rPr>
                <w:sz w:val="21"/>
                <w:szCs w:val="21"/>
                <w:color w:val="auto"/>
              </w:rPr>
            </w:pPr>
          </w:p>
        </w:tc>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73,958</w:t>
            </w:r>
          </w:p>
        </w:tc>
      </w:tr>
      <w:tr>
        <w:trPr>
          <w:trHeight w:val="27"/>
        </w:trPr>
        <w:tc>
          <w:tcPr>
            <w:tcW w:w="60" w:type="dxa"/>
            <w:vAlign w:val="bottom"/>
          </w:tcPr>
          <w:p>
            <w:pPr>
              <w:spacing w:after="0"/>
              <w:rPr>
                <w:sz w:val="2"/>
                <w:szCs w:val="2"/>
                <w:color w:val="auto"/>
              </w:rPr>
            </w:pPr>
          </w:p>
        </w:tc>
        <w:tc>
          <w:tcPr>
            <w:tcW w:w="80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0" w:type="dxa"/>
            <w:vAlign w:val="bottom"/>
          </w:tcPr>
          <w:p>
            <w:pPr>
              <w:spacing w:after="0"/>
              <w:rPr>
                <w:sz w:val="19"/>
                <w:szCs w:val="19"/>
                <w:color w:val="auto"/>
              </w:rPr>
            </w:pPr>
          </w:p>
        </w:tc>
        <w:tc>
          <w:tcPr>
            <w:tcW w:w="8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739,379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705,643</w:t>
            </w:r>
          </w:p>
        </w:tc>
      </w:tr>
      <w:tr>
        <w:trPr>
          <w:trHeight w:val="223"/>
        </w:trPr>
        <w:tc>
          <w:tcPr>
            <w:tcW w:w="60" w:type="dxa"/>
            <w:vAlign w:val="bottom"/>
          </w:tcPr>
          <w:p>
            <w:pPr>
              <w:spacing w:after="0"/>
              <w:rPr>
                <w:sz w:val="19"/>
                <w:szCs w:val="19"/>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
        </w:trPr>
        <w:tc>
          <w:tcPr>
            <w:tcW w:w="60" w:type="dxa"/>
            <w:vAlign w:val="bottom"/>
          </w:tcPr>
          <w:p>
            <w:pPr>
              <w:spacing w:after="0"/>
              <w:rPr>
                <w:sz w:val="2"/>
                <w:szCs w:val="2"/>
                <w:color w:val="auto"/>
              </w:rPr>
            </w:pPr>
          </w:p>
        </w:tc>
        <w:tc>
          <w:tcPr>
            <w:tcW w:w="8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60" w:type="dxa"/>
            <w:vAlign w:val="bottom"/>
          </w:tcPr>
          <w:p>
            <w:pPr>
              <w:spacing w:after="0"/>
              <w:rPr>
                <w:sz w:val="19"/>
                <w:szCs w:val="19"/>
                <w:color w:val="auto"/>
              </w:rPr>
            </w:pPr>
          </w:p>
        </w:tc>
        <w:tc>
          <w:tcPr>
            <w:tcW w:w="8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w:t>
            </w:r>
          </w:p>
        </w:tc>
      </w:tr>
      <w:tr>
        <w:trPr>
          <w:trHeight w:val="230"/>
        </w:trPr>
        <w:tc>
          <w:tcPr>
            <w:tcW w:w="60" w:type="dxa"/>
            <w:vAlign w:val="bottom"/>
          </w:tcPr>
          <w:p>
            <w:pPr>
              <w:spacing w:after="0"/>
              <w:rPr>
                <w:sz w:val="19"/>
                <w:szCs w:val="19"/>
                <w:color w:val="auto"/>
              </w:rPr>
            </w:pPr>
          </w:p>
        </w:tc>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776,667</w:t>
            </w:r>
          </w:p>
        </w:tc>
      </w:tr>
      <w:tr>
        <w:trPr>
          <w:trHeight w:val="230"/>
        </w:trPr>
        <w:tc>
          <w:tcPr>
            <w:tcW w:w="60" w:type="dxa"/>
            <w:vAlign w:val="bottom"/>
          </w:tcPr>
          <w:p>
            <w:pPr>
              <w:spacing w:after="0"/>
              <w:rPr>
                <w:sz w:val="19"/>
                <w:szCs w:val="19"/>
                <w:color w:val="auto"/>
              </w:rPr>
            </w:pPr>
          </w:p>
        </w:tc>
        <w:tc>
          <w:tcPr>
            <w:tcW w:w="8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38,514</w:t>
            </w:r>
          </w:p>
        </w:tc>
      </w:tr>
      <w:tr>
        <w:trPr>
          <w:trHeight w:val="230"/>
        </w:trPr>
        <w:tc>
          <w:tcPr>
            <w:tcW w:w="60" w:type="dxa"/>
            <w:vAlign w:val="bottom"/>
          </w:tcPr>
          <w:p>
            <w:pPr>
              <w:spacing w:after="0"/>
              <w:rPr>
                <w:sz w:val="19"/>
                <w:szCs w:val="19"/>
                <w:color w:val="auto"/>
              </w:rPr>
            </w:pPr>
          </w:p>
        </w:tc>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22,609</w:t>
            </w:r>
          </w:p>
        </w:tc>
      </w:tr>
      <w:tr>
        <w:trPr>
          <w:trHeight w:val="229"/>
        </w:trPr>
        <w:tc>
          <w:tcPr>
            <w:tcW w:w="60" w:type="dxa"/>
            <w:vAlign w:val="bottom"/>
          </w:tcPr>
          <w:p>
            <w:pPr>
              <w:spacing w:after="0"/>
              <w:rPr>
                <w:sz w:val="19"/>
                <w:szCs w:val="19"/>
                <w:color w:val="auto"/>
              </w:rPr>
            </w:pPr>
          </w:p>
        </w:tc>
        <w:tc>
          <w:tcPr>
            <w:tcW w:w="8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28,776</w:t>
            </w:r>
          </w:p>
        </w:tc>
      </w:tr>
      <w:tr>
        <w:trPr>
          <w:trHeight w:val="223"/>
        </w:trPr>
        <w:tc>
          <w:tcPr>
            <w:tcW w:w="60" w:type="dxa"/>
            <w:vAlign w:val="bottom"/>
          </w:tcPr>
          <w:p>
            <w:pPr>
              <w:spacing w:after="0"/>
              <w:rPr>
                <w:sz w:val="19"/>
                <w:szCs w:val="19"/>
                <w:color w:val="auto"/>
              </w:rPr>
            </w:pPr>
          </w:p>
        </w:tc>
        <w:tc>
          <w:tcPr>
            <w:tcW w:w="802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1,603,986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1,585,829</w:t>
            </w:r>
          </w:p>
        </w:tc>
      </w:tr>
      <w:tr>
        <w:trPr>
          <w:trHeight w:val="230"/>
        </w:trPr>
        <w:tc>
          <w:tcPr>
            <w:tcW w:w="60" w:type="dxa"/>
            <w:vAlign w:val="bottom"/>
          </w:tcPr>
          <w:p>
            <w:pPr>
              <w:spacing w:after="0"/>
              <w:rPr>
                <w:sz w:val="20"/>
                <w:szCs w:val="20"/>
                <w:color w:val="auto"/>
              </w:rPr>
            </w:pPr>
          </w:p>
        </w:tc>
        <w:tc>
          <w:tcPr>
            <w:tcW w:w="8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8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6"/>
        </w:trPr>
        <w:tc>
          <w:tcPr>
            <w:tcW w:w="60" w:type="dxa"/>
            <w:vAlign w:val="bottom"/>
          </w:tcPr>
          <w:p>
            <w:pPr>
              <w:spacing w:after="0"/>
              <w:rPr>
                <w:sz w:val="15"/>
                <w:szCs w:val="15"/>
                <w:color w:val="auto"/>
              </w:rPr>
            </w:pPr>
          </w:p>
        </w:tc>
        <w:tc>
          <w:tcPr>
            <w:tcW w:w="8020" w:type="dxa"/>
            <w:vAlign w:val="bottom"/>
            <w:gridSpan w:val="2"/>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Preferred stock; $0.01 par value; 5,000,000 shares authorized; no shares issued at March 31, 2026, and</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60" w:type="dxa"/>
            <w:vAlign w:val="bottom"/>
          </w:tcPr>
          <w:p>
            <w:pPr>
              <w:spacing w:after="0"/>
              <w:rPr>
                <w:sz w:val="21"/>
                <w:szCs w:val="21"/>
                <w:color w:val="auto"/>
              </w:rPr>
            </w:pPr>
          </w:p>
        </w:tc>
        <w:tc>
          <w:tcPr>
            <w:tcW w:w="8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0" w:type="dxa"/>
            <w:vAlign w:val="bottom"/>
          </w:tcPr>
          <w:p>
            <w:pPr>
              <w:spacing w:after="0"/>
              <w:rPr>
                <w:sz w:val="15"/>
                <w:szCs w:val="15"/>
                <w:color w:val="auto"/>
              </w:rPr>
            </w:pPr>
          </w:p>
        </w:tc>
        <w:tc>
          <w:tcPr>
            <w:tcW w:w="8020" w:type="dxa"/>
            <w:vAlign w:val="bottom"/>
            <w:gridSpan w:val="2"/>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$0.005 par value; 280,000,000 shares authorized; 140,525,055 shares issued at</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60" w:type="dxa"/>
            <w:vAlign w:val="bottom"/>
          </w:tcPr>
          <w:p>
            <w:pPr>
              <w:spacing w:after="0"/>
              <w:rPr>
                <w:sz w:val="21"/>
                <w:szCs w:val="21"/>
                <w:color w:val="auto"/>
              </w:rPr>
            </w:pPr>
          </w:p>
        </w:tc>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29"/>
        </w:trPr>
        <w:tc>
          <w:tcPr>
            <w:tcW w:w="60" w:type="dxa"/>
            <w:vAlign w:val="bottom"/>
          </w:tcPr>
          <w:p>
            <w:pPr>
              <w:spacing w:after="0"/>
              <w:rPr>
                <w:sz w:val="19"/>
                <w:szCs w:val="19"/>
                <w:color w:val="auto"/>
              </w:rPr>
            </w:pPr>
          </w:p>
        </w:tc>
        <w:tc>
          <w:tcPr>
            <w:tcW w:w="8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761,523</w:t>
            </w:r>
          </w:p>
        </w:tc>
      </w:tr>
      <w:tr>
        <w:trPr>
          <w:trHeight w:val="230"/>
        </w:trPr>
        <w:tc>
          <w:tcPr>
            <w:tcW w:w="60" w:type="dxa"/>
            <w:vAlign w:val="bottom"/>
          </w:tcPr>
          <w:p>
            <w:pPr>
              <w:spacing w:after="0"/>
              <w:rPr>
                <w:sz w:val="19"/>
                <w:szCs w:val="19"/>
                <w:color w:val="auto"/>
              </w:rPr>
            </w:pPr>
          </w:p>
        </w:tc>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1,863,049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1,824,743</w:t>
            </w:r>
          </w:p>
        </w:tc>
      </w:tr>
      <w:tr>
        <w:trPr>
          <w:trHeight w:val="175"/>
        </w:trPr>
        <w:tc>
          <w:tcPr>
            <w:tcW w:w="60" w:type="dxa"/>
            <w:vAlign w:val="bottom"/>
          </w:tcPr>
          <w:p>
            <w:pPr>
              <w:spacing w:after="0"/>
              <w:rPr>
                <w:sz w:val="15"/>
                <w:szCs w:val="15"/>
                <w:color w:val="auto"/>
              </w:rPr>
            </w:pPr>
          </w:p>
        </w:tc>
        <w:tc>
          <w:tcPr>
            <w:tcW w:w="8020" w:type="dxa"/>
            <w:vAlign w:val="bottom"/>
            <w:gridSpan w:val="2"/>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Treasury stock, at cost, 39,160,288 and 37,812,984 shares at March 31, 2026, and December 31, 2025,</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60" w:type="dxa"/>
            <w:vAlign w:val="bottom"/>
          </w:tcPr>
          <w:p>
            <w:pPr>
              <w:spacing w:after="0"/>
              <w:rPr>
                <w:sz w:val="21"/>
                <w:szCs w:val="21"/>
                <w:color w:val="auto"/>
              </w:rPr>
            </w:pPr>
          </w:p>
        </w:tc>
        <w:tc>
          <w:tcPr>
            <w:tcW w:w="8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(1,026,803)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(964,752)</w:t>
            </w:r>
          </w:p>
        </w:tc>
      </w:tr>
      <w:tr>
        <w:trPr>
          <w:trHeight w:val="229"/>
        </w:trPr>
        <w:tc>
          <w:tcPr>
            <w:tcW w:w="60" w:type="dxa"/>
            <w:vAlign w:val="bottom"/>
          </w:tcPr>
          <w:p>
            <w:pPr>
              <w:spacing w:after="0"/>
              <w:rPr>
                <w:sz w:val="19"/>
                <w:szCs w:val="19"/>
                <w:color w:val="auto"/>
              </w:rPr>
            </w:pPr>
          </w:p>
        </w:tc>
        <w:tc>
          <w:tcPr>
            <w:tcW w:w="80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(103,138)</w:t>
            </w:r>
          </w:p>
        </w:tc>
      </w:tr>
      <w:tr>
        <w:trPr>
          <w:trHeight w:val="223"/>
        </w:trPr>
        <w:tc>
          <w:tcPr>
            <w:tcW w:w="60" w:type="dxa"/>
            <w:vAlign w:val="bottom"/>
          </w:tcPr>
          <w:p>
            <w:pPr>
              <w:spacing w:after="0"/>
              <w:rPr>
                <w:sz w:val="19"/>
                <w:szCs w:val="19"/>
                <w:color w:val="auto"/>
              </w:rPr>
            </w:pPr>
          </w:p>
        </w:tc>
        <w:tc>
          <w:tcPr>
            <w:tcW w:w="8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1,500,636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1,519,078</w:t>
            </w:r>
          </w:p>
        </w:tc>
      </w:tr>
      <w:tr>
        <w:trPr>
          <w:trHeight w:val="223"/>
        </w:trPr>
        <w:tc>
          <w:tcPr>
            <w:tcW w:w="60" w:type="dxa"/>
            <w:vAlign w:val="bottom"/>
          </w:tcPr>
          <w:p>
            <w:pPr>
              <w:spacing w:after="0"/>
              <w:rPr>
                <w:sz w:val="19"/>
                <w:szCs w:val="19"/>
                <w:color w:val="auto"/>
              </w:rPr>
            </w:pPr>
          </w:p>
        </w:tc>
        <w:tc>
          <w:tcPr>
            <w:tcW w:w="80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3,104,622</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3,104,907</w:t>
            </w:r>
          </w:p>
        </w:tc>
      </w:tr>
      <w:tr>
        <w:trPr>
          <w:trHeight w:val="20"/>
        </w:trPr>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ectPr>
          <w:pgSz w:w="11900" w:h="16838" w:orient="portrait"/>
          <w:cols w:equalWidth="0" w:num="1">
            <w:col w:w="11180"/>
          </w:cols>
          <w:pgMar w:left="320" w:top="108" w:right="399" w:bottom="4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457"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ACI WORLDWIDE,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and in thousands, except per share amounts)</w:t>
      </w:r>
    </w:p>
    <w:p>
      <w:pPr>
        <w:spacing w:after="0" w:line="27"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19685</wp:posOffset>
            </wp:positionV>
            <wp:extent cx="2005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left="8660"/>
        <w:spacing w:after="0"/>
        <w:tabs>
          <w:tab w:leader="none" w:pos="1028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Software as a service and platform as a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License</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Services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Total revenues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Cost of revenue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Selling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net</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261,957</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237,083</w:t>
            </w:r>
          </w:p>
        </w:tc>
      </w:tr>
      <w:tr>
        <w:trPr>
          <w:trHeight w:val="270"/>
        </w:trPr>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88,041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84,493</w:t>
            </w:r>
          </w:p>
        </w:tc>
      </w:tr>
      <w:tr>
        <w:trPr>
          <w:trHeight w:val="270"/>
        </w:trPr>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48,642</w:t>
            </w:r>
          </w:p>
        </w:tc>
      </w:tr>
      <w:tr>
        <w:trPr>
          <w:trHeight w:val="270"/>
        </w:trPr>
        <w:tc>
          <w:tcPr>
            <w:tcW w:w="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24,833</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24,347</w:t>
            </w:r>
          </w:p>
        </w:tc>
      </w:tr>
      <w:tr>
        <w:trPr>
          <w:trHeight w:val="250"/>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425,749</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394,565</w:t>
            </w:r>
          </w:p>
        </w:tc>
      </w:tr>
      <w:tr>
        <w:trPr>
          <w:trHeight w:val="479"/>
        </w:trPr>
        <w:tc>
          <w:tcPr>
            <w:tcW w:w="4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228,459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213,378</w:t>
            </w:r>
          </w:p>
        </w:tc>
      </w:tr>
      <w:tr>
        <w:trPr>
          <w:trHeight w:val="270"/>
        </w:trPr>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38,908</w:t>
            </w:r>
          </w:p>
        </w:tc>
      </w:tr>
      <w:tr>
        <w:trPr>
          <w:trHeight w:val="270"/>
        </w:trPr>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32,186</w:t>
            </w:r>
          </w:p>
        </w:tc>
      </w:tr>
      <w:tr>
        <w:trPr>
          <w:trHeight w:val="270"/>
        </w:trPr>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27,592</w:t>
            </w:r>
          </w:p>
        </w:tc>
      </w:tr>
      <w:tr>
        <w:trPr>
          <w:trHeight w:val="270"/>
        </w:trPr>
        <w:tc>
          <w:tcPr>
            <w:tcW w:w="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25,256</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23,985</w:t>
            </w:r>
          </w:p>
        </w:tc>
      </w:tr>
      <w:tr>
        <w:trPr>
          <w:trHeight w:val="250"/>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368,259</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336,049</w:t>
            </w:r>
          </w:p>
        </w:tc>
      </w:tr>
      <w:tr>
        <w:trPr>
          <w:trHeight w:val="223"/>
        </w:trPr>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57,490</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58,516</w:t>
            </w:r>
          </w:p>
        </w:tc>
      </w:tr>
      <w:tr>
        <w:trPr>
          <w:trHeight w:val="479"/>
        </w:trPr>
        <w:tc>
          <w:tcPr>
            <w:tcW w:w="4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(14,683)</w:t>
            </w:r>
          </w:p>
        </w:tc>
      </w:tr>
      <w:tr>
        <w:trPr>
          <w:trHeight w:val="270"/>
        </w:trPr>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r>
      <w:tr>
        <w:trPr>
          <w:trHeight w:val="268"/>
        </w:trPr>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23,740</w:t>
            </w:r>
          </w:p>
        </w:tc>
      </w:tr>
    </w:tbl>
    <w:p>
      <w:pPr>
        <w:spacing w:after="0" w:line="1" w:lineRule="exact"/>
        <w:rPr>
          <w:sz w:val="20"/>
          <w:szCs w:val="20"/>
          <w:color w:val="auto"/>
        </w:rPr>
      </w:pPr>
    </w:p>
    <w:p>
      <w:pPr>
        <w:sectPr>
          <w:pgSz w:w="11900" w:h="16838" w:orient="portrait"/>
          <w:cols w:equalWidth="0" w:num="2">
            <w:col w:w="7360" w:space="720"/>
            <w:col w:w="31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80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71,637</w:t>
            </w:r>
          </w:p>
        </w:tc>
      </w:tr>
      <w:tr>
        <w:trPr>
          <w:trHeight w:val="27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38,306</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58,870</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8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Income per common share</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7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7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105,350</w:t>
            </w:r>
          </w:p>
        </w:tc>
      </w:tr>
      <w:tr>
        <w:trPr>
          <w:trHeight w:val="234"/>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102,843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106,827</w:t>
            </w:r>
          </w:p>
        </w:tc>
      </w:tr>
    </w:tbl>
    <w:p>
      <w:pPr>
        <w:spacing w:after="0" w:line="314" w:lineRule="exact"/>
        <w:rPr>
          <w:sz w:val="20"/>
          <w:szCs w:val="20"/>
          <w:color w:val="auto"/>
        </w:rPr>
      </w:pPr>
    </w:p>
    <w:p>
      <w:pPr>
        <w:ind w:right="1740" w:firstLine="8"/>
        <w:spacing w:after="0" w:line="563"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revenue excludes charges for depreciation but includes amortization of purchased and developed software for resale. The accompanying notes are an integral part of the condensed consolidated financial statements.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768"/>
        </w:trPr>
        <w:tc>
          <w:tcPr>
            <w:tcW w:w="1240" w:type="dxa"/>
            <w:vAlign w:val="bottom"/>
            <w:tcBorders>
              <w:top w:val="single" w:sz="8" w:color="0000FF"/>
            </w:tcBorders>
          </w:tcPr>
          <w:p>
            <w:pPr>
              <w:spacing w:after="0"/>
              <w:rPr>
                <w:sz w:val="24"/>
                <w:szCs w:val="24"/>
                <w:color w:val="auto"/>
              </w:rPr>
            </w:pPr>
          </w:p>
        </w:tc>
        <w:tc>
          <w:tcPr>
            <w:tcW w:w="2340" w:type="dxa"/>
            <w:vAlign w:val="bottom"/>
          </w:tcPr>
          <w:p>
            <w:pPr>
              <w:spacing w:after="0"/>
              <w:rPr>
                <w:sz w:val="24"/>
                <w:szCs w:val="24"/>
                <w:color w:val="auto"/>
              </w:rPr>
            </w:pPr>
          </w:p>
        </w:tc>
        <w:tc>
          <w:tcPr>
            <w:tcW w:w="4720" w:type="dxa"/>
            <w:vAlign w:val="bottom"/>
            <w:gridSpan w:val="2"/>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ACI WORLDWIDE, INC. AND SUBSIDIARIES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8480" w:type="dxa"/>
            <w:vAlign w:val="bottom"/>
            <w:gridSpan w:val="5"/>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1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72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(unaudited and in thousands)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13"/>
        </w:trPr>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4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tcPr>
          <w:p>
            <w:pPr>
              <w:spacing w:after="0"/>
              <w:rPr>
                <w:sz w:val="19"/>
                <w:szCs w:val="19"/>
                <w:color w:val="auto"/>
              </w:rPr>
            </w:pPr>
          </w:p>
        </w:tc>
        <w:tc>
          <w:tcPr>
            <w:tcW w:w="4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38,306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58,870</w:t>
            </w:r>
          </w:p>
        </w:tc>
      </w:tr>
      <w:tr>
        <w:trPr>
          <w:trHeight w:val="24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4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580" w:type="dxa"/>
            <w:vAlign w:val="bottom"/>
            <w:gridSpan w:val="2"/>
          </w:tcPr>
          <w:p>
            <w:pPr>
              <w:spacing w:after="0"/>
              <w:rPr>
                <w:sz w:val="2"/>
                <w:szCs w:val="2"/>
                <w:color w:val="auto"/>
              </w:rPr>
            </w:pPr>
          </w:p>
        </w:tc>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5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(5,008)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w:t>
            </w:r>
          </w:p>
        </w:tc>
      </w:tr>
      <w:tr>
        <w:trPr>
          <w:trHeight w:val="250"/>
        </w:trPr>
        <w:tc>
          <w:tcPr>
            <w:tcW w:w="35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45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8"/>
              </w:rPr>
              <w:t>(5,008)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w:t>
            </w:r>
          </w:p>
        </w:tc>
      </w:tr>
      <w:tr>
        <w:trPr>
          <w:trHeight w:val="248"/>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4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33,298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66,749</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b w:val="1"/>
          <w:bCs w:val="1"/>
          <w:color w:val="auto"/>
        </w:rPr>
        <w:t>ACI WORLDWIDE, INC. AND SUBSIDIARIES CONDENSED CONSOLIDATED STATEMENTS OF STOCKHOLDERS’ EQUITY (unaudited and in thousands, except share amounts)</w:t>
      </w: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3"/>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860" w:type="dxa"/>
            <w:vAlign w:val="bottom"/>
          </w:tcPr>
          <w:p>
            <w:pPr>
              <w:spacing w:after="0"/>
              <w:rPr>
                <w:sz w:val="16"/>
                <w:szCs w:val="16"/>
                <w:color w:val="auto"/>
              </w:rPr>
            </w:pP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80" w:type="dxa"/>
            <w:vAlign w:val="bottom"/>
          </w:tcPr>
          <w:p>
            <w:pPr>
              <w:spacing w:after="0"/>
              <w:rPr>
                <w:sz w:val="16"/>
                <w:szCs w:val="16"/>
                <w:color w:val="auto"/>
              </w:rPr>
            </w:pPr>
          </w:p>
        </w:tc>
        <w:tc>
          <w:tcPr>
            <w:tcW w:w="15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60" w:type="dxa"/>
            <w:vAlign w:val="bottom"/>
          </w:tcPr>
          <w:p>
            <w:pPr>
              <w:spacing w:after="0"/>
              <w:rPr>
                <w:sz w:val="16"/>
                <w:szCs w:val="16"/>
                <w:color w:val="auto"/>
              </w:rPr>
            </w:pPr>
          </w:p>
        </w:tc>
        <w:tc>
          <w:tcPr>
            <w:tcW w:w="9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1360" w:type="dxa"/>
            <w:vAlign w:val="bottom"/>
            <w:gridSpan w:val="3"/>
            <w:vMerge w:val="continue"/>
          </w:tcPr>
          <w:p>
            <w:pPr>
              <w:spacing w:after="0"/>
              <w:rPr>
                <w:sz w:val="21"/>
                <w:szCs w:val="21"/>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0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4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6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1,824,743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1,519,078</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38,306</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0" w:type="dxa"/>
            <w:vAlign w:val="bottom"/>
          </w:tcPr>
          <w:p>
            <w:pPr>
              <w:spacing w:after="0"/>
              <w:rPr>
                <w:sz w:val="1"/>
                <w:szCs w:val="1"/>
                <w:color w:val="auto"/>
              </w:rPr>
            </w:pPr>
          </w:p>
        </w:tc>
      </w:tr>
      <w:tr>
        <w:trPr>
          <w:trHeight w:val="27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16,957</w:t>
            </w:r>
          </w:p>
        </w:tc>
        <w:tc>
          <w:tcPr>
            <w:tcW w:w="0" w:type="dxa"/>
            <w:vAlign w:val="bottom"/>
          </w:tcPr>
          <w:p>
            <w:pPr>
              <w:spacing w:after="0"/>
              <w:rPr>
                <w:sz w:val="1"/>
                <w:szCs w:val="1"/>
                <w:color w:val="auto"/>
              </w:rPr>
            </w:pPr>
          </w:p>
        </w:tc>
      </w:tr>
      <w:tr>
        <w:trPr>
          <w:trHeight w:val="225"/>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issued and forfeited, net,</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under stock plans</w:t>
            </w:r>
          </w:p>
        </w:tc>
        <w:tc>
          <w:tcPr>
            <w:tcW w:w="5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25"/>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1,549,291 shares of</w:t>
            </w: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common stock</w:t>
            </w:r>
          </w:p>
        </w:tc>
        <w:tc>
          <w:tcPr>
            <w:tcW w:w="52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(65,844)</w:t>
            </w:r>
          </w:p>
        </w:tc>
        <w:tc>
          <w:tcPr>
            <w:tcW w:w="0" w:type="dxa"/>
            <w:vAlign w:val="bottom"/>
          </w:tcPr>
          <w:p>
            <w:pPr>
              <w:spacing w:after="0"/>
              <w:rPr>
                <w:sz w:val="1"/>
                <w:szCs w:val="1"/>
                <w:color w:val="auto"/>
              </w:rPr>
            </w:pPr>
          </w:p>
        </w:tc>
      </w:tr>
      <w:tr>
        <w:trPr>
          <w:trHeight w:val="225"/>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stock-based</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compensation awards for tax</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withholdings</w:t>
            </w:r>
          </w:p>
        </w:tc>
        <w:tc>
          <w:tcPr>
            <w:tcW w:w="5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771,834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1,863,049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(1,026,803)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(108,146)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1,500,636</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28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8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1,424,327</w:t>
            </w:r>
          </w:p>
        </w:tc>
        <w:tc>
          <w:tcPr>
            <w:tcW w:w="0" w:type="dxa"/>
            <w:vAlign w:val="bottom"/>
          </w:tcPr>
          <w:p>
            <w:pPr>
              <w:spacing w:after="0"/>
              <w:rPr>
                <w:sz w:val="1"/>
                <w:szCs w:val="1"/>
                <w:color w:val="auto"/>
              </w:rPr>
            </w:pPr>
          </w:p>
        </w:tc>
      </w:tr>
      <w:tr>
        <w:trPr>
          <w:trHeight w:val="27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58,870</w:t>
            </w:r>
          </w:p>
        </w:tc>
        <w:tc>
          <w:tcPr>
            <w:tcW w:w="0" w:type="dxa"/>
            <w:vAlign w:val="bottom"/>
          </w:tcPr>
          <w:p>
            <w:pPr>
              <w:spacing w:after="0"/>
              <w:rPr>
                <w:sz w:val="1"/>
                <w:szCs w:val="1"/>
                <w:color w:val="auto"/>
              </w:rPr>
            </w:pPr>
          </w:p>
        </w:tc>
      </w:tr>
      <w:tr>
        <w:trPr>
          <w:trHeight w:val="27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0" w:type="dxa"/>
            <w:vAlign w:val="bottom"/>
          </w:tcPr>
          <w:p>
            <w:pPr>
              <w:spacing w:after="0"/>
              <w:rPr>
                <w:sz w:val="1"/>
                <w:szCs w:val="1"/>
                <w:color w:val="auto"/>
              </w:rPr>
            </w:pPr>
          </w:p>
        </w:tc>
      </w:tr>
      <w:tr>
        <w:trPr>
          <w:trHeight w:val="27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0" w:type="dxa"/>
            <w:vAlign w:val="bottom"/>
          </w:tcPr>
          <w:p>
            <w:pPr>
              <w:spacing w:after="0"/>
              <w:rPr>
                <w:sz w:val="1"/>
                <w:szCs w:val="1"/>
                <w:color w:val="auto"/>
              </w:rPr>
            </w:pPr>
          </w:p>
        </w:tc>
      </w:tr>
      <w:tr>
        <w:trPr>
          <w:trHeight w:val="225"/>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issued and forfeited, net,</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under stock plans</w:t>
            </w:r>
          </w:p>
        </w:tc>
        <w:tc>
          <w:tcPr>
            <w:tcW w:w="5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25"/>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264,936 shares of</w:t>
            </w: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common stock</w:t>
            </w:r>
          </w:p>
        </w:tc>
        <w:tc>
          <w:tcPr>
            <w:tcW w:w="52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(14,408)</w:t>
            </w:r>
          </w:p>
        </w:tc>
        <w:tc>
          <w:tcPr>
            <w:tcW w:w="0" w:type="dxa"/>
            <w:vAlign w:val="bottom"/>
          </w:tcPr>
          <w:p>
            <w:pPr>
              <w:spacing w:after="0"/>
              <w:rPr>
                <w:sz w:val="1"/>
                <w:szCs w:val="1"/>
                <w:color w:val="auto"/>
              </w:rPr>
            </w:pPr>
          </w:p>
        </w:tc>
      </w:tr>
      <w:tr>
        <w:trPr>
          <w:trHeight w:val="225"/>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stock-based</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compensation awards for tax</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withholdings</w:t>
            </w:r>
          </w:p>
        </w:tc>
        <w:tc>
          <w:tcPr>
            <w:tcW w:w="5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735,751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1,656,955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(797,214)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1,482,600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ACI WORLDWIDE,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and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7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38,306</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58,870</w:t>
            </w:r>
          </w:p>
        </w:tc>
      </w:tr>
      <w:tr>
        <w:trPr>
          <w:trHeight w:val="250"/>
        </w:trPr>
        <w:tc>
          <w:tcPr>
            <w:tcW w:w="8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r>
      <w:tr>
        <w:trPr>
          <w:trHeight w:val="270"/>
        </w:trPr>
        <w:tc>
          <w:tcPr>
            <w:tcW w:w="8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20,829</w:t>
            </w:r>
          </w:p>
        </w:tc>
      </w:tr>
      <w:tr>
        <w:trPr>
          <w:trHeight w:val="270"/>
        </w:trPr>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70"/>
        </w:trPr>
        <w:tc>
          <w:tcPr>
            <w:tcW w:w="8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70"/>
        </w:trPr>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r>
      <w:tr>
        <w:trPr>
          <w:trHeight w:val="270"/>
        </w:trPr>
        <w:tc>
          <w:tcPr>
            <w:tcW w:w="8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w:t>
            </w:r>
          </w:p>
        </w:tc>
      </w:tr>
      <w:tr>
        <w:trPr>
          <w:trHeight w:val="270"/>
        </w:trPr>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Gain on sale of equity investment</w:t>
            </w:r>
          </w:p>
        </w:tc>
        <w:tc>
          <w:tcPr>
            <w:tcW w:w="220" w:type="dxa"/>
            <w:vAlign w:val="bottom"/>
          </w:tcPr>
          <w:p>
            <w:pPr>
              <w:spacing w:after="0"/>
              <w:rPr>
                <w:sz w:val="23"/>
                <w:szCs w:val="23"/>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(25,927)</w:t>
            </w:r>
          </w:p>
        </w:tc>
      </w:tr>
      <w:tr>
        <w:trPr>
          <w:trHeight w:val="270"/>
        </w:trPr>
        <w:tc>
          <w:tcPr>
            <w:tcW w:w="8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43"/>
        </w:trPr>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41,640</w:t>
            </w:r>
          </w:p>
        </w:tc>
      </w:tr>
      <w:tr>
        <w:trPr>
          <w:trHeight w:val="270"/>
        </w:trPr>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w:t>
            </w:r>
          </w:p>
        </w:tc>
      </w:tr>
      <w:tr>
        <w:trPr>
          <w:trHeight w:val="270"/>
        </w:trPr>
        <w:tc>
          <w:tcPr>
            <w:tcW w:w="8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(25,182)</w:t>
            </w:r>
          </w:p>
        </w:tc>
      </w:tr>
      <w:tr>
        <w:trPr>
          <w:trHeight w:val="270"/>
        </w:trPr>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w:t>
            </w:r>
          </w:p>
        </w:tc>
      </w:tr>
      <w:tr>
        <w:trPr>
          <w:trHeight w:val="270"/>
        </w:trPr>
        <w:tc>
          <w:tcPr>
            <w:tcW w:w="8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and noncurrent assets and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r>
      <w:tr>
        <w:trPr>
          <w:trHeight w:val="250"/>
        </w:trPr>
        <w:tc>
          <w:tcPr>
            <w:tcW w:w="80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64,247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78,221</w:t>
            </w:r>
          </w:p>
        </w:tc>
      </w:tr>
      <w:tr>
        <w:trPr>
          <w:trHeight w:val="23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7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software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r>
      <w:tr>
        <w:trPr>
          <w:trHeight w:val="27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equity investment</w:t>
            </w:r>
          </w:p>
        </w:tc>
        <w:tc>
          <w:tcPr>
            <w:tcW w:w="220" w:type="dxa"/>
            <w:vAlign w:val="bottom"/>
          </w:tcPr>
          <w:p>
            <w:pPr>
              <w:spacing w:after="0"/>
              <w:rPr>
                <w:sz w:val="23"/>
                <w:szCs w:val="23"/>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46,021</w:t>
            </w:r>
          </w:p>
        </w:tc>
      </w:tr>
      <w:tr>
        <w:trPr>
          <w:trHeight w:val="250"/>
        </w:trPr>
        <w:tc>
          <w:tcPr>
            <w:tcW w:w="8080" w:type="dxa"/>
            <w:vAlign w:val="bottom"/>
            <w:tcBorders>
              <w:top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37,092</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7"/>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7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7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stock-based compensation awards for tax withholdings</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r>
      <w:tr>
        <w:trPr>
          <w:trHeight w:val="27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(14,408)</w:t>
            </w:r>
          </w:p>
        </w:tc>
      </w:tr>
      <w:tr>
        <w:trPr>
          <w:trHeight w:val="27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7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term portion of credit agreement</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r>
      <w:tr>
        <w:trPr>
          <w:trHeight w:val="27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on or proceeds from other debt, net</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increase in settlement assets and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88,324</w:t>
            </w:r>
          </w:p>
        </w:tc>
      </w:tr>
      <w:tr>
        <w:trPr>
          <w:trHeight w:val="250"/>
        </w:trPr>
        <w:tc>
          <w:tcPr>
            <w:tcW w:w="80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(15,351)</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fluctuations on cash</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101,753</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settlement deposits,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258,996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265,018</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settlement deposits,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242,128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366,771</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 of cash and cash equivalents to the Consolidated Balance Sheets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161,757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230,057</w:t>
            </w:r>
          </w:p>
        </w:tc>
      </w:tr>
      <w:tr>
        <w:trPr>
          <w:trHeight w:val="230"/>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 deposits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136,714</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 including settlement deposits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242,128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366,771</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7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paid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w:t>
            </w:r>
          </w:p>
        </w:tc>
      </w:tr>
      <w:tr>
        <w:trPr>
          <w:trHeight w:val="27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19,807</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ectPr>
          <w:pgSz w:w="11900" w:h="16838" w:orient="portrait"/>
          <w:cols w:equalWidth="0" w:num="1">
            <w:col w:w="11240"/>
          </w:cols>
          <w:pgMar w:left="320" w:top="121" w:right="3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ACI WORLDWIDE, INC. AND SUBSIDIARIES NOTES TO CONDENSED CONSOLIDATED FINANCIAL STATEMENTS (unaudited)</w:t>
      </w:r>
    </w:p>
    <w:p>
      <w:pPr>
        <w:spacing w:after="0"/>
        <w:rPr>
          <w:sz w:val="20"/>
          <w:szCs w:val="20"/>
          <w:color w:val="auto"/>
        </w:rPr>
      </w:pPr>
      <w:r>
        <w:rPr>
          <w:rFonts w:ascii="Times New Roman" w:cs="Times New Roman" w:eastAsia="Times New Roman" w:hAnsi="Times New Roman"/>
          <w:sz w:val="18"/>
          <w:szCs w:val="18"/>
          <w:b w:val="1"/>
          <w:bCs w:val="1"/>
          <w:color w:val="auto"/>
        </w:rPr>
        <w:t>1. Condensed Consolidated Financial Statements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ACI Worldwide, Inc. and its wholly-owned subsidiaries (collectively, the “Company”). All intercompany balances and transactions have been eliminated. The condensed consolidated financial statements as of March 31, 2026, and for the three months ended March 31, 2026 and 2025, are unaudited and reflect all adjustments of a normal recurring nature, which are, in the opinion of management, necessary for a fair presentation, in all material respects, of the financial position and operating results for the interim periods. The condensed consolidated balance sheet as of December 31, 2025, is derived from the audited financial statements.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contained herein should be read in conjunction with the consolidated financial statements and notes thereto contained in the Company’s annual report on Form 10-K for the fiscal year ended December 31, 2025, filed on February 26, 2026. Results for the three months ended March 31, 2026, are not necessarily indicative of results that may be attained in the future.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accounting principles generally accepted in the United States (“U.S. GAAP”) requires management to make judgments, estimates, and assumptions that affect the reported amounts of assets and liabilities and disclosure of contingent assets and liabilities at the date of the condensed consolidated financial statements and the reported amounts of revenues and expenses during the reporting period. These estimates and assumptions are affected by management’s application of accounting policies, as well as uncertainty in the current economic environment. Actual results could differ from those estimates.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Current Liabilities</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2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other current liabilities are included in the following table (in thousands):</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7"/>
        </w:trPr>
        <w:tc>
          <w:tcPr>
            <w:tcW w:w="7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2"/>
                <w:szCs w:val="22"/>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Vendor financed licenses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37,217</w:t>
            </w:r>
          </w:p>
        </w:tc>
      </w:tr>
      <w:tr>
        <w:trPr>
          <w:trHeight w:val="223"/>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73,958</w:t>
            </w:r>
          </w:p>
        </w:tc>
      </w:tr>
      <w:tr>
        <w:trPr>
          <w:trHeight w:val="21"/>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Assets and Liabilities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Individuals and businesses settle their obligations to the Company’s various Biller clients using credit or debit cards or via automated clearing house (“ACH”) payments. The Company creates a receivable for the amount due from the credit or debit card processor and an offsetting payable to the client. Upon confirmation that the funds have been received, the Company settles the obligation to the client. Due to timing, in some instances, the Company may</w:t>
      </w:r>
    </w:p>
    <w:p>
      <w:pPr>
        <w:spacing w:after="0" w:line="1" w:lineRule="exact"/>
        <w:rPr>
          <w:sz w:val="20"/>
          <w:szCs w:val="20"/>
          <w:color w:val="auto"/>
        </w:rPr>
      </w:pPr>
    </w:p>
    <w:p>
      <w:pPr>
        <w:jc w:val="both"/>
        <w:ind w:firstLine="8"/>
        <w:spacing w:after="0" w:line="255" w:lineRule="auto"/>
        <w:tabs>
          <w:tab w:leader="none" w:pos="2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the funds into bank accounts controlled by and in the Company’s name that are not disbursed to its clients by the end of the day, resulting in a settlement deposit on the Company’s books and (2) disburse funds to its clients in advance of receiving funds from the credit or debit card processor, resulting in a net settlement receivable position.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 Balance Sheet Settlement Accounts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enters into agreements with certain Biller clients to process payment funds on their behalf. When an ACH or automated teller machine network payment transaction is processed, a transaction is initiated to withdraw funds from the designated source account and deposit them into a settlement account, which is a trust account maintained for the benefit of the Company’s clients. A simultaneous transaction is initiated to transfer funds from the settlement account to the intended destination account. These “back to back” transactions are designed to settle at the same time, usually overnight, such that the Company receives the funds from the source at the same time as it sends the funds to their destination. However, due to the transactions being with various financial institutions there may be timing differences that result in float balances. These funds are maintained in accounts for the benefit of the client which is separate from the Company’s corporate assets. As the Company does not take ownership of the funds, these settlement accounts are not included in the Company’s balance sheet. The Company is entitled to interest earned on the fund balances. The collection of interest on these settlement accounts is considered in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Company’s determination of its fee structure for clients and represents a portion of the payment for services performed by the Company. The amount of settlement funds as of March 31, 2026, and December 31, 2025, was $177.3 million and $238.4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approximate the carrying values due to the short period of time to maturity (Level 2 of the fair value hierarchy).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the Accounting Standards Codification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the Company assesses goodwill for impairment annually during the fourth quarter of its fiscal year using October 1 balances or when there is evidence that events or changes in circumstances indicate that the carrying amount of the asset may not be recovered. The Company evaluates goodwill at the reporting unit level using the discounted cash flow valuation model and allocates goodwill to these reporting units using a relative fair value approach. During this assessment, management relies on a number of factors, including operating results, business plans, and anticipated future cash flows. As of March 31, 2026, the Company's goodwill balance of $1.2 billion was allocated $814.0 million to Payment Software and $417.0 million to Biller.</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Recoverability of goodwill is measured using a discounted cash flow model incorporating discount rates commensurate with the risks involved. Use of a discounted cash flow model is common practice in impairment testing in the absence of available transactional market evidence to determine the fair value. The calculated fair value was substantially in excess of the current carrying value for all reporting units based upon the October 1, 2025, annual impairment test and there have been no indications of impairment in the subsequent periods.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2019, the Company invested $18.3 million for a 30% non-controlling financial interest in a payment technology and services company in India. The Company accounted for this investment using the equity method in accordance with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xml:space="preserve"> and recorded its share of earnings and losses in the investment on a one-quarter lag basis. In March 2025, the Company sold its 30% interest for $46.0 million. The Company recognized a gain on the sale of $25.9 million, which is recorded in other, net in the condensed consolidated statements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to simplify the estimation of expected credit losses for certain short-term receivables and contract assets arising from revenue transactions. The ASU introduces a practical expedient that allows entities to assume current economic conditions will persist through the reasonable and supportable forecast period for eligible assets. The Company adopted ASU 2025-05 as of January 1, 2026, which did not have a material impact on the condensed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Effective</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The amendments in this update will require entities to provide disaggregated disclosures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expense categories underlying certain income statement expense line items on an annual and interim basis. ASU 2024-03 is effective for annual periods beginning after December 15, 2026, and early application is permitted for annual financial statements that have not yet been issued or made available for issuance. The Company is currently assessing the impact that the adoption of ASU 2024-03 will have on its financial statement footnote disclosures.</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The amendments in this update modernize the accounting guidance for internal-use software by replacing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 stage-based model with a principles-based framework. Under the new guidance, cost capitalization begins when (1) management has authorized and committed to funding the software project and (2) it is probable that the project will be completed and the software will be used for its intended purpose. The update also supersedes the existing rules for website development costs, incorporating them into the internal-use software framework. ASU 2025-06 is effective for annual periods beginning after December 15, 2027, and early adoption is permitted. The Company is currently evaluating the impact that the adoption of ASU 2025-06 will have on its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In December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which updates interim reporting guidance under Topic 270 by introducing a principles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framework for determining the form and content of interim financial statements. The amendments clarify that interim reports should focus on significant changes since the last annual period and require disclosure of material events and transactions occurring during interim periods. The update also eliminates outdated language, aligns certain interim disclosure requirements with annual reporting, and provides guidance on applying materiality to interim disclosures.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is effective for interim periods within fiscal years beginning after December 15, 2027, with early adoption permitted. The Company is currently evaluating the impact of this guidance on its interim financial statements and related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revenue is recognized upon transfer of control of promised products and/or services to customers in an amount that reflects the consideration the Company expects to be entitled to in exchange for those products and services. Revenue is recognized net of any taxes collected from customers and subsequently remitted to governmental authorities. See Note 9,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additional information, including disaggregation of revenue based on primary solution category.</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receivables represent amounts billed and amounts earned that are to be billed in the future (i.e., accrued receivables). Included in accrued receivables are services, software as a service ("SaaS"), and platform as a service ("PaaS") revenues earned in the current period but billed in the following period and amounts due under multi-year software license arrangements with extended payment terms for which the Company has an unconditional right to invoice and receive payment subsequent to invoicing.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receivables, net is comprised of the following (in thousands):</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57"/>
        </w:trPr>
        <w:tc>
          <w:tcPr>
            <w:tcW w:w="7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2"/>
                <w:szCs w:val="22"/>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receivables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203,506</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23"/>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Billed receivables, net</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202,237</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accrued receivables, net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243,629</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accrued receivables, net</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391,719</w:t>
            </w:r>
          </w:p>
        </w:tc>
      </w:tr>
      <w:tr>
        <w:trPr>
          <w:trHeight w:val="223"/>
        </w:trPr>
        <w:tc>
          <w:tcPr>
            <w:tcW w:w="7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accrued receivables, net</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635,348</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837,585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customer accounted for more than 10% of the Company’s consolidated receivables balance as of March 31, 2026 and December 31, 2025.</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 includes amounts due or received from customers for software licenses, maintenance, services, and/or SaaS and PaaS services in advance of recording the related revenue.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Changes in deferred revenue were as follows (in thousands):</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9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87,257</w:t>
            </w:r>
          </w:p>
        </w:tc>
      </w:tr>
      <w:tr>
        <w:trPr>
          <w:trHeight w:val="230"/>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Deferral of revenue</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39,137</w:t>
            </w:r>
          </w:p>
        </w:tc>
      </w:tr>
      <w:tr>
        <w:trPr>
          <w:trHeight w:val="229"/>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(34,290)</w:t>
            </w:r>
          </w:p>
        </w:tc>
      </w:tr>
      <w:tr>
        <w:trPr>
          <w:trHeight w:val="230"/>
        </w:trPr>
        <w:tc>
          <w:tcPr>
            <w:tcW w:w="9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54"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that will be recognized in future periods from capacity overages that are accounted for as a usage-based royalty.</w:t>
      </w:r>
    </w:p>
    <w:p>
      <w:pPr>
        <w:spacing w:after="0" w:line="117"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 and PaaS revenue from variable consideration that will be recognized in accordance with the ‘right to invoice’ practical expedient or meets the allocation objective.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was $641.5 million as of March 31, 2026, of which the Company expects to recognize approximately 57% over the next 12 months and the remainder thereafter.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revenue recognized by the Company from performance obligations satisfied in previous periods was not significant.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Debt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$200.0 million, and $611.9 million outstanding under its Revolving Credit Facility and Term Loans, respectively, with up to $398.1 million of unused borrowings under the Revolving Credit Facility portion of the Credit Agreement, as amended, and up to $1.9 million of unused borrowings under the Letter of Credit agreements. The amount of unused borrowings actually available varies in accordance with the terms of the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26, 2024, ACI Worldwide, Inc. (the “Company”) entered into a Refinance Amendment (the “Amendment”) to the Second Amended and Restated Credit Agreement, dated as of April 5, 2019 (as amended, restated, supplemented or otherwise modified from time to time, including by the Amendment, the “Credit Agreement”) among the Company, the subsidiary borrowers from time to time party thereto, the lenders from time to time party thereto, Bank of America, N.A., as administrative agent and a lender, BofA Securities, Inc., PNC Capital Markets LLC, Wells Fargo Securities, LLC, and TD Securities (USA) LLC, as Joint Lead Arrangers and Joint Bookrunners, and the other financial institutions party thereto.</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Amendment (i) provides a senior secured term loan facility (the “Term Loan Facility”) in an aggregate principal amount of $500 million, (ii) provides a senior secured revolving credit facility (the “Revolving Loan Facility” and together with the Term Loan Facility, the “Credit Facilities”) of up to $600 million, and (iii) extends the maturity date of the Facilities to February 26, 2029 (the “Maturity Date”), provided that if any of the Company’s 5.750% Senior Notes due 2026 are outstanding on the date that is 91 days before the maturity thereof (the “Springing Maturity Date”), and the Company does not have sufficient liquidity as of such date, the Maturity Date will be the Springing Maturity Date. The Revolving Loan Facility includes a $35 million sublimit for the issuance of standby letters of credit and a $20 million sublimit for swingline loans. Amounts repaid under the Revolving Facility may be reborrowed.</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18, 2025, the Company entered into a Lender Addition and Acknowledgement Agreement with Bank of America, N.A., under the Credit Facility for an Incremental Term Loan of $200.0 million. This Incremental Term Loan is subject to all the terms and provisions of the Credit Facility.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Credit Facilities bear interest at a rate equal to, at borrower's option, either (A) a base rate determined by reference to the highest of</w:t>
      </w:r>
    </w:p>
    <w:p>
      <w:pPr>
        <w:spacing w:after="0" w:line="27" w:lineRule="exact"/>
        <w:rPr>
          <w:sz w:val="20"/>
          <w:szCs w:val="20"/>
          <w:color w:val="auto"/>
        </w:rPr>
      </w:pPr>
    </w:p>
    <w:p>
      <w:pPr>
        <w:jc w:val="both"/>
        <w:ind w:firstLine="8"/>
        <w:spacing w:after="0" w:line="253" w:lineRule="auto"/>
        <w:tabs>
          <w:tab w:leader="none" w:pos="2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interest per annum publicly announced by Bank of America as its prime rate, (2) the federal funds effective rate plus 0.5%, (3) term Secured Overnight Financing Rate ("SOFR") plus 1%, and (4) 1% or (B) term SOFR for applicable interest period relevant to such borrowing, in each case plus an applicable margin. The applicable margin for borrowings under the Credit Facilities is, based on the calculation of the applicable consolidated total leverage ratio, between 0.5% to 1.5% with respect to base rate borrowings and between 1.5% and 2.5% with respect to term SOFR rate borrowings. Interest is due and payable monthly. The interest rate in effect for the Credit Facility as of March 31, 2026, was 5.52%.</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also required to pay customary fees under the Credit Facilities, including (a) a commitment fee related to the unutilized commitments under the Revolving Credit Facility, (b) letter of credit fees including fronting fees and commissions on the maximum amount available to be drawn under all outstanding letters of credit, and (c) agency fees.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subsidiaries, ACI Worldwide Corp. and ACI Payments, Inc. are co-borrowers under the Credit Agreement. The obligations of the borrowers under the Credit Facilities and the obligations of the Company and its subsidiaries under cash management arrangements entered into with lenders under the Credit Facilities (or affiliates thereof) are jointly and severally guaranteed by the Company and all of its existing and future material domestic subsidiaries, subject to certain exclusions. The obligations of the borrowers in respect of the Credit Facilities are secured by first-priority security interests in substantially all assets of the borrowers, including 100% of the capital stock of each domestic subsidiary of the borrower and 65% of the voting capital stock of each foreign subsidiary that is directly owned by a borrower, in each case subject to certain exclusions set forth in the Credit Agreement.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negative covenants that, among other things, restrict the Company’s ability to incur additional indebtedness, grant additional liens, and make certain acquisitions, investments, asset dispositions, and restricted payments. In addition, the Credit Agreement contains financial covenants that require the Company to maintain, as of the end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fiscal quarter, (i) a consolidated total net leverage ratio of less than or equal to 4.25 to 1.00, (ii) a consolidated senior secured net leverage ratio of less than or equal to 3.75 to 1.00, and (iii) a minimum consolidated interest coverage ratio of greater than or equal to 3.00 to 1.00, in each case subject to certain exclusions as set forth in the Credit Agreement.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Credit Agreement also contains certain customary affirmative covenants and events of default. If an event of default, as specified in the Credit Agreement, shall occur and be continuing, the Company may be required to repay all amounts outstanding under the Credit Facilities.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21, 2018, the Company completed a $400.0 million offering of the 2026 Notes at an issue price of 100% of the principal amount in a private placement for resale to qualified institutional buyers. The 2026 Notes bore interest at an annual rate of 5.750%, payable semi-annually in arrears on February 15 and August 15 of each year, which commenced on February 15, 2019. The 2026 Notes were scheduled to mature on August 15, 2026. On June 18, 2025, the Company redeemed the 2026 Notes in full as provided for under the terms.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Maturities on debt outstanding as of March 31, 2026, are as follows (in thousands):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 December 31,</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692,500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811,875</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As of March 31, 2026, and at all times during the period, the Company was in compliance with its financial debt covenants.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974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Total debt is comprised of the following (in thousands):</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611,875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622,500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817,608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term loans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debt issuance costs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776,667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Overdraft Facility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2019, the Company and ACI Payments, Inc. entered in to an uncommitted overdraft facility with Bank of America, N.A. The overdraft facility bears interest at the federal funds effective rate plus 2.25% based on the Company’s average outstanding balance and the frequency in which overdrafts occur. The overdraft facility acts as a secured loan under the terms of the Credit Agreement to provide an additional funding mechanism for timing differences that can occur in the bill payment settlement process. Amounts outstanding on the overdraft facility are included in other current liabilities in the condensed consolidated balance sheet. As of March 31, 2026 and December 31, 2025, there was $75.0 million available and no amount outstanding on the overdraft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finances certain multi-year license agreements for internal-use software. Upon execution, these arrangements are treated as a non-cash investing and financing activity for purposes of the condensed consolidated statements of cash flows. As of March 31, 2026 and December 31, 2025, $9.5 million was outstanding on these agreements, of which $4.8 million and $4.7 million is included in other current liabilities and other noncurrent liabilities, respectively, in the condensed consolidated balance sheet.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Software and Other Intangible Assets</w:t>
      </w:r>
    </w:p>
    <w:p>
      <w:pPr>
        <w:spacing w:after="0" w:line="121"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The carrying amount and accumulated amortization of the Company's software assets subject to amortization at each balance sheet date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5"/>
                <w:szCs w:val="15"/>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90"/>
              <w:spacing w:after="0" w:line="174"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Balance</w:t>
            </w:r>
          </w:p>
        </w:tc>
        <w:tc>
          <w:tcPr>
            <w:tcW w:w="180" w:type="dxa"/>
            <w:vAlign w:val="bottom"/>
          </w:tcPr>
          <w:p>
            <w:pPr>
              <w:spacing w:after="0"/>
              <w:rPr>
                <w:sz w:val="16"/>
                <w:szCs w:val="16"/>
                <w:color w:val="auto"/>
              </w:rPr>
            </w:pPr>
          </w:p>
        </w:tc>
        <w:tc>
          <w:tcPr>
            <w:tcW w:w="100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Net Balance</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for internal use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471,173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(394,851)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76,322</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 for resale</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106,594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(105,393)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software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of software for internal use is computed using the straight-line method over an estimated useful life of generally three to eight years. Software for internal use amortization expense recorded during the three months ended March 31, 2026 and 2025, totaled $16.5 million and $15.6 million, respectively. These software amortization expense amounts are reflected in depreciation and amortization in the condensed consolidated statements of operations.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Amortization of software for resale is computed using the greater of (a) the ratio of current gross revenues to the total of current and future gross revenues expected to be derived from the software or (b) the straight-line method over the remaining estimated useful life of generally five to ten years. Software for resale amortization expense recorded during the three months ended March 31, 2026 totaled $0.1 million. There was no software for resale amortization expense recorded during the three months ended March 31, 2025. These software amortization expense amounts are reflected in cost of revenue in the condensed consolidated statements of operations.</w:t>
      </w:r>
    </w:p>
    <w:p>
      <w:pPr>
        <w:spacing w:after="0" w:line="21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carrying amount and accumulated amortization of the Company’s other intangible assets subject to amortization at each balance sheet date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4"/>
                <w:szCs w:val="14"/>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Balance</w:t>
            </w:r>
          </w:p>
        </w:tc>
        <w:tc>
          <w:tcPr>
            <w:tcW w:w="180" w:type="dxa"/>
            <w:vAlign w:val="bottom"/>
          </w:tcPr>
          <w:p>
            <w:pPr>
              <w:spacing w:after="0"/>
              <w:rPr>
                <w:sz w:val="15"/>
                <w:szCs w:val="15"/>
                <w:color w:val="auto"/>
              </w:rPr>
            </w:pPr>
          </w:p>
        </w:tc>
        <w:tc>
          <w:tcPr>
            <w:tcW w:w="10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Net Balance</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452,093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(310,654)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(306,352)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147,062</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0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intangible assets amortization expense recorded during the three months ended March 31, 2026 and 2025, totaled $5.3 million and $5.2 million, respectively. Customer relationships amortization expense amounts are reflected in depreciation and amortization in the condensed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capitalized intangible assets as of March 31, 2026, estimated amortization expense amounts in future fiscal years are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Other Intangible</w:t>
            </w:r>
          </w:p>
        </w:tc>
        <w:tc>
          <w:tcPr>
            <w:tcW w:w="0" w:type="dxa"/>
            <w:vAlign w:val="bottom"/>
          </w:tcPr>
          <w:p>
            <w:pPr>
              <w:spacing w:after="0"/>
              <w:rPr>
                <w:sz w:val="1"/>
                <w:szCs w:val="1"/>
                <w:color w:val="auto"/>
              </w:rPr>
            </w:pPr>
          </w:p>
        </w:tc>
      </w:tr>
      <w:tr>
        <w:trPr>
          <w:trHeight w:val="184"/>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 December 31,</w:t>
            </w:r>
          </w:p>
        </w:tc>
        <w:tc>
          <w:tcPr>
            <w:tcW w:w="3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30"/>
        </w:trPr>
        <w:tc>
          <w:tcPr>
            <w:tcW w:w="4060" w:type="dxa"/>
            <w:vAlign w:val="bottom"/>
            <w:vMerge w:val="continue"/>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19"/>
                <w:szCs w:val="19"/>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39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issued under the 2017 Employee Stock Purchase Plan during the three months ended March 31, 2026 and 2025, totaled 25,013 and 17,412,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stock option activity is as follows: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6"/>
                <w:szCs w:val="16"/>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60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6"/>
                <w:szCs w:val="16"/>
                <w:color w:val="auto"/>
              </w:rPr>
            </w:pPr>
          </w:p>
        </w:tc>
        <w:tc>
          <w:tcPr>
            <w:tcW w:w="138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6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5"/>
                <w:szCs w:val="15"/>
                <w:color w:val="auto"/>
              </w:rPr>
            </w:pPr>
          </w:p>
        </w:tc>
        <w:tc>
          <w:tcPr>
            <w:tcW w:w="13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of In-the-Money</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107,200</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2,172,560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March 31, 2026</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104,000</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17"/>
                <w:szCs w:val="17"/>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2,172,560</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three months ended March 31, 2026 and 2025, was $0.1 million and $1.2 million, respectively. There were no stock options granted during the three months ended March 31, 2026 or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Awards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pursuant to the Company's 2020 Equity and Incentive Compensation Plan, the Company granted performance share awards with a total shareholder return component ("TSRs"). These performance share awards are earned, if at all, based upon achievement, over a specified period that must not be less than one year and is typically a three-year performance period. The awards have operating performance goals that include (i) adjusted EBITDA metrics and (ii) revenue growth rates as determined by the Company with a TSR multiplier up to plus or minus 20%. Up to 200% of the performance shares could be earned upon achievement of the performance goals, including the multiplier. On a quarterly basis, management evaluates the probability that the threshold performance goals will be achieved, if at all, and the anticipated level of attainment to determine the amount of compensation expense to record in the consolidated financial statements.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nonvested TSRs is as follows: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140" w:type="dxa"/>
            <w:vAlign w:val="bottom"/>
          </w:tcPr>
          <w:p>
            <w:pPr>
              <w:spacing w:after="0"/>
              <w:rPr>
                <w:sz w:val="17"/>
                <w:szCs w:val="17"/>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6"/>
        </w:trPr>
        <w:tc>
          <w:tcPr>
            <w:tcW w:w="814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81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21"/>
                <w:szCs w:val="21"/>
                <w:color w:val="auto"/>
              </w:rPr>
            </w:pPr>
          </w:p>
        </w:tc>
        <w:tc>
          <w:tcPr>
            <w:tcW w:w="1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2025</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1,058,606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as of March 31, 2026</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1,519,399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The fair value of TSRs granted during the three months ended March 31, 2026 and 2025, were estimated on the date of grant using the Monte Carlo simulation model, acceptable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using the following weighted average assumptions:</w:t>
      </w:r>
    </w:p>
    <w:p>
      <w:pPr>
        <w:spacing w:after="0" w:line="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6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r>
      <w:tr>
        <w:trPr>
          <w:trHeight w:val="23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846"/>
        </w:trPr>
        <w:tc>
          <w:tcPr>
            <w:tcW w:w="75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75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Share Units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nonvested restricted share unit awards ("RSUs") is as follows: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140" w:type="dxa"/>
            <w:vAlign w:val="bottom"/>
          </w:tcPr>
          <w:p>
            <w:pPr>
              <w:spacing w:after="0"/>
              <w:rPr>
                <w:sz w:val="17"/>
                <w:szCs w:val="17"/>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6"/>
        </w:trPr>
        <w:tc>
          <w:tcPr>
            <w:tcW w:w="814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81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21"/>
                <w:szCs w:val="21"/>
                <w:color w:val="auto"/>
              </w:rPr>
            </w:pPr>
          </w:p>
        </w:tc>
        <w:tc>
          <w:tcPr>
            <w:tcW w:w="1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2025</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1,710,592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1,255,913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March 31,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2,613,288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 total of 262,780 RSUs vested. The Company withheld 91,833 of those shares to pay the employees’ portion of the minimum payroll withholding taxes. Certain RSUs vest upon retirement eligibility, but settle on the original contractual settlement date. These awards are reflected as vested when retirement eligibility is achieved and remain outstanding but unsettled until delivery occurs.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there was unrecognized compensation expense of $106.7 million related to RSUs and $38.0 million related to TSRs, which the Company expects to recognize over a weighted average period of 2.4 years and 2.5 years,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recognized under ASC 718 for the three months ended March 31, 2026 and 2025, of $17.0 million and $11.6 million, respectively, with corresponding tax benefits of $2.6 million and $1.8 million,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Common Stock and Treasury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2005, the Board approved a stock repurchase program authorizing the Company, as market and business conditions warrant, to acquire its common stock and periodically authorizes additional funds for the program. In October 2025, the Board approved the repurchase of the Company's common stock of up to $500.0 million, in place of the remaining purchase amounts previously authorized.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repurchased 1,549,291 shares for $65.8 million during the three months ended March 31, 2026. Under the program to date, the Company has repurchased 68,596,875 shares for approximately $1.4 billion. As of March 31, 2026, the maximum remaining amount authorized for purchase under the stock repurchase program was $390.5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March 31, 2026, the Company has repurchased additional shares under the repurchase program.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Basic earnings per share is computed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based on weighted average outstanding common shares. Diluted earnings per share is computed based on basic weighted average outstanding common shares adjusted for the dilutive effect of stock options, RSUs, and certain contingently issuable shares for which performance targets have been achieved.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weighted average share amounts used to compute both basic and diluted earnings per share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31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105,350</w:t>
            </w: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Dilutive effect of stock options, RSUs, and contingently issuable shares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102,843</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106,827</w:t>
            </w:r>
          </w:p>
        </w:tc>
      </w:tr>
      <w:tr>
        <w:trPr>
          <w:trHeight w:val="20"/>
        </w:trPr>
        <w:tc>
          <w:tcPr>
            <w:tcW w:w="8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diluted earnings (loss) per share computation excludes 2.2 million and 1.4 million options to purchase shares, RSUs, and contingently issuable shares during the three months ended March 31, 2026 and 2025, respectively, as their effect would be anti-dilutive.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outstanding as of March 31, 2026, and December 31, 2025, was 101,364,767 and 102,712,071,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net is primarily comprised of foreign currency transaction gains and losses and, for the three months ended March 31, 2025, the $25.9 million gain on the sale of the Company's equity method investment. Other, net was $1.5 million and $23.7 million of income for the three months ended March 31, 2026 and 2025,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reports financial performance based on its operating segments, Payment Software, which includes bank and merchant customers, and Biller.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analyzes Segment Adjusted EBITDA as a measure of segment profitability.</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is also the chief operating decision maker. The CODM, together with other senior management personnel, focus their review on consolidated financial information and the allocation of resources based on operating results, including revenues and Segment Adjusted EBITDA, for each segment, separate from corporate operations. No operating segments have been aggregated to form the reportable segments.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Payment Software. </w:t>
      </w:r>
      <w:r>
        <w:rPr>
          <w:rFonts w:ascii="Times New Roman" w:cs="Times New Roman" w:eastAsia="Times New Roman" w:hAnsi="Times New Roman"/>
          <w:sz w:val="18"/>
          <w:szCs w:val="18"/>
          <w:color w:val="auto"/>
        </w:rPr>
        <w:t>Payment Software drives payments orchestration for banks and merchants. ACI provides payment solutions to large and mid-sized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banks globally for retail banking, digital, and other payment services. These solutions transform banks’ complex payment environments to speed time to market, reduce costs, and deliver a consistent experience to customers across channels while enabling them to prevent and rapidly react to fraudulent activity. In addition, they enable banks to meet the requirements of different payments schemes and to quickly create differentiated products to meet consumer, business, and merchant demands. ACI’s support of merchants globally includes Tier 1 and Tier 2 merchants (in-store and online), payment service providers, independent selling organizations, value-added resellers, and acquirers who service them. These customers operate in a variety of verticals, including general retail, grocery, hospitality, dining, travel and ticketing, and others. The Company's solutions provide merchants with a secure, omnichannel payments platform that gives them flexibility and independence. The Company also offers secure solutions to online-only merchants that provide consumers with a convenient and seamless way to shop.</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Biller. </w:t>
      </w:r>
      <w:r>
        <w:rPr>
          <w:rFonts w:ascii="Times New Roman" w:cs="Times New Roman" w:eastAsia="Times New Roman" w:hAnsi="Times New Roman"/>
          <w:sz w:val="18"/>
          <w:szCs w:val="18"/>
          <w:color w:val="auto"/>
        </w:rPr>
        <w:t>Within the Biller segment, ACI provides electronic bill presentment and payment services to companies operating in the consumer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healthcare, higher education, utility, government, mortgage, subscription provider, and telecommunications categories. The solutions enable these customers to support a wide range of payment options and types as well as provide a convenient consumer payments experience that helps billers optimize growth and operational efficiencies while improving customer experience. ACI also provides fraud abuse protection to its Biller customers leveraging its proven AI, human, and data capabilities.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attributed to the reportable segments based upon customer and product. Expenses are attributed to the reportable segments in one of three methods: (1) direct costs of the segment, (2) labor costs that can be attributed based upon time tracking for individual projects, or (3) costs that are allocated. Allocated costs are generally marketing and sales related activities.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Segment Adjusted EBITDA is the measure reported to the CODM for purposes of making decisions on allocating resources and assessing the performance of the Company’s segments, including budget and forecast-to-actual variances, and, therefore, Segment Adjusted EBITDA is presented in conformity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Segment Adjusted EBITDA is defined as earnings from operations before interest, income tax expense (benefit), depreciation and amortization (“EBITDA”) adjusted to exclude net other income (expense).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Corporate and unallocated expenses includes global facilities and information technology costs and long-term product roadmap expenses in addition to corporate overhead costs that are not allocated to reportable segments. The overhead costs relate to human resources, finance, legal, accounting, and merger and acquisition activity. These costs along with depreciation and amortization and stock-based compensation are not considered when management evaluates segment performance.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selected financial data for the Company’s reportable segments for the periods indicated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6"/>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1400" w:type="dxa"/>
            <w:vAlign w:val="bottom"/>
            <w:tcBorders>
              <w:bottom w:val="single" w:sz="8" w:color="auto"/>
            </w:tcBorders>
          </w:tcPr>
          <w:p>
            <w:pPr>
              <w:spacing w:after="0"/>
              <w:rPr>
                <w:sz w:val="20"/>
                <w:szCs w:val="20"/>
                <w:color w:val="auto"/>
              </w:rPr>
            </w:pPr>
          </w:p>
        </w:tc>
      </w:tr>
      <w:tr>
        <w:trPr>
          <w:trHeight w:val="223"/>
        </w:trPr>
        <w:tc>
          <w:tcPr>
            <w:tcW w:w="5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Payment Software</w:t>
            </w:r>
          </w:p>
        </w:tc>
        <w:tc>
          <w:tcPr>
            <w:tcW w:w="440" w:type="dxa"/>
            <w:vAlign w:val="bottom"/>
          </w:tcPr>
          <w:p>
            <w:pPr>
              <w:spacing w:after="0"/>
              <w:rPr>
                <w:sz w:val="19"/>
                <w:szCs w:val="19"/>
                <w:color w:val="auto"/>
              </w:rPr>
            </w:pPr>
          </w:p>
        </w:tc>
        <w:tc>
          <w:tcPr>
            <w:tcW w:w="1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Biller</w:t>
            </w:r>
          </w:p>
        </w:tc>
        <w:tc>
          <w:tcPr>
            <w:tcW w:w="560" w:type="dxa"/>
            <w:vAlign w:val="bottom"/>
          </w:tcPr>
          <w:p>
            <w:pPr>
              <w:spacing w:after="0"/>
              <w:rPr>
                <w:sz w:val="19"/>
                <w:szCs w:val="19"/>
                <w:color w:val="auto"/>
              </w:rPr>
            </w:pPr>
          </w:p>
        </w:tc>
        <w:tc>
          <w:tcPr>
            <w:tcW w:w="14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213,461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212,288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425,749</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1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Interchange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146,228</w:t>
            </w:r>
          </w:p>
        </w:tc>
      </w:tr>
      <w:tr>
        <w:trPr>
          <w:trHeight w:val="229"/>
        </w:trPr>
        <w:tc>
          <w:tcPr>
            <w:tcW w:w="51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Global technology and innovation </w:t>
            </w:r>
            <w:r>
              <w:rPr>
                <w:rFonts w:ascii="Times New Roman" w:cs="Times New Roman" w:eastAsia="Times New Roman" w:hAnsi="Times New Roman"/>
                <w:sz w:val="23"/>
                <w:szCs w:val="23"/>
                <w:color w:val="auto"/>
                <w:vertAlign w:val="superscript"/>
              </w:rPr>
              <w:t>(b)</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79,262</w:t>
            </w:r>
          </w:p>
        </w:tc>
      </w:tr>
      <w:tr>
        <w:trPr>
          <w:trHeight w:val="230"/>
        </w:trPr>
        <w:tc>
          <w:tcPr>
            <w:tcW w:w="51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(c)</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52,954</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33,969</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147,305</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income before income taxes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(25,319)</w:t>
            </w:r>
          </w:p>
        </w:tc>
      </w:tr>
      <w:tr>
        <w:trPr>
          <w:trHeight w:val="229"/>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(16,957)</w:t>
            </w:r>
          </w:p>
        </w:tc>
      </w:tr>
      <w:tr>
        <w:trPr>
          <w:trHeight w:val="230"/>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and unallocated expenses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(47,539)</w:t>
            </w:r>
          </w:p>
        </w:tc>
      </w:tr>
      <w:tr>
        <w:trPr>
          <w:trHeight w:val="229"/>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net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r>
      <w:tr>
        <w:trPr>
          <w:trHeight w:val="229"/>
        </w:trPr>
        <w:tc>
          <w:tcPr>
            <w:tcW w:w="5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520" w:type="dxa"/>
            <w:vAlign w:val="bottom"/>
            <w:tcBorders>
              <w:bottom w:val="single" w:sz="8" w:color="auto"/>
            </w:tcBorders>
            <w:gridSpan w:val="6"/>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1400" w:type="dxa"/>
            <w:vAlign w:val="bottom"/>
            <w:tcBorders>
              <w:bottom w:val="single" w:sz="8" w:color="auto"/>
            </w:tcBorders>
            <w:shd w:val="clear" w:color="auto" w:fill="CCEEFF"/>
          </w:tcPr>
          <w:p>
            <w:pPr>
              <w:spacing w:after="0"/>
              <w:rPr>
                <w:sz w:val="19"/>
                <w:szCs w:val="19"/>
                <w:color w:val="auto"/>
              </w:rPr>
            </w:pPr>
          </w:p>
        </w:tc>
      </w:tr>
      <w:tr>
        <w:trPr>
          <w:trHeight w:val="223"/>
        </w:trPr>
        <w:tc>
          <w:tcPr>
            <w:tcW w:w="5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Payment Software</w:t>
            </w:r>
          </w:p>
        </w:tc>
        <w:tc>
          <w:tcPr>
            <w:tcW w:w="440" w:type="dxa"/>
            <w:vAlign w:val="bottom"/>
          </w:tcPr>
          <w:p>
            <w:pPr>
              <w:spacing w:after="0"/>
              <w:rPr>
                <w:sz w:val="19"/>
                <w:szCs w:val="19"/>
                <w:color w:val="auto"/>
              </w:rPr>
            </w:pPr>
          </w:p>
        </w:tc>
        <w:tc>
          <w:tcPr>
            <w:tcW w:w="1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Biller</w:t>
            </w:r>
          </w:p>
        </w:tc>
        <w:tc>
          <w:tcPr>
            <w:tcW w:w="560" w:type="dxa"/>
            <w:vAlign w:val="bottom"/>
          </w:tcPr>
          <w:p>
            <w:pPr>
              <w:spacing w:after="0"/>
              <w:rPr>
                <w:sz w:val="19"/>
                <w:szCs w:val="19"/>
                <w:color w:val="auto"/>
              </w:rPr>
            </w:pPr>
          </w:p>
        </w:tc>
        <w:tc>
          <w:tcPr>
            <w:tcW w:w="14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200,725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394,565</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1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Interchange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130,828</w:t>
            </w:r>
          </w:p>
        </w:tc>
      </w:tr>
      <w:tr>
        <w:trPr>
          <w:trHeight w:val="229"/>
        </w:trPr>
        <w:tc>
          <w:tcPr>
            <w:tcW w:w="51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Global technology and innovation </w:t>
            </w:r>
            <w:r>
              <w:rPr>
                <w:rFonts w:ascii="Times New Roman" w:cs="Times New Roman" w:eastAsia="Times New Roman" w:hAnsi="Times New Roman"/>
                <w:sz w:val="23"/>
                <w:szCs w:val="23"/>
                <w:color w:val="auto"/>
                <w:vertAlign w:val="superscript"/>
              </w:rPr>
              <w:t>(b)</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77,903</w:t>
            </w:r>
          </w:p>
        </w:tc>
      </w:tr>
      <w:tr>
        <w:trPr>
          <w:trHeight w:val="229"/>
        </w:trPr>
        <w:tc>
          <w:tcPr>
            <w:tcW w:w="51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(c)</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48,378</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30,895</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137,456</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loss before income taxes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(23,985)</w:t>
            </w:r>
          </w:p>
        </w:tc>
      </w:tr>
      <w:tr>
        <w:trPr>
          <w:trHeight w:val="230"/>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w:t>
            </w:r>
          </w:p>
        </w:tc>
      </w:tr>
      <w:tr>
        <w:trPr>
          <w:trHeight w:val="230"/>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and unallocated expenses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(43,328)</w:t>
            </w:r>
          </w:p>
        </w:tc>
      </w:tr>
      <w:tr>
        <w:trPr>
          <w:trHeight w:val="230"/>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net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w:t>
            </w:r>
          </w:p>
        </w:tc>
      </w:tr>
      <w:tr>
        <w:trPr>
          <w:trHeight w:val="229"/>
        </w:trPr>
        <w:tc>
          <w:tcPr>
            <w:tcW w:w="5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23,740</w:t>
            </w: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firstLine="8"/>
        <w:spacing w:after="0" w:line="282" w:lineRule="auto"/>
        <w:tabs>
          <w:tab w:leader="none" w:pos="2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Interchange – Interchange costs include all payment card interchange fees, amounts payable to banks, and payment card processing fees associated with providing services to Biller customers.</w:t>
      </w:r>
    </w:p>
    <w:p>
      <w:pPr>
        <w:spacing w:after="0" w:line="188" w:lineRule="exact"/>
        <w:rPr>
          <w:rFonts w:ascii="Times New Roman" w:cs="Times New Roman" w:eastAsia="Times New Roman" w:hAnsi="Times New Roman"/>
          <w:sz w:val="18"/>
          <w:szCs w:val="18"/>
          <w:color w:val="auto"/>
        </w:rPr>
      </w:pPr>
    </w:p>
    <w:p>
      <w:pPr>
        <w:jc w:val="both"/>
        <w:ind w:firstLine="8"/>
        <w:spacing w:after="0" w:line="254" w:lineRule="auto"/>
        <w:tabs>
          <w:tab w:leader="none" w:pos="2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Technology &amp; Innovation – (“GTI”) costs include the costs of maintaining software products, as well as the costs required to deliver, install, and support software at customer sites. It also includes maintenance costs, which are the efforts associated with providing the customer with upgrades, 24-hour help desk, post go-live (remote) support, and production-type support for software that was previously installed at a customer location. GTI includes costs to provide SaaS and PaaS services including our data center operations. Service costs, including human resource and other incidental costs such as travel and training required for both pre go-live and post go-live support, are included. Such efforts include project management, delivery, product customization and implementation, installation support, consulting, configuration, and on-site support. GTI also includes research and development expenses which are primarily human resource costs related to the creation of new products, improvements made to existing products, as well as compatibility with new operating system releases and generations of hardware.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8"/>
        <w:spacing w:after="0" w:line="255" w:lineRule="auto"/>
        <w:tabs>
          <w:tab w:leader="none" w:pos="2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 other includes selling and marketing, product management, third-party royalties and other cost of goods sold excluding interchange. Selling and marketing costs, which are the costs related to selling our products to current and prospective customers as well as the costs related to promoting the Company, its products and the research efforts required to measure customers’ future needs and satisfaction levels. Selling costs are primarily the human resource and travel costs related to the effort expended to license our products and services to current and potential clients within defined territories and/or industries as well as the management of the overall relationship with customer accounts. Selling costs also include the costs associated with assisting distributors in their efforts to sell our products and services in their respective local markets. Product management costs are primarily the human resource costs related to developing and documenting our product requirements.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are not allocated to segments, and the Company’s CODM does not evaluate operating segments using discrete asset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revenue by primary solution category for the Company’s reportable segments for the periods indicated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6"/>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1300" w:type="dxa"/>
            <w:vAlign w:val="bottom"/>
            <w:tcBorders>
              <w:bottom w:val="single" w:sz="8" w:color="auto"/>
            </w:tcBorders>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Payment Software</w:t>
            </w:r>
          </w:p>
        </w:tc>
        <w:tc>
          <w:tcPr>
            <w:tcW w:w="420" w:type="dxa"/>
            <w:vAlign w:val="bottom"/>
          </w:tcPr>
          <w:p>
            <w:pPr>
              <w:spacing w:after="0"/>
              <w:rPr>
                <w:sz w:val="19"/>
                <w:szCs w:val="19"/>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Biller</w:t>
            </w:r>
          </w:p>
        </w:tc>
        <w:tc>
          <w:tcPr>
            <w:tcW w:w="560" w:type="dxa"/>
            <w:vAlign w:val="bottom"/>
          </w:tcPr>
          <w:p>
            <w:pPr>
              <w:spacing w:after="0"/>
              <w:rPr>
                <w:sz w:val="19"/>
                <w:szCs w:val="19"/>
                <w:color w:val="auto"/>
              </w:rPr>
            </w:pP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Primary solution categories</w:t>
            </w:r>
          </w:p>
        </w:tc>
        <w:tc>
          <w:tcPr>
            <w:tcW w:w="1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Bill 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212,288</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212,288</w:t>
            </w:r>
          </w:p>
        </w:tc>
      </w:tr>
      <w:tr>
        <w:trPr>
          <w:trHeight w:val="229"/>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Merchant payments</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47,026</w:t>
            </w: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intelligence</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9,437</w:t>
            </w:r>
          </w:p>
        </w:tc>
      </w:tr>
      <w:tr>
        <w:trPr>
          <w:trHeight w:val="229"/>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Real-time payments</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32,427</w:t>
            </w:r>
          </w:p>
        </w:tc>
      </w:tr>
      <w:tr>
        <w:trPr>
          <w:trHeight w:val="229"/>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Issuing and acquiring</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124,571</w:t>
            </w:r>
          </w:p>
        </w:tc>
      </w:tr>
      <w:tr>
        <w:trPr>
          <w:trHeight w:val="248"/>
        </w:trPr>
        <w:tc>
          <w:tcPr>
            <w:tcW w:w="54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425,749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6"/>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1300" w:type="dxa"/>
            <w:vAlign w:val="bottom"/>
            <w:tcBorders>
              <w:bottom w:val="single" w:sz="8" w:color="auto"/>
            </w:tcBorders>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Payment Software</w:t>
            </w:r>
          </w:p>
        </w:tc>
        <w:tc>
          <w:tcPr>
            <w:tcW w:w="420" w:type="dxa"/>
            <w:vAlign w:val="bottom"/>
          </w:tcPr>
          <w:p>
            <w:pPr>
              <w:spacing w:after="0"/>
              <w:rPr>
                <w:sz w:val="19"/>
                <w:szCs w:val="19"/>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Biller</w:t>
            </w:r>
          </w:p>
        </w:tc>
        <w:tc>
          <w:tcPr>
            <w:tcW w:w="560" w:type="dxa"/>
            <w:vAlign w:val="bottom"/>
          </w:tcPr>
          <w:p>
            <w:pPr>
              <w:spacing w:after="0"/>
              <w:rPr>
                <w:sz w:val="19"/>
                <w:szCs w:val="19"/>
                <w:color w:val="auto"/>
              </w:rPr>
            </w:pP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Primary solution categories</w:t>
            </w:r>
          </w:p>
        </w:tc>
        <w:tc>
          <w:tcPr>
            <w:tcW w:w="1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Bill 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193,840</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193,840</w:t>
            </w:r>
          </w:p>
        </w:tc>
      </w:tr>
      <w:tr>
        <w:trPr>
          <w:trHeight w:val="229"/>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Merchant payments</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37,659</w:t>
            </w: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intelligence</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w:t>
            </w:r>
          </w:p>
        </w:tc>
      </w:tr>
      <w:tr>
        <w:trPr>
          <w:trHeight w:val="230"/>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Real-time payments</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25,738</w:t>
            </w: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Issuing and acquiring</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127,754</w:t>
            </w:r>
          </w:p>
        </w:tc>
      </w:tr>
      <w:tr>
        <w:trPr>
          <w:trHeight w:val="248"/>
        </w:trPr>
        <w:tc>
          <w:tcPr>
            <w:tcW w:w="54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394,565</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Payment Software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 as a service and platform as a service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43,243</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84,493</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48,642</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24,347</w:t>
            </w:r>
          </w:p>
        </w:tc>
      </w:tr>
      <w:tr>
        <w:trPr>
          <w:trHeight w:val="22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200,725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Biller</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Software as a service and platform as a service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193,840</w:t>
            </w:r>
          </w:p>
        </w:tc>
      </w:tr>
      <w:tr>
        <w:trPr>
          <w:trHeight w:val="248"/>
        </w:trPr>
        <w:tc>
          <w:tcPr>
            <w:tcW w:w="8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790"/>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the Company's revenue by geographic location for the periods indicated (in thousands):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7"/>
        </w:trPr>
        <w:tc>
          <w:tcPr>
            <w:tcW w:w="124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40" w:type="dxa"/>
            <w:vAlign w:val="bottom"/>
            <w:tcBorders>
              <w:bottom w:val="single" w:sz="8" w:color="CCEEFF"/>
            </w:tcBorders>
          </w:tcPr>
          <w:p>
            <w:pPr>
              <w:spacing w:after="0"/>
              <w:rPr>
                <w:sz w:val="19"/>
                <w:szCs w:val="19"/>
                <w:color w:val="auto"/>
              </w:rPr>
            </w:pPr>
          </w:p>
        </w:tc>
        <w:tc>
          <w:tcPr>
            <w:tcW w:w="68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273,710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236,754</w:t>
            </w:r>
          </w:p>
        </w:tc>
      </w:tr>
      <w:tr>
        <w:trPr>
          <w:trHeight w:val="230"/>
        </w:trPr>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157,811</w:t>
            </w:r>
          </w:p>
        </w:tc>
      </w:tr>
      <w:tr>
        <w:trPr>
          <w:trHeight w:val="223"/>
        </w:trPr>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425,749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394,565</w:t>
            </w:r>
          </w:p>
        </w:tc>
      </w:tr>
      <w:tr>
        <w:trPr>
          <w:trHeight w:val="21"/>
        </w:trPr>
        <w:tc>
          <w:tcPr>
            <w:tcW w:w="12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Company’s long-lived assets by geographic location for the periods indicated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1,090,183</w:t>
            </w:r>
          </w:p>
        </w:tc>
        <w:tc>
          <w:tcPr>
            <w:tcW w:w="12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1,106,051</w:t>
            </w:r>
          </w:p>
        </w:tc>
      </w:tr>
      <w:tr>
        <w:trPr>
          <w:trHeight w:val="230"/>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815,199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836,618</w:t>
            </w:r>
          </w:p>
        </w:tc>
      </w:tr>
      <w:tr>
        <w:trPr>
          <w:trHeight w:val="223"/>
        </w:trPr>
        <w:tc>
          <w:tcPr>
            <w:tcW w:w="8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1,905,382</w:t>
            </w:r>
          </w:p>
        </w:tc>
        <w:tc>
          <w:tcPr>
            <w:tcW w:w="12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1,942,669</w:t>
            </w:r>
          </w:p>
        </w:tc>
      </w:tr>
      <w:tr>
        <w:trPr>
          <w:trHeight w:val="21"/>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single customer accounted for more than 10% of the Company’s consolidated revenues during the three months ended March 31, 2026 and 2025. No country outside the United States accounted for more than 10% of the Company's consolidated revenues during the three months ended March 31, 2026 and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Company's effective tax rate was 24%. The Company reported a tax charge on pretax income, including $23.2 million of earnings recognized by foreign entities. The effective tax rate for the three months ended March 31, 2026, was negatively impacted by permanent tax differences related to stock-based compensation expense.</w:t>
      </w: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Company's effective tax rate was 18%. The Company reported a tax charge on pretax income, including $80.2 million of earnings recognized by foreign entities. The effective tax rate for the three months ended March 31, 2025, was positively impacted by excess tax deductions related to stock-based compensation expense.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effective tax rate could fluctuate on a quarterly basis due to the occurrence of significant and unusual or infrequent items, such as vesting of stock-based compensation or foreign currency gains and losses. The Company’s effective tax rate could also fluctuate due to changes in the valuation of its deferred tax assets or liabilities, or by changes in tax laws, regulations, accounting principles, or interpretations thereof. In addition, the Company is occasionally subject to examination of its income tax returns by tax authorities in the jurisdictions it operates. The Company regularly assesses the likelihood of adverse outcomes resulting from these examinations to determine the adequacy of its provision for income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both March 31, 2026, and December 31, 2025, the amount of unrecognized tax benefits for uncertain tax positions was $20.3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contains forward-looking statements based on current expectations that involve a number of risks and uncertainties. Generally, forward-looking statements do not relate strictly to historical or current facts and may include words or phrases such as “believes,” “will,” “expects,” “anticipates,” “intends,” and words and phrases of similar impact. The forward-looking statements are made pursuant to safe harbor provisions of the Private Securities Litigation Reform Act of 1995, as amended.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in this report include, but are not limited to, statements regarding future operations, business strategy, business environment, key trends, and, in each case, statements related to expected financial and other benefits. Many of these factors will be important in determining our actual future results. Any or all of the forward-looking statements in this report may turn out to be incorrect. They may be based on inaccurate assumptions or may not account for known or unknown risks and uncertainties. Consequently, no forward-looking statement can be guaranteed. Actual future results may vary materially from those expressed or implied in any forward-looking statements, and our business, financial condition and results of operations could be materially and adversely affected. In addition, we disclaim any obligation to update any forward-looking statements after the date of this report, except as required by law.</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forward-looking statements in this report are expressly qualified by the risk factors discussed in our filings with the Securities and Exchange Commission (“SEC”). The cautionary statements in this report expressly qualify all of our forward-looking statements. Factors that could cause actual results to differ from those expressed or implied in the forward-looking statements include, but are not limited to, those discussed in our Risk Factors in Part 1, Item 1A of our Annual Report on Form 10-K for the fiscal year ended December 31, 2025, and in Part 2, Item 1A of this Form 10-Q.</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together with our Annual Report on Form 10-K for the fiscal year ended December 31, 2025, and with our financial statements and related notes contained in this Form 10-Q. Results for the three months ended March 31, 2026, are not necessarily indicative of results that may be attained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ACI Worldwide delivers transformative software solutions that power intelligent payments orchestration in real time so banks, merchants, and billers can drive growth, while continuously modernizing their payment infrastructures, simply and securely. With 50 years of trusted payments expertise, we combine our global footprint with a local presence to offer enhanced payment experiences to stay ahead of constantly changing payment challenges and opportunities.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are sold and supported directly and through distribution networks covering three geographic regions – the Americas; Europe, Middle East, and Africa (“EMEA”); and Asia Pacific. Each region has its own globally coordinated sales force, supplemented with local independent resellers and/or distributor networks. Our products and solutions are marketed under the ACI Worldwide brand and used globally by banks of all sizes, central banks, intermediaries, merchants, and billers, such as third-party electronic payment processors, payment associations, switch interchanges, and a wide range of transaction-generating endpoints, including ATMs, merchant point-of-sale (“POS”) terminals, bank branches, mobile phones, tablets, corporations, and internet commerce sites.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derive a majority of our revenues from domestic operations and believe we have large opportunities for growth in international markets, as well as continued expansion domestically in the United States. We also continue to maintain centers of expertise in Timisoara, Romania, and Pune and Bangalore in India, as well as key operational centers such as in Cape Town, South Africa and in multiple locations in the United States.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and operating results are influenced by trends such as information technology spending levels, the growth rate of digital payments, mandated regulatory changes, and changes in the number and type of customers in the financial services industry, as well as economic growth, and purchasing habits.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trends that currently impact our strategies and operations include:</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Increasing digital payment transaction volumes. </w:t>
      </w:r>
      <w:r>
        <w:rPr>
          <w:rFonts w:ascii="Times New Roman" w:cs="Times New Roman" w:eastAsia="Times New Roman" w:hAnsi="Times New Roman"/>
          <w:sz w:val="18"/>
          <w:szCs w:val="18"/>
          <w:color w:val="auto"/>
        </w:rPr>
        <w:t>The adoption of digital payments continues to accelerate, driven by the increased adoption of instant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and other financial inclusion efforts of countries throughout the world, with countries such as India, Brazil, Indonesia, Malaysia, and most recently Colombia, growing dramatically. Contactless payments adoption for in-person payments was thrust forward in response to the COVID-19 pandemic, and that usage has not abated. ACI leverages growth in transaction volumes through the licensing of payment technologies to banks and intermediaries seeking to take advantage of that growth, supporting 44 global payment schemes and providing the central infrastructure to 11 central banks directly operating the scheme using ACI software. With the launch of ACI Connetic, our comprehensive cloud-native payments hub solution available as a SaaS solution, participating in this growth is now accessible to banks of all sizes, significantly increasing ACI’s addressable market for software solutions.</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ISO 20022 and enhanced payment standards. </w:t>
      </w:r>
      <w:r>
        <w:rPr>
          <w:rFonts w:ascii="Times New Roman" w:cs="Times New Roman" w:eastAsia="Times New Roman" w:hAnsi="Times New Roman"/>
          <w:sz w:val="18"/>
          <w:szCs w:val="18"/>
          <w:color w:val="auto"/>
        </w:rPr>
        <w:t>In 2024 and 2025, banks and processors across the globe achieved major milestones with the certification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go-live of ISO 20022 compliance across the major wires networks, including Fedwire, Swift, CHAPS, and CHIPS. ACI solutions were instrumental in this new initiative, regularly processing more than two-thirds of Fedwire payments traffic and approximately 15% of Swift payments traffic globally. These go-live events were highly consequential in financial services globally, and with the enhanced data standards described, the financial system stands to be easier to secure and provide much richer analytics.</w:t>
      </w:r>
    </w:p>
    <w:p>
      <w:pPr>
        <w:spacing w:after="0" w:line="206"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Adoption of cloud technology. </w:t>
      </w:r>
      <w:r>
        <w:rPr>
          <w:rFonts w:ascii="Times New Roman" w:cs="Times New Roman" w:eastAsia="Times New Roman" w:hAnsi="Times New Roman"/>
          <w:sz w:val="18"/>
          <w:szCs w:val="18"/>
          <w:color w:val="auto"/>
        </w:rPr>
        <w:t>ACI has recognized the industry's technical inflection point as financial institutions transition from traditional on-premises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to private and public cloud environments, and we are actively supporting our customers' cloud strategies. Cloud technology enables the financial services ecosystem to reduce technical risk, accelerate innovation, improve time-to-market for new revenue-generating solutions, and enhance scalability, resiliency, and long-term operating economics. As banks, intermediaries, merchants, and billers modernize their systems to take advantage of these capabilities, our ongoing investments and partnerships allow us to deliver cloud benefits today while maintaining ACI's core strengths in performance, resiliency, and scalability. In addition, cloud-native, multi-tenant SaaS solutions expand our reach to smaller institutions by providing scalable, easy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integrate offerings at accessible price points. Building on these foundations, ACI Connetic—our fully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native banking platform launched in 2025—advances this strategy by conforming fully to Cloud Native Computing Foundation principles and by being deployable across public cloud environments such as Microsoft Azure and Amazon Web Services, as well as customers’ private clouds. Working closely with key hardware and software partners including IBM and Red Hat, we ensure ACI Connetic can operate at scale in public, private, and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cloud deployments, supporting the needs of the largest global banks and processors, particularly in highly regulated markets where concentration risk and data sovereignty considerations drive deployment strategy.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Payments Intelligence and Artificial Intelligence. </w:t>
      </w:r>
      <w:r>
        <w:rPr>
          <w:rFonts w:ascii="Times New Roman" w:cs="Times New Roman" w:eastAsia="Times New Roman" w:hAnsi="Times New Roman"/>
          <w:sz w:val="18"/>
          <w:szCs w:val="18"/>
          <w:color w:val="auto"/>
        </w:rPr>
        <w:t>The accelerated adoption of real-time payments and new risks associated with AI agents driving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exploits increases the urgency for industry-wide collaboration against fraud. As the threat of scams becomes a greater concern for remitting and receiving institutions, consumers are challenged with increased friction to prevent account take-over and criminals successfully persuading consumers to push transactions themselves, inadvertently, to mule accounts they have full control of, created with fake or synthetic identity, or simply "borrowed" with or without consent of the legit account holders. While AI will be used to accelerate vulnerabilities, it can also be used to automate financial protection, including but not limited to recognition of synthetic identities and automated remediation. Banks and intermediaries, merchants, and billers are pursuing solutions to mitigate their risks while improving their customer experience, protecting their margins, and securing their revenue streams, especially with their new products and offerings. We continue to see opportunities for AI and other advanced analytics capabilities to stop fraudulent behavior and enable frictionless customer experiences.</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GENIUS Act and stablecoins. </w:t>
      </w:r>
      <w:r>
        <w:rPr>
          <w:rFonts w:ascii="Times New Roman" w:cs="Times New Roman" w:eastAsia="Times New Roman" w:hAnsi="Times New Roman"/>
          <w:sz w:val="18"/>
          <w:szCs w:val="18"/>
          <w:color w:val="auto"/>
        </w:rPr>
        <w:t>With the passage of the 2025 GENIUS Act in the United States, stablecoins gained international attention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prominence. As a leading software provider of solutions to move value around the world, ACI already plays a significant role in enabling stablecoin workflows as fiat currency funds are transferred to and from issuers and stablecoins are minted and burned. We recognize the importance of stablecoins to global value transfer, especially cross-border transfers, and ACI Connetic at its core design is the ideal platform for initiating, managing, and receiving those transfers. As customers are evaluating payment hubs, we expect that ACI Connetic and our strategy for stablecoin support will be well-received in the market.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Several other factors related to our business may have a significant impact on our operating results from year to year. For example, the accounting rules governing the timing of revenue recognition are complex, and it can be difficult to estimate when we will recognize revenue generated by a given transaction. Factors such as creditworthiness of the customer and timing of transfer of control or acceptance of our products may cause revenues related to sales generated in one period to be deferred and recognized in later periods. For arrangements in which services revenue is deferred, related direct and incremental costs may also be deferred. Additionally, while the majority of our contracts are denominated in the U.S. dollar, a substantial portion of our sales are made, and some of our expenses are incurred, in the local currency of countries other than the United States. Fluctuations in currency exchange rates in a given period may result in the recognition of gains or losses for that period.</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seek ways to grow through organic sources, partnerships, alliances, and acquisitions. We continually look for potential acquisitions designed to improve our solutions’ breadth or provide access to new markets. As part of our acquisition strategy, we seek acquisition candidates that are strategic, capable of being integrated into our operating environment, and accretive to our financial 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is comprised of:</w:t>
      </w:r>
    </w:p>
    <w:p>
      <w:pPr>
        <w:spacing w:after="0" w:line="117" w:lineRule="exact"/>
        <w:rPr>
          <w:sz w:val="20"/>
          <w:szCs w:val="20"/>
          <w:color w:val="auto"/>
        </w:rPr>
      </w:pPr>
    </w:p>
    <w:p>
      <w:pPr>
        <w:jc w:val="both"/>
        <w:ind w:left="900" w:hanging="325"/>
        <w:spacing w:after="0" w:line="258"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Committed Backlog, which includes (1) contracted revenue that will be recognized in future periods (contracted but not recognized) from software license fees, maintenance fees, service fees, and SaaS and PaaS fees specified in executed contracts (including estimates of variable consideration if required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included in the transaction price for those contracts, which includes deferred revenue and amounts that will be invoiced and recognized as revenue in future periods and (2) estimated future revenues from software license fees, maintenance fees, services fees, and SaaS and PaaS fees specified in executed contracts.</w:t>
      </w:r>
    </w:p>
    <w:p>
      <w:pPr>
        <w:spacing w:after="0" w:line="75"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Backlog, which includes estimated future revenues from assumed contract renewals to the extent we believe recognition of the related revenue will occur within the corresponding backlog period.</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backlog estimates assume renewals based upon automatic renewal provisions in the executed contract and our historic experience with customer renewal rates.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60-month backlog estimates are derived using the following key assumptions:</w:t>
      </w:r>
    </w:p>
    <w:p>
      <w:pPr>
        <w:spacing w:after="0" w:line="117" w:lineRule="exact"/>
        <w:rPr>
          <w:sz w:val="20"/>
          <w:szCs w:val="20"/>
          <w:color w:val="auto"/>
        </w:rPr>
      </w:pPr>
    </w:p>
    <w:p>
      <w:pPr>
        <w:ind w:left="900" w:right="400" w:hanging="325"/>
        <w:spacing w:after="0" w:line="266"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arrangements are assumed to renew at the end of their committed term or under the renewal option stated in the contract at a rate consistent with historical experience. If the license arrangement includes extended payment terms, the renewal estimate is adjusted for the effects of a significant financing component.</w:t>
      </w:r>
    </w:p>
    <w:p>
      <w:pPr>
        <w:spacing w:after="0" w:line="67"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fees are assumed to exist for the duration of the license term for those contracts in which the committed maintenance term is less than the committed license term.</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 and PaaS arrangements are assumed to renew at the end of their committed term at a rate consistent with our historical experiences.</w:t>
      </w:r>
    </w:p>
    <w:p>
      <w:pPr>
        <w:spacing w:after="0" w:line="117"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 are assumed to remain constant over the 60-month backlog period for those contracts stated in currencies other than the U.S. dollar.</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pricing policies and practices are assumed to remain constant over the 60-month backlog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computing our 60-month backlog estimate, the following items are specifically not taken into account:</w:t>
      </w:r>
    </w:p>
    <w:p>
      <w:pPr>
        <w:spacing w:after="0" w:line="117"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increases in transaction, account, or processing volumes by our customers.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 annual uplifts or inflationary increases in recurring fees.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engagements, other than SaaS and PaaS arrangements, are not assumed to renew over the 60-month backlog period.</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consolidation activity within our markets and/or customers.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 our customer renewal experience on an annual basis. The impact of this review and subsequent updates may result in a revision to the renewal assumptions used in computing the 60-month backlog estimates. In the event a significant revision to renewal assumptions is determined to be necessary, prior periods will be adjusted for comparability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60-month backlog estimate, by reportable segment, as of March 31, 2026, and December 31, 2025 (in millions). Dollar amounts reflect foreign currency exchange rates as of each period end. This is a non-GAAP financial measure being presented to provide comparability across accounting periods. We believe this measure provides useful information to investors and others in understanding and evaluating our financial performance.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Software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Biller</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w:t>
            </w:r>
          </w:p>
        </w:tc>
      </w:tr>
      <w:tr>
        <w:trPr>
          <w:trHeight w:val="248"/>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Committed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Renewal</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r>
      <w:tr>
        <w:trPr>
          <w:trHeight w:val="248"/>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Estimates of future financial results require substantial judgment and are based on several assumptions, as described above. These assumptions may turn out to be inaccurate or wrong for reasons outside of management’s control. For example, our customers may attempt to renegotiate or terminate their contracts for many reasons, including mergers, changes in their financial condition, or general changes in economic conditions in the customer’s industry or geographic location. We may also experience delays in the development or delivery of products or services specified in customer contracts, which may cause the actual renewal rates and amounts to differ from historical experiences. Changes in foreign currency exchange rates may also impact the amount of revenue recognized in future periods. Accordingly, there can be no assurance that amounts included in backlog estimates will generate the specified revenues or that the actual revenues will be generated within the corresponding 60-month period. Additionally, because certain components of Committed Backlog and all of Renewal Backlog estimates are operating metrics, the estimates are not required to be subject to the same level of internal review or controls as contracted but not recognized Committed Backlog.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condensed consolidated statements of operations, as well as the percentage relationship to total revenues for items included in our condensed consolidated statements of operations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Three Month Period Ended March 31, 2026 Compared to the Three Month Period Ended March 31, 2025</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6"/>
              </w:rPr>
              <w:t>% of Total</w:t>
            </w:r>
          </w:p>
        </w:tc>
        <w:tc>
          <w:tcPr>
            <w:tcW w:w="120" w:type="dxa"/>
            <w:vAlign w:val="bottom"/>
          </w:tcPr>
          <w:p>
            <w:pPr>
              <w:spacing w:after="0"/>
              <w:rPr>
                <w:sz w:val="15"/>
                <w:szCs w:val="15"/>
                <w:color w:val="auto"/>
              </w:rPr>
            </w:pPr>
          </w:p>
        </w:tc>
        <w:tc>
          <w:tcPr>
            <w:tcW w:w="1240" w:type="dxa"/>
            <w:vAlign w:val="bottom"/>
            <w:gridSpan w:val="2"/>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 Change vs</w:t>
            </w:r>
          </w:p>
        </w:tc>
        <w:tc>
          <w:tcPr>
            <w:tcW w:w="1340" w:type="dxa"/>
            <w:vAlign w:val="bottom"/>
          </w:tcPr>
          <w:p>
            <w:pPr>
              <w:jc w:val="right"/>
              <w:ind w:right="70"/>
              <w:spacing w:after="0" w:line="174" w:lineRule="exact"/>
              <w:rPr>
                <w:sz w:val="20"/>
                <w:szCs w:val="20"/>
                <w:color w:val="auto"/>
              </w:rPr>
            </w:pPr>
            <w:r>
              <w:rPr>
                <w:rFonts w:ascii="Times New Roman" w:cs="Times New Roman" w:eastAsia="Times New Roman" w:hAnsi="Times New Roman"/>
                <w:sz w:val="18"/>
                <w:szCs w:val="18"/>
                <w:b w:val="1"/>
                <w:bCs w:val="1"/>
                <w:color w:val="auto"/>
              </w:rPr>
              <w:t>% Change vs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Pr>
          <w:p>
            <w:pPr>
              <w:jc w:val="right"/>
              <w:ind w:right="190"/>
              <w:spacing w:after="0" w:line="17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38"/>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0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Software as a service and platform as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 service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261,957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24,874</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Maintenance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425,749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228,459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25,256</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368,259</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32,210</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23"/>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(20,187)</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38,306</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(20,564)</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58,870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for the three months ended March 31, 2026, increased $31.2 million, or 8%, as compared to the same period in 2025.</w:t>
      </w:r>
    </w:p>
    <w:p>
      <w:pPr>
        <w:spacing w:after="0" w:line="117" w:lineRule="exact"/>
        <w:rPr>
          <w:sz w:val="20"/>
          <w:szCs w:val="20"/>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currencies strengthening against the U.S. dollar resulted in a $7.7 million increase in total revenue during the three months ended March 31, 2026, as compared to the same period in 2025.</w:t>
      </w:r>
    </w:p>
    <w:p>
      <w:pPr>
        <w:ind w:left="660" w:right="2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foreign currency, total revenue for the three months ended March 31, 2026, increased $23.5 million, or 6%, as compared to the same period in 2025.</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as a Service (“SaaS”) and Platform as a Service (“PaaS”) Revenue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SaaS arrangements allow customers to use certain software solutions (without taking possession of the software) in a multi-tenant or single-tenant cloud environment on a subscription basis. The Company’s PaaS arrangements allow customers to use certain software solutions (without taking possession of the software) in a multi-tenant cloud environment on a subscription or consumption basis. Included in SaaS and PaaS revenue are fees paid by our customers for use of our Biller solutions. Biller-related fees may be paid by our clients or directly by their customers and may be a percentage of the underlying transaction amount, a fixed fee per executed transaction or a monthly fee for each customer enrolled. SaaS and PaaS costs include payment card interchange fees, the amounts payable to banks and payment card processing fees, which are included in cost of revenue in the condensed consolidated statements of operations. All fees from SaaS and PaaS arrangements that do not qualify for treatment as a distinct performance obligation, which includes set-up fees, implementation or customization services, and product support services, are included in SaaS and PaaS revenue.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SaaS and PaaS revenue increased $24.9 million, or 10%, during the three months ended March 31, 2026, as compared to the same period in 2025.</w:t>
      </w:r>
    </w:p>
    <w:p>
      <w:pPr>
        <w:spacing w:after="0" w:line="117" w:lineRule="exact"/>
        <w:rPr>
          <w:sz w:val="20"/>
          <w:szCs w:val="20"/>
          <w:color w:val="auto"/>
        </w:rPr>
      </w:pPr>
    </w:p>
    <w:p>
      <w:pPr>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currencies strengthening against the U.S. dollar resulted in a $1.5 million increase in SaaS and PaaS revenue during the three months ended March 31, 2026, as compared to the same period in 2025.</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foreign currency, SaaS and PaaS revenue for the three months ended March 31, 2026, increased $23.4 million, or 10%, as compared to the same period in 2025.</w:t>
      </w:r>
    </w:p>
    <w:p>
      <w:pPr>
        <w:ind w:left="660" w:right="2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was primarily driven by new customer go-lives since March 31, 2025, and higher transaction volumes during the three months ended March 31, 2026, as compared to the same period in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Customers purchase the right to license ACI software under multi-year, time-based software license arrangements that vary in length but are generally five years. Under these arrangements the software is installed at the customer’s location (i.e. on-premise). Within these agreements are specified capacity limits typically based on customer transaction volume. ACI employs measurement tools that monitor the number of transactions processed by customers and if contractually specified limits are exceeded, additional fees are charged for the overage. Capacity overages may occur at varying times throughout the term of the agreement depending on the product, the size of the customer, and the significance of customer transaction volume growth. Depending on specific circumstances, multiple overages or no overages may occur during the term of the agreement.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license revenue are license and capacity fees that are payable at the inception of the agreement. License revenue also includes license and capacity fees payable annually, quarterly, or monthly due to negotiated customer payment terms. The Company recognizes revenue in advance of billings for software license arrangements with extended payment terms and adjusts for the effects of the financing component, if significant.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revenue increased $3.5 million, or 4%, during the three months ended March 31, 2026, as compared to the same period in 2025.</w:t>
      </w:r>
    </w:p>
    <w:p>
      <w:pPr>
        <w:spacing w:after="0" w:line="117"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currencies strengthening against the U.S. dollar resulted in a $3.7 million increase in license revenue during the three months ended March 31, 2026, as compared to the same period in 2025.</w:t>
      </w: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foreign currency, license revenue for the three months ended March 31, 2026, decreased $0.2 million, as compared to the same period in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Maintenance Revenue</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Maintenance revenue includes standard and premium customer support and any post contract support fees received from customers for the provision of product support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revenue increased $2.3 million, or 5%, during the three months ended March 31, 2026, as compared to the same period in 2025.</w:t>
      </w:r>
    </w:p>
    <w:p>
      <w:pPr>
        <w:spacing w:after="0" w:line="117" w:lineRule="exact"/>
        <w:rPr>
          <w:sz w:val="20"/>
          <w:szCs w:val="20"/>
          <w:color w:val="auto"/>
        </w:rPr>
      </w:pPr>
    </w:p>
    <w:p>
      <w:pPr>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currencies strengthening against the U.S. dollar resulted in a $1.5 million increase in maintenance revenue during the three months ended March 31, 2026, as compared to the same period in 2025.</w:t>
      </w:r>
    </w:p>
    <w:p>
      <w:pPr>
        <w:ind w:left="660" w:right="2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foreign currency, maintenance revenue for the three months ended March 31, 2026, increased $0.8 million, or 2%, as compared to the same period in 2025.</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Services revenue includes fees earned through implementation services and other professional services. Implementation services include product installations, product configurations, and custom software modifications (“CSMs”). Other professional services include business consultancy, technical consultancy, on-site support services, product education, and testing services. These services include new customer implementations as well as existing customer migrations to new products or new releases of existing products.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revenue increased $0.5 million, or 2%, during the three months ended March 31, 2026, as compared to the same period in 2025.</w:t>
      </w:r>
    </w:p>
    <w:p>
      <w:pPr>
        <w:spacing w:after="0" w:line="117" w:lineRule="exact"/>
        <w:rPr>
          <w:sz w:val="20"/>
          <w:szCs w:val="20"/>
          <w:color w:val="auto"/>
        </w:rPr>
      </w:pPr>
    </w:p>
    <w:p>
      <w:pPr>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currencies strengthening against the U.S. dollar resulted in a $1.0 million increase in services revenue during the three months ended March 31, 2026, as compared to the same period in 2025.</w:t>
      </w:r>
    </w:p>
    <w:p>
      <w:pPr>
        <w:ind w:left="66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foreign currency, services revenue for the three months ended March 31, 2026, decreased $0.5 million, or 2%, as compared to the same period in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 for the three months ended March 31, 2026, increased $32.2 million, or 10%, as compared to the same period in 2025.</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for the three months ended March 31, 2026, included $5.4 million for cost reduction strategies.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currencies strengthening against the U.S. dollar resulted in a $4.3 million increase in total operating expenses during the three months ended March 31, 2026, compared to the same period in 2025.</w:t>
      </w:r>
    </w:p>
    <w:p>
      <w:pPr>
        <w:ind w:left="66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cost reduction strategies and foreign currency, total operating expenses for the three months ended March 31, 2026, increased $22.5 million, or 7%, compared to the same period in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 includes costs to provide SaaS and PaaS, third-party royalties, amortization of purchased and developed software for resale, the costs of maintaining our software products, as well as the costs required to deliver, install, and support software at customer sites. SaaS and PaaS service costs include payment card interchange fees, amounts payable to banks, and payment card processing fees. Maintenance costs include the efforts associated with providing the customer with upgrades, 24-hour help desk, post go-live (remote) support, and production-type support for software that was previously installed at a customer location. Service costs include human resource costs and other incidental costs such as travel and training required for both pre go-live and post go-live support. Such efforts include project management, delivery, product customization and implementation, installation support, consulting, configuration, and on-site support.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increased $15.1 million, or 7%, during the three months ended March 31, 2026, compared to the same period in 2025.</w:t>
      </w:r>
    </w:p>
    <w:p>
      <w:pPr>
        <w:spacing w:after="0" w:line="117" w:lineRule="exact"/>
        <w:rPr>
          <w:sz w:val="20"/>
          <w:szCs w:val="20"/>
          <w:color w:val="auto"/>
        </w:rPr>
      </w:pPr>
    </w:p>
    <w:p>
      <w:pPr>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currencies strengthening against the U.S. dollar resulted in a $1.6 million increase in cost of revenue during the three months ended March 31, 2026, compared to the same period in 2025.</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foreign currency, cost of revenue for the three months ended March 31, 2026, increased $13.5 million, or 6%, compared to the same period in 2025.</w:t>
      </w:r>
    </w:p>
    <w:p>
      <w:pPr>
        <w:ind w:left="66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was primarily due to higher payment card interchange fees of $15.4 million, partially offset by lower personnel and related expenses of $1.9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are primarily human resource costs related to the creation of new products, improvements made to existing products as well as compatibility with new operating system releases and generations of hardware.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 increased $5.2 million, or 13%, during the three months ended March 31, 2026, as compared to the same period in 2025.</w:t>
      </w:r>
    </w:p>
    <w:p>
      <w:pPr>
        <w:spacing w:after="0" w:line="117" w:lineRule="exact"/>
        <w:rPr>
          <w:sz w:val="20"/>
          <w:szCs w:val="20"/>
          <w:color w:val="auto"/>
        </w:rPr>
      </w:pPr>
    </w:p>
    <w:p>
      <w:pPr>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currencies strengthening against the U.S. dollar resulted in a $0.7 million increase in R&amp;D expenses during the three months ended March 31, 2026, compared to the same period in 2025.</w:t>
      </w:r>
    </w:p>
    <w:p>
      <w:pPr>
        <w:ind w:left="660" w:right="2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foreign currency, R&amp;D expenses for the three months ended March 31, 2026, increased $4.5 million, or 11%, compared to the same period in 2025.</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was primarily due to higher personnel and related expenses.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and marketing includes both the costs related to selling our products to current and prospective customers as well as the costs related to promoting the Company, its products and the research efforts required to measure customers’ future needs and satisfaction levels. Selling costs are primarily the human resource and travel costs related to the effort expended to license our products and services to current and potential clients within defined territories and/or industries as well as the management of the overall relationship with customer accounts. Selling costs also include the costs associated with assisting distributors in their efforts to sell our products and services in their respective local markets. Marketing costs include costs incurred to promote the Company and its products, perform or acquire market research to help the Company better understand impending changes in customer demand for and of our products, and the costs associated with measuring customers’ opinions toward the Company, our products and personnel.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marketing expense decreased $2.0 million, or 6%, during the three months ended March 31, 2026, as compared to the same period in 2025.</w:t>
      </w:r>
    </w:p>
    <w:p>
      <w:pPr>
        <w:spacing w:after="0" w:line="117" w:lineRule="exact"/>
        <w:rPr>
          <w:sz w:val="20"/>
          <w:szCs w:val="20"/>
          <w:color w:val="auto"/>
        </w:rPr>
      </w:pPr>
    </w:p>
    <w:p>
      <w:pPr>
        <w:ind w:left="660" w:right="2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currencies strengthening against the U.S. dollar resulted in a $1.2 million increase in selling and marketing expense during the three months ended March 31, 2026, as compared to the same period in 2025.</w:t>
      </w:r>
    </w:p>
    <w:p>
      <w:pPr>
        <w:ind w:left="660" w:right="20" w:hanging="328"/>
        <w:spacing w:after="0" w:line="24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foreign currency, selling and marketing expense decreased $3.2 million, or 10%, for the three months ended March 31, 2026, as compared to the same period in 2025.</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was primarily due to lower personnel and related expenses.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are primarily human resource costs including executive salaries and benefits, personnel administration costs, and the costs of corporate support functions such as legal, administrative, human resources, and finance and accounting.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$12.6 million, or 46%, during the three months ended March 31, 2026, as compared to the same period in 2025.</w:t>
      </w:r>
    </w:p>
    <w:p>
      <w:pPr>
        <w:spacing w:after="0" w:line="5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for the three months ended March 31, 2026, included $5.4 million for cost reduction strategies.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currencies strengthening against the U.S. dollar resulted in a $0.6 million increase in general and administrative expense during the three months ended March 31, 2026, as compared to the same period in 2025.</w:t>
      </w:r>
    </w:p>
    <w:p>
      <w:pPr>
        <w:ind w:left="660" w:right="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cost reduction strategies and foreign currency, general and administrative expense increased $6.6 million, or 24%, for the three months ended March 31, 2026, as compared to the same period in 2025.</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was primarily due to higher professional and other legal fees of $5.4 million, and personnel and related expenses of $1.2 million.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increased $1.3 million, or 5%, during the three months ended March 31, 2026, as compared to the same period in 2025.</w:t>
      </w:r>
    </w:p>
    <w:p>
      <w:pPr>
        <w:spacing w:after="0" w:line="117" w:lineRule="exact"/>
        <w:rPr>
          <w:sz w:val="20"/>
          <w:szCs w:val="20"/>
          <w:color w:val="auto"/>
        </w:rPr>
      </w:pPr>
    </w:p>
    <w:p>
      <w:pPr>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currencies strengthening against the U.S. dollar resulted in a $0.2 million increase in depreciation and amortization expense during the three months ended March 31, 2026, as compared to the same period in 2025.</w:t>
      </w:r>
    </w:p>
    <w:p>
      <w:pPr>
        <w:ind w:left="66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impact of foreign currency, depreciation and amortization expense increased $1.1 million, or 4%, for the three months ended March 31, 2026, as compared to the same period in 2025.</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2026, decreased $2.5 million, or 17% compared to the same period in 2025, primarily due to lower comparative debt balances as well as a decrease in interest rates.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includes the portion of software license fees paid by customers under extended payment terms that is attributed to the significant financing component. Interest income for the three months ended March 31, 2026, decreased $0.5 million, or 11%, as compared to the same period in 2025.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net is primarily comprised of foreign currency transaction gains and losses. During the three months ended March 31, 2025, other, net also included the $25.9 million gain on the sale of the Company's equity method investment. Other, net was $1.5 million and $23.7 million of income for the three months ended March 31, 2026 and 2025,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our unaudited condensed consolidated financial statements in Part I of this Form 10-Q for additional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to our unaudited condensed consolidated financial statements in Part I of this Form 10-Q for additional information regarding segments.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selected financial data for our reportable segments for the periods indicated (in thousands):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7"/>
        </w:trPr>
        <w:tc>
          <w:tcPr>
            <w:tcW w:w="8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Software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213,461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200,725</w:t>
            </w:r>
          </w:p>
        </w:tc>
      </w:tr>
      <w:tr>
        <w:trPr>
          <w:trHeight w:val="230"/>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Biller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193,840</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425,749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394,565</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Software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106,561</w:t>
            </w:r>
          </w:p>
        </w:tc>
      </w:tr>
      <w:tr>
        <w:trPr>
          <w:trHeight w:val="230"/>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Biller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30,895</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(23,985)</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unallocated expenses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(43,328)</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23,740</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 Software Segment Adjusted EBITDA increased $6.8 million for the three months ended March 31, 2026, compared to the same period in 2025, due to a $12.7 million increase in revenue, primarily due to an increase in SaaS and PaaS and license revenues, partially offset by a $5.9 million increase in cash operating expense.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Biller Segment Adjusted EBITDA increased $3.1 million for the three months ended March 31, 2026, compared to the same period in 2025, due to a $18.4 million increase in revenue, partially offset by a $15.3 million increase in cash operating expense, primarily payment card interchange and processing 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liquidity needs are: (i) to fund normal operating expenses; (ii) to meet the interest and principal requirements of our outstanding indebtedness; and (iii) to fund acquisitions, capital expenditures, and lease payments. We believe these needs will be satisfied using cash flow generated by our operations, our cash and cash equivalents, and available borrowings under our revolving credit facility over the next 12 months and beyond.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of highly liquid investments with original maturities of three months or less. As of March 31, 2026, we had $161.8 million of cash and cash equivalents, of which $79.9 million was held by our foreign subsidiaries. The Company has recognized deferred income taxes for local country income and withholding taxes that could be incurred on distributions of certain non-U.S. earnings in foreign subsidiaries, as these earnings are not intended to be indefinitely reinvested.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Available Liquidity</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our available liquidity for the dates indicated (in thousands):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8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161,757</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196,462</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Availability under revolving credit facility</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398,100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398,100</w:t>
            </w:r>
          </w:p>
        </w:tc>
      </w:tr>
      <w:tr>
        <w:trPr>
          <w:trHeight w:val="248"/>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liquidity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594,562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total liquidity is primarily attributable to stock repurchase activity and payments on the Term Loan Facility, partially offset by cash generated from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ACI Payments, Inc., a wholly owned subsidiary, maintain a $75.0 million uncommitted overdraft facility with Bank of America, N.A. The overdraft facility acts as a secured loan under the terms of the Credit Agreement to provide an additional funding mechanism for timing differences that can occur in the bill payment settlement process. As of March 31, 2026, the full $75.0 million was available.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approved a stock repurchase program authorizing the Company, as market and business conditions warrant, to acquire its common stock and periodically authorizes additional funds for the program. In October 2025, the Board approved the repurchase of the Company's common stock of up to $500.0 million in place of the remaining purchase amounts previously authorized.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repurchased 1,549,291 shares for $65.8 million under the program during the three months ended March 31, 2026. Under the program to date, we have repurchased 68,596,875 shares for approximately $1.4 billion. As of March 31, 2026, the maximum remaining amount authorized for purchase under the stock repurchase program was approximately $390.5 million. See Note 6, </w:t>
      </w:r>
      <w:r>
        <w:rPr>
          <w:rFonts w:ascii="Times New Roman" w:cs="Times New Roman" w:eastAsia="Times New Roman" w:hAnsi="Times New Roman"/>
          <w:sz w:val="18"/>
          <w:szCs w:val="18"/>
          <w:i w:val="1"/>
          <w:iCs w:val="1"/>
          <w:color w:val="auto"/>
        </w:rPr>
        <w:t>Common Stock and Treasury Stock,</w:t>
      </w:r>
      <w:r>
        <w:rPr>
          <w:rFonts w:ascii="Times New Roman" w:cs="Times New Roman" w:eastAsia="Times New Roman" w:hAnsi="Times New Roman"/>
          <w:sz w:val="18"/>
          <w:szCs w:val="18"/>
          <w:color w:val="auto"/>
        </w:rPr>
        <w:t xml:space="preserve"> to our unaudited condensed consolidated financial statements in Part I of this Form 10-Q for additional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summarized cash flow data for the periods indicated (in thousands):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6"/>
        </w:trPr>
        <w:tc>
          <w:tcPr>
            <w:tcW w:w="8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by):</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64,247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6"/>
              </w:rPr>
              <w:t>78,221</w:t>
            </w: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7"/>
              </w:rPr>
              <w:t>(14,511)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6"/>
              </w:rPr>
              <w:t>37,092</w:t>
            </w:r>
          </w:p>
        </w:tc>
      </w:tr>
      <w:tr>
        <w:trPr>
          <w:trHeight w:val="234"/>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20"/>
                <w:szCs w:val="20"/>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(64,185)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(15,351)</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source of operating cash flows is cash collections from our customers for purchase and renewal of licensed software products and various services including software and platform as a service, maintenance, and other professional services. Our primary uses of operating cash flows include employee expenditures, taxes, interest payments, and leased facilities.</w:t>
      </w:r>
    </w:p>
    <w:p>
      <w:pPr>
        <w:spacing w:after="0" w:line="20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Cash flows provided by operating activities of $64.2 million were $14.0 million lower for the three months ended March 31, 2026, compared to $78.2 million for the same period in 2025. Operating cash flows for the current quarter decreased primarily due to the timing of customer billings and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flow from operating activities can fluctuate from period to period due to several factors, including: the timing of billings, which are typically higher in the third and fourth quarters in conjunction with sales timing and are variable based upon license renewal timing; collections, which will lag the quarters with higher billings; the timing and amounts of interest due to interest rate fluctuations; income tax and other payments; and our operating results.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the timing of our purchases and investments in capital and other assets, including strategic acquisitions, that support our growth.</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three months of 2026, we used cash of $14.5 million to purchase software, property, and equipment, as compared to $8.9 million during the same period in 2025. In addition, during the first three months of 2025, we received net proceeds of $46.0 million from the sale of our equity method investment.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borrowings and repayments related to our debt instruments and other debt, stock repurchases, and net proceeds related to employee stock programs.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first three months of 2026, we used $65.3 million to repurchase common stock and $3.8 million for the repurchase of stock-based compensation awards for tax withholdings. In addition, we repaid a net $10.6 million on the Incremental Term Loan and $3.5 million of other debt payments. We received net proceeds of $1.0 million from the exercise of stock options and the issuance of common stock under our 2017 Employee Stock Purchase Plan, as amended, and $18.1 million for settlement assets and liabilities due to processing timing. During the first three months of 2025, we repaid a net $9.4 million on the Term Loan under the Amendment, $70.0 million on the Revolving Credit Facility, and $4.2 million of other debt payments. In addition, we used $14.4 million to repurchase common stock and $7.1 million for the repurchase of stock-based compensation awards for tax withholdings. We received net proceeds of $1.4 million from the exercise of stock options and the issuance of common stock under our 2017 Employee Stock Purchase Plan, as amended, and $88.3 million for settlement assets and liabilities due to processing timing.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there have been no material changes to the contractual obligations and commercial commitments disclosed in Item 7 of our Form 10-K for the fiscal year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requires us to make estimates and assumptions that affect the reported amounts of assets, liabilities, revenues and expenses, and related disclosure of contingent assets and liabilities. We base our estimates on historical experience and other assumptions we believe to be proper and reasonable under the circumstances. We continually evaluate the appropriateness of estimates and assumptions used in the preparation of our condensed consolidated financial statements. Actual results could differ from those estimates.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that reflect our more significant estimates, judgments, and assumptions, and that we believe are the most critical to aid in fully understanding and evaluating our reported financial results, include the following:</w:t>
      </w:r>
    </w:p>
    <w:p>
      <w:pPr>
        <w:spacing w:after="0" w:line="54" w:lineRule="exact"/>
        <w:rPr>
          <w:sz w:val="20"/>
          <w:szCs w:val="20"/>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and Goodwill</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Income Taxes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were no significant changes to our critical accounting policies and estimates. Please refer to Management’s Discussion and Analysis of Financial Condition and Results of Operations contained in Part II, Item 7 of our Annual Report on Form 10-K for our fiscal year ended December 31, 2025, for a more complete discussion of our critical accounting policies and estimates.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Excluding the impact of changes in interest rates, inflationary pressures, and the uncertainty in the global financial markets, there have been no material changes to our market risk for the three months ended March 31, 2026. We conduct business in all parts of the world and are thereby exposed to market risks related to fluctuations in foreign currency exchange rates. The U.S. dollar is the single largest currency in which our revenue contracts are denominated. Any decline in the value of local foreign currencies against the U.S. dollar results in our products and services being more expensive to a potential foreign customer. In those instances where our goods and services have already been sold, receivables may be more difficult to collect. Additionally, in jurisdictions where the revenue contracts are denominated in U.S. dollars and operating expenses are incurred in the local currency, any decline in the value of the U.S. dollar will have an unfavorable impact to operating margins. At times, we enter into revenue contracts that are denominated in the country’s local currency, primarily in Australia, Canada, the United Kingdom, other European countries, Brazil, India, and Singapore. This practice serves as a natural hedge to finance the local currency expenses incurred in those locations. We have not entered into any foreign currency hedging transactions. We do not purchase or hold any derivative financial instruments for speculation or arbitrage.</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objective of our cash investment policy is to preserve principal without significantly increasing risk. If we maintained similar cash investments for a period of one year based on our cash investments and interest rates at March 31, 2026, a hypothetical ten percent increase or decrease in effective interest rates would increase or decrease interest income by $0.1 million annually.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we had $811.9 million of debt outstanding under our Credit Facility. Our Credit Facility has a floating rate, which was 5.52% as of March 31, 2026. A hypothetical ten percent increase or decrease in effective interest rates would increase or decrease interest expense related to the Credit Facility by approximately $4.5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the Chief Executive Officer and Chief Financial Officer, performed an evaluation of the effectiveness of our disclosure controls and procedures (as defined in Rules 13a-15(e) and 15d-15(e) under the Securities Exchange Act of 1934, as amended (the “Exchange Act”)) as of the end of the period covered by this report. Based on that evaluation, the Chief Executive Officer and Chief Financial Officer have concluded our disclosure controls and procedures are effective as of March 31,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under the Exchange Act)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various litigation matters arising in the ordinary course of our business. We are not currently a party to any legal proceedings the adverse outcome of which, individually or in the aggregate, we believe would be likely to have a material effect on our financial condition or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of our Form 10-K for the fiscal year ended December 31, 2025. Additional risks and uncertainties, including risks and uncertainties not presently known to us, or that we currently deem immaterial, could also have an adverse effect on our business, financial condition and/or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repurchases of common stock during the three months ended March 31,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7"/>
                <w:szCs w:val="17"/>
                <w:color w:val="auto"/>
              </w:rPr>
            </w:pPr>
          </w:p>
        </w:tc>
        <w:tc>
          <w:tcPr>
            <w:tcW w:w="15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6"/>
              </w:rPr>
              <w:t>Dollar Value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6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7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8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20" w:type="dxa"/>
            <w:vAlign w:val="bottom"/>
          </w:tcPr>
          <w:p>
            <w:pPr>
              <w:spacing w:after="0"/>
              <w:rPr>
                <w:sz w:val="15"/>
                <w:szCs w:val="15"/>
                <w:color w:val="auto"/>
              </w:rPr>
            </w:pPr>
          </w:p>
        </w:tc>
        <w:tc>
          <w:tcPr>
            <w:tcW w:w="15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20" w:type="dxa"/>
            <w:vAlign w:val="bottom"/>
          </w:tcPr>
          <w:p>
            <w:pPr>
              <w:spacing w:after="0"/>
              <w:rPr>
                <w:sz w:val="16"/>
                <w:szCs w:val="16"/>
                <w:color w:val="auto"/>
              </w:rPr>
            </w:pPr>
          </w:p>
        </w:tc>
        <w:tc>
          <w:tcPr>
            <w:tcW w:w="15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gridSpan w:val="2"/>
            <w:vMerge w:val="continue"/>
          </w:tcPr>
          <w:p>
            <w:pPr>
              <w:spacing w:after="0"/>
              <w:rPr>
                <w:sz w:val="16"/>
                <w:szCs w:val="16"/>
                <w:color w:val="auto"/>
              </w:rPr>
            </w:pPr>
          </w:p>
        </w:tc>
        <w:tc>
          <w:tcPr>
            <w:tcW w:w="174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8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Program</w:t>
            </w:r>
          </w:p>
        </w:tc>
        <w:tc>
          <w:tcPr>
            <w:tcW w:w="120" w:type="dxa"/>
            <w:vAlign w:val="bottom"/>
          </w:tcPr>
          <w:p>
            <w:pPr>
              <w:spacing w:after="0"/>
              <w:rPr>
                <w:sz w:val="16"/>
                <w:szCs w:val="16"/>
                <w:color w:val="auto"/>
              </w:rPr>
            </w:pPr>
          </w:p>
        </w:tc>
        <w:tc>
          <w:tcPr>
            <w:tcW w:w="15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rPr>
              <w:t>the Program</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2026 through January 31, 2026</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580,446</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2026 through February 28, 2026</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720,923</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2026 through March 31, 2026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339,755</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270,096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1,641,124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390,545,000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660" w:hanging="328"/>
        <w:spacing w:after="0" w:line="266"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our 2020 Equity and Performance Incentive Plan, we granted RSUs. Under each arrangement, shares are issued without direct cost to the employee. During the three months ended March 31, 2026, 262,780 shares of RSUs vested. We withheld 91,833 of these RSUs to pay the employees’ portion of the applicable minimum payroll withholding taxes.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2005, the Board approved a stock repurchase program authorizing us, as market and business conditions warrant, to acquire our common stock and periodically authorizes additional funds for the program, with the intention of using existing cash and cash equivalents to fund these repurchases. In October 2025, the Board approved the repurchase of the Company's common stock for up to $500.0 million, in place of the remaining purchase amounts previously authorized. As of March 31, 2026, the maximum remaining amount authorized for purchase under the stock repurchase program was approximately $390.5 million.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no guarantee as to the exact number of shares we will repurchase. Repurchased shares are returned to the status of authorized but unissued shares of common stock. In March 2005, the Board approved a plan under Rule 10b5-1 of the Securities Exchange Act of 1934 to facilitate the repurchase of shares of common stock under the existing stock repurchase program. Under our Rule 10b5-1 plan, we have delegated authority over the timing and amount of repurchases to an independent broker who does not have access to inside information about the Company. Rule 10b5-1 allows us, through the independent broker, to purchase shares at times when we ordinarily would not be in the market because of self-imposed trading blackout periods, such as the time immediately preceding the end of the fiscal quarter through a period of three business days following our quarterly earnings release.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Plans</w:t>
      </w:r>
    </w:p>
    <w:p>
      <w:pPr>
        <w:spacing w:after="0" w:line="121"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10b5-1 trading arrangement during the three months ended March 31,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lists exhibits filed as part of this quarterly report on Form 10-Q:</w:t>
      </w:r>
    </w:p>
    <w:p>
      <w:pPr>
        <w:sectPr>
          <w:pgSz w:w="11900" w:h="16838" w:orient="portrait"/>
          <w:cols w:equalWidth="0" w:num="1">
            <w:col w:w="11240"/>
          </w:cols>
          <w:pgMar w:left="320" w:top="121" w:right="339" w:bottom="1440" w:gutter="0" w:footer="0" w:header="0"/>
        </w:sectPr>
      </w:pP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3.01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3.02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4.01</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31.01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31.02</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534"/>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36830</wp:posOffset>
            </wp:positionV>
            <wp:extent cx="694372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43725" cy="179705"/>
                    </a:xfrm>
                    <a:prstGeom prst="rect">
                      <a:avLst/>
                    </a:prstGeom>
                    <a:noFill/>
                  </pic:spPr>
                </pic:pic>
              </a:graphicData>
            </a:graphic>
          </wp:anchor>
        </w:drawing>
      </w:r>
    </w:p>
    <w:p>
      <w:pPr>
        <w:spacing w:after="0" w:line="61" w:lineRule="exact"/>
        <w:rPr>
          <w:sz w:val="20"/>
          <w:szCs w:val="20"/>
          <w:color w:val="auto"/>
        </w:rPr>
      </w:pPr>
    </w:p>
    <w:p>
      <w:pPr>
        <w:ind w:left="534" w:hanging="534"/>
        <w:spacing w:after="0"/>
        <w:tabs>
          <w:tab w:leader="none" w:pos="534" w:val="left"/>
        </w:tabs>
        <w:numPr>
          <w:ilvl w:val="0"/>
          <w:numId w:val="25"/>
        </w:numPr>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ACI Worldwide, Inc. Restated Certificate of Incorporation</w:t>
        </w:r>
      </w:hyperlink>
    </w:p>
    <w:p>
      <w:pPr>
        <w:spacing w:after="0" w:line="63" w:lineRule="exact"/>
        <w:rPr>
          <w:rFonts w:ascii="Times New Roman" w:cs="Times New Roman" w:eastAsia="Times New Roman" w:hAnsi="Times New Roman"/>
          <w:sz w:val="18"/>
          <w:szCs w:val="18"/>
          <w:u w:val="single" w:color="auto"/>
          <w:color w:val="0000FF"/>
        </w:rPr>
      </w:pPr>
    </w:p>
    <w:p>
      <w:pPr>
        <w:ind w:left="534" w:hanging="534"/>
        <w:spacing w:after="0"/>
        <w:tabs>
          <w:tab w:leader="none" w:pos="534" w:val="left"/>
        </w:tabs>
        <w:numPr>
          <w:ilvl w:val="0"/>
          <w:numId w:val="25"/>
        </w:numPr>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ACI Worldwide, Inc. Amended and Restated Bylaws of the Company</w:t>
        </w:r>
      </w:hyperlink>
    </w:p>
    <w:p>
      <w:pPr>
        <w:spacing w:after="0" w:line="63" w:lineRule="exact"/>
        <w:rPr>
          <w:rFonts w:ascii="Times New Roman" w:cs="Times New Roman" w:eastAsia="Times New Roman" w:hAnsi="Times New Roman"/>
          <w:sz w:val="18"/>
          <w:szCs w:val="18"/>
          <w:u w:val="single" w:color="auto"/>
          <w:color w:val="0000FF"/>
        </w:rPr>
      </w:pPr>
    </w:p>
    <w:p>
      <w:pPr>
        <w:ind w:left="534" w:hanging="534"/>
        <w:spacing w:after="0"/>
        <w:tabs>
          <w:tab w:leader="none" w:pos="5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Common Stock Certificate (P)</w:t>
      </w:r>
    </w:p>
    <w:p>
      <w:pPr>
        <w:spacing w:after="0" w:line="63" w:lineRule="exact"/>
        <w:rPr>
          <w:rFonts w:ascii="Times New Roman" w:cs="Times New Roman" w:eastAsia="Times New Roman" w:hAnsi="Times New Roman"/>
          <w:sz w:val="18"/>
          <w:szCs w:val="18"/>
          <w:color w:val="auto"/>
        </w:rPr>
      </w:pPr>
    </w:p>
    <w:p>
      <w:pPr>
        <w:ind w:left="534" w:right="4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Principal Executive Officer pursuant to SEC Rule 13a-14, as adopted pursuant to Section 302 of the Sarbanes-Oxley Act of 2002</w:t>
      </w:r>
    </w:p>
    <w:p>
      <w:pPr>
        <w:spacing w:after="0" w:line="1" w:lineRule="exact"/>
        <w:rPr>
          <w:rFonts w:ascii="Times New Roman" w:cs="Times New Roman" w:eastAsia="Times New Roman" w:hAnsi="Times New Roman"/>
          <w:sz w:val="18"/>
          <w:szCs w:val="18"/>
          <w:color w:val="auto"/>
        </w:rPr>
      </w:pPr>
    </w:p>
    <w:p>
      <w:pPr>
        <w:ind w:left="534" w:right="4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Principal Financial Officer pursuant to SEC Rule 13a-14, as adopted pursuant to Section 302 of the Sarbanes-Oxley Act of 2002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-747395</wp:posOffset>
            </wp:positionH>
            <wp:positionV relativeFrom="paragraph">
              <wp:posOffset>-792480</wp:posOffset>
            </wp:positionV>
            <wp:extent cx="694372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943725" cy="171450"/>
                    </a:xfrm>
                    <a:prstGeom prst="rect">
                      <a:avLst/>
                    </a:prstGeom>
                    <a:noFill/>
                  </pic:spPr>
                </pic:pic>
              </a:graphicData>
            </a:graphic>
          </wp:anchor>
        </w:drawing>
        <w:drawing>
          <wp:anchor simplePos="0" relativeHeight="251657728" behindDoc="1" locked="0" layoutInCell="0" allowOverlap="1">
            <wp:simplePos x="0" y="0"/>
            <wp:positionH relativeFrom="column">
              <wp:posOffset>-747395</wp:posOffset>
            </wp:positionH>
            <wp:positionV relativeFrom="paragraph">
              <wp:posOffset>-312420</wp:posOffset>
            </wp:positionV>
            <wp:extent cx="6943725"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943725" cy="308610"/>
                    </a:xfrm>
                    <a:prstGeom prst="rect">
                      <a:avLst/>
                    </a:prstGeom>
                    <a:noFill/>
                  </pic:spPr>
                </pic:pic>
              </a:graphicData>
            </a:graphic>
          </wp:anchor>
        </w:drawing>
      </w:r>
    </w:p>
    <w:p>
      <w:pPr>
        <w:spacing w:after="0" w:line="1" w:lineRule="exact"/>
        <w:rPr>
          <w:rFonts w:ascii="Times New Roman" w:cs="Times New Roman" w:eastAsia="Times New Roman" w:hAnsi="Times New Roman"/>
          <w:sz w:val="18"/>
          <w:szCs w:val="18"/>
          <w:color w:val="auto"/>
        </w:rPr>
      </w:pPr>
    </w:p>
    <w:p>
      <w:pPr>
        <w:sectPr>
          <w:pgSz w:w="11900" w:h="16838" w:orient="portrait"/>
          <w:cols w:equalWidth="0" w:num="2">
            <w:col w:w="900" w:space="286"/>
            <w:col w:w="10054"/>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32.01</w:t>
            </w:r>
          </w:p>
        </w:tc>
        <w:tc>
          <w:tcPr>
            <w:tcW w:w="5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4"/>
          </w:tcPr>
          <w:p>
            <w:pPr>
              <w:ind w:left="180"/>
              <w:spacing w:after="0" w:line="195"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9400" w:type="dxa"/>
            <w:vAlign w:val="bottom"/>
            <w:gridSpan w:val="4"/>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67"/>
        </w:trPr>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6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9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32.02</w:t>
            </w:r>
          </w:p>
        </w:tc>
        <w:tc>
          <w:tcPr>
            <w:tcW w:w="5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4"/>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20"/>
        </w:trPr>
        <w:tc>
          <w:tcPr>
            <w:tcW w:w="960" w:type="dxa"/>
            <w:vAlign w:val="bottom"/>
            <w:vMerge w:val="continue"/>
            <w:shd w:val="clear" w:color="auto" w:fill="CCEEFF"/>
          </w:tcPr>
          <w:p>
            <w:pPr>
              <w:spacing w:after="0" w:line="20" w:lineRule="exact"/>
              <w:rPr>
                <w:sz w:val="1"/>
                <w:szCs w:val="1"/>
                <w:color w:val="auto"/>
              </w:rPr>
            </w:pPr>
          </w:p>
        </w:tc>
        <w:tc>
          <w:tcPr>
            <w:tcW w:w="580" w:type="dxa"/>
            <w:vAlign w:val="bottom"/>
            <w:vMerge w:val="continue"/>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740" w:type="dxa"/>
            <w:vAlign w:val="bottom"/>
            <w:tcBorders>
              <w:right w:val="single" w:sz="8" w:color="CCEEFF"/>
            </w:tcBorders>
            <w:shd w:val="clear" w:color="auto" w:fill="0000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6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9400" w:type="dxa"/>
            <w:vAlign w:val="bottom"/>
            <w:gridSpan w:val="4"/>
            <w:vMerge w:val="restart"/>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68"/>
        </w:trPr>
        <w:tc>
          <w:tcPr>
            <w:tcW w:w="9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9400" w:type="dxa"/>
            <w:vAlign w:val="bottom"/>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674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580" w:type="dxa"/>
            <w:vAlign w:val="bottom"/>
          </w:tcPr>
          <w:p>
            <w:pPr>
              <w:spacing w:after="0"/>
              <w:rPr>
                <w:sz w:val="19"/>
                <w:szCs w:val="19"/>
                <w:color w:val="auto"/>
              </w:rPr>
            </w:pPr>
          </w:p>
        </w:tc>
        <w:tc>
          <w:tcPr>
            <w:tcW w:w="94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126"/>
        </w:trPr>
        <w:tc>
          <w:tcPr>
            <w:tcW w:w="9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40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580" w:type="dxa"/>
            <w:vAlign w:val="bottom"/>
            <w:tcBorders>
              <w:bottom w:val="single" w:sz="8" w:color="CCEEFF"/>
            </w:tcBorders>
            <w:shd w:val="clear" w:color="auto" w:fill="CCEEFF"/>
          </w:tcPr>
          <w:p>
            <w:pPr>
              <w:spacing w:after="0"/>
              <w:rPr>
                <w:sz w:val="21"/>
                <w:szCs w:val="21"/>
                <w:color w:val="auto"/>
              </w:rPr>
            </w:pPr>
          </w:p>
        </w:tc>
        <w:tc>
          <w:tcPr>
            <w:tcW w:w="940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24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580" w:type="dxa"/>
            <w:vAlign w:val="bottom"/>
          </w:tcPr>
          <w:p>
            <w:pPr>
              <w:spacing w:after="0"/>
              <w:rPr>
                <w:sz w:val="21"/>
                <w:szCs w:val="21"/>
                <w:color w:val="auto"/>
              </w:rPr>
            </w:pPr>
          </w:p>
        </w:tc>
        <w:tc>
          <w:tcPr>
            <w:tcW w:w="94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580" w:type="dxa"/>
            <w:vAlign w:val="bottom"/>
            <w:tcBorders>
              <w:bottom w:val="single" w:sz="8" w:color="CCEEFF"/>
            </w:tcBorders>
            <w:shd w:val="clear" w:color="auto" w:fill="CCEEFF"/>
          </w:tcPr>
          <w:p>
            <w:pPr>
              <w:spacing w:after="0"/>
              <w:rPr>
                <w:sz w:val="21"/>
                <w:szCs w:val="21"/>
                <w:color w:val="auto"/>
              </w:rPr>
            </w:pPr>
          </w:p>
        </w:tc>
        <w:tc>
          <w:tcPr>
            <w:tcW w:w="940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24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80" w:type="dxa"/>
            <w:vAlign w:val="bottom"/>
          </w:tcPr>
          <w:p>
            <w:pPr>
              <w:spacing w:after="0"/>
              <w:rPr>
                <w:sz w:val="21"/>
                <w:szCs w:val="21"/>
                <w:color w:val="auto"/>
              </w:rPr>
            </w:pPr>
          </w:p>
        </w:tc>
        <w:tc>
          <w:tcPr>
            <w:tcW w:w="94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580" w:type="dxa"/>
            <w:vAlign w:val="bottom"/>
            <w:tcBorders>
              <w:bottom w:val="single" w:sz="8" w:color="CCEEFF"/>
            </w:tcBorders>
            <w:shd w:val="clear" w:color="auto" w:fill="CCEEFF"/>
          </w:tcPr>
          <w:p>
            <w:pPr>
              <w:spacing w:after="0"/>
              <w:rPr>
                <w:sz w:val="21"/>
                <w:szCs w:val="21"/>
                <w:color w:val="auto"/>
              </w:rPr>
            </w:pPr>
          </w:p>
        </w:tc>
        <w:tc>
          <w:tcPr>
            <w:tcW w:w="940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24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1"/>
                <w:szCs w:val="21"/>
                <w:color w:val="auto"/>
              </w:rPr>
            </w:pPr>
          </w:p>
        </w:tc>
        <w:tc>
          <w:tcPr>
            <w:tcW w:w="94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9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Company specifically incorporates it by reference.</w:t>
      </w:r>
    </w:p>
    <w:p>
      <w:pPr>
        <w:spacing w:after="0" w:line="20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(P) Paper Exhibit</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3.1 to the registrant’s current report on Form 8-K filed August 17, 2017.</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3.1 to the registrant’s current report on Form 8-K filed April 1, 2022.</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4.01 to the registrant’s Registration Statement No. 33-88292 on Form S-1.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ACI WORLDWIDE, INC.</w:t>
      </w:r>
    </w:p>
    <w:p>
      <w:pPr>
        <w:ind w:left="6580"/>
        <w:spacing w:after="0"/>
        <w:rPr>
          <w:sz w:val="20"/>
          <w:szCs w:val="20"/>
          <w:color w:val="auto"/>
        </w:rPr>
      </w:pPr>
      <w:r>
        <w:rPr>
          <w:rFonts w:ascii="Times New Roman" w:cs="Times New Roman" w:eastAsia="Times New Roman" w:hAnsi="Times New Roman"/>
          <w:sz w:val="18"/>
          <w:szCs w:val="18"/>
          <w:color w:val="auto"/>
        </w:rPr>
        <w:t>(Registrant)</w:t>
      </w:r>
    </w:p>
    <w:p>
      <w:pPr>
        <w:spacing w:after="0" w:line="300" w:lineRule="exact"/>
        <w:rPr>
          <w:sz w:val="20"/>
          <w:szCs w:val="20"/>
          <w:color w:val="auto"/>
        </w:rPr>
      </w:pPr>
    </w:p>
    <w:p>
      <w:pPr>
        <w:ind w:left="20"/>
        <w:spacing w:after="0"/>
        <w:tabs>
          <w:tab w:leader="none" w:pos="6560" w:val="left"/>
          <w:tab w:leader="none" w:pos="806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LEIBROCK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34290</wp:posOffset>
            </wp:positionV>
            <wp:extent cx="26746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Robert W. Leibrock</w:t>
      </w:r>
    </w:p>
    <w:p>
      <w:pPr>
        <w:spacing w:after="0" w:line="6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and</w:t>
      </w:r>
    </w:p>
    <w:p>
      <w:pPr>
        <w:spacing w:after="0" w:line="29"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9"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320" w:top="121" w:right="3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Warsop, certify that:</w:t>
      </w:r>
    </w:p>
    <w:p>
      <w:pPr>
        <w:spacing w:after="0" w:line="117" w:lineRule="exact"/>
        <w:rPr>
          <w:sz w:val="20"/>
          <w:szCs w:val="20"/>
          <w:color w:val="auto"/>
        </w:rPr>
      </w:pPr>
    </w:p>
    <w:p>
      <w:pPr>
        <w:ind w:left="160" w:hanging="152"/>
        <w:spacing w:after="0"/>
        <w:tabs>
          <w:tab w:leader="none" w:pos="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ACI Worldwide, Inc.;</w:t>
      </w:r>
    </w:p>
    <w:p>
      <w:pPr>
        <w:spacing w:after="0" w:line="117" w:lineRule="exact"/>
        <w:rPr>
          <w:rFonts w:ascii="Times New Roman" w:cs="Times New Roman" w:eastAsia="Times New Roman" w:hAnsi="Times New Roman"/>
          <w:sz w:val="18"/>
          <w:szCs w:val="18"/>
          <w:color w:val="auto"/>
        </w:rPr>
      </w:pPr>
    </w:p>
    <w:p>
      <w:pPr>
        <w:ind w:left="180" w:right="100" w:hanging="172"/>
        <w:spacing w:after="0" w:line="312" w:lineRule="auto"/>
        <w:tabs>
          <w:tab w:leader="none" w:pos="1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left="180" w:right="560" w:hanging="172"/>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80" w:right="40" w:hanging="172"/>
        <w:spacing w:after="0" w:line="266"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80" w:right="480" w:hanging="172"/>
        <w:spacing w:after="0" w:line="282" w:lineRule="auto"/>
        <w:tabs>
          <w:tab w:leader="none" w:pos="1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742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/s/ THOMAS W. WARSOP,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686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13"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color w:val="auto"/>
        </w:rPr>
        <w:t>Thomas W. Warsop, III</w:t>
      </w:r>
    </w:p>
    <w:p>
      <w:pPr>
        <w:jc w:val="center"/>
        <w:ind w:left="5860"/>
        <w:spacing w:after="0" w:line="219" w:lineRule="auto"/>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ind w:left="75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Leibrock, certify that:</w:t>
      </w:r>
    </w:p>
    <w:p>
      <w:pPr>
        <w:spacing w:after="0" w:line="117" w:lineRule="exact"/>
        <w:rPr>
          <w:sz w:val="20"/>
          <w:szCs w:val="20"/>
          <w:color w:val="auto"/>
        </w:rPr>
      </w:pPr>
    </w:p>
    <w:p>
      <w:pPr>
        <w:ind w:left="160" w:hanging="152"/>
        <w:spacing w:after="0"/>
        <w:tabs>
          <w:tab w:leader="none" w:pos="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ACI Worldwide, Inc.;</w:t>
      </w:r>
    </w:p>
    <w:p>
      <w:pPr>
        <w:spacing w:after="0" w:line="117" w:lineRule="exact"/>
        <w:rPr>
          <w:rFonts w:ascii="Times New Roman" w:cs="Times New Roman" w:eastAsia="Times New Roman" w:hAnsi="Times New Roman"/>
          <w:sz w:val="18"/>
          <w:szCs w:val="18"/>
          <w:color w:val="auto"/>
        </w:rPr>
      </w:pPr>
    </w:p>
    <w:p>
      <w:pPr>
        <w:ind w:left="180" w:right="100" w:hanging="172"/>
        <w:spacing w:after="0" w:line="312" w:lineRule="auto"/>
        <w:tabs>
          <w:tab w:leader="none" w:pos="1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left="180" w:right="560" w:hanging="172"/>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80" w:right="40" w:hanging="172"/>
        <w:spacing w:after="0" w:line="266"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80" w:right="480" w:hanging="172"/>
        <w:spacing w:after="0" w:line="282" w:lineRule="auto"/>
        <w:tabs>
          <w:tab w:leader="none" w:pos="1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748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/s/ ROBERT W. LEIBROCK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686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32"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color w:val="auto"/>
        </w:rPr>
        <w:t>Robert W. Leibrock</w:t>
      </w:r>
    </w:p>
    <w:p>
      <w:pPr>
        <w:jc w:val="center"/>
        <w:ind w:left="5860"/>
        <w:spacing w:after="0" w:line="219" w:lineRule="auto"/>
        <w:rPr>
          <w:sz w:val="20"/>
          <w:szCs w:val="20"/>
          <w:color w:val="auto"/>
        </w:rPr>
      </w:pPr>
      <w:r>
        <w:rPr>
          <w:rFonts w:ascii="Times New Roman" w:cs="Times New Roman" w:eastAsia="Times New Roman" w:hAnsi="Times New Roman"/>
          <w:sz w:val="18"/>
          <w:szCs w:val="18"/>
          <w:i w:val="1"/>
          <w:iCs w:val="1"/>
          <w:color w:val="auto"/>
        </w:rPr>
        <w:t>Executive Vice President, Chief Financial Officer, and Chief Accounting</w:t>
      </w:r>
    </w:p>
    <w:p>
      <w:pPr>
        <w:jc w:val="center"/>
        <w:ind w:left="5860"/>
        <w:spacing w:after="0" w:line="203" w:lineRule="auto"/>
        <w:rPr>
          <w:sz w:val="20"/>
          <w:szCs w:val="20"/>
          <w:color w:val="auto"/>
        </w:rPr>
      </w:pPr>
      <w:r>
        <w:rPr>
          <w:rFonts w:ascii="Times New Roman" w:cs="Times New Roman" w:eastAsia="Times New Roman" w:hAnsi="Times New Roman"/>
          <w:sz w:val="18"/>
          <w:szCs w:val="18"/>
          <w:i w:val="1"/>
          <w:iCs w:val="1"/>
          <w:color w:val="auto"/>
        </w:rPr>
        <w:t>Officer</w:t>
      </w:r>
    </w:p>
    <w:p>
      <w:pPr>
        <w:spacing w:after="0" w:line="1"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ACI Worldwide, Inc. (the “Company”) on Form 10-Q for the quarter ended March 31, 2026, as filed with the Securities and Exchange Commission on the date hereof (the “Report”), I, Thomas Warsop,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742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/s/ THOMAS W. WARSOP,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686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13"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color w:val="auto"/>
        </w:rPr>
        <w:t>Thomas W. Warsop, III</w:t>
      </w:r>
    </w:p>
    <w:p>
      <w:pPr>
        <w:jc w:val="center"/>
        <w:ind w:left="5860"/>
        <w:spacing w:after="0" w:line="219" w:lineRule="auto"/>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ind w:left="75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0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ACI Worldwide, Inc. (the “Company”) on Form 10-Q for the quarter ended March 31, 2026, as filed with the Securities and Exchange Commission on the date hereof (the “Report”), I, Robert W. Leibrock, Principal Financial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748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 ROBERT W. LEIBROCK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686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4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Robert W. Leibrock</w:t>
      </w:r>
    </w:p>
    <w:p>
      <w:pPr>
        <w:ind w:left="5960"/>
        <w:spacing w:after="0" w:line="221" w:lineRule="auto"/>
        <w:rPr>
          <w:sz w:val="20"/>
          <w:szCs w:val="20"/>
          <w:color w:val="auto"/>
        </w:rPr>
      </w:pPr>
      <w:r>
        <w:rPr>
          <w:rFonts w:ascii="Times New Roman" w:cs="Times New Roman" w:eastAsia="Times New Roman" w:hAnsi="Times New Roman"/>
          <w:sz w:val="18"/>
          <w:szCs w:val="18"/>
          <w:i w:val="1"/>
          <w:iCs w:val="1"/>
          <w:color w:val="auto"/>
        </w:rPr>
        <w:t>Executive Vice President, Chief Financial Officer, and Chief Accounting</w:t>
      </w:r>
    </w:p>
    <w:p>
      <w:pPr>
        <w:jc w:val="center"/>
        <w:ind w:left="5860"/>
        <w:spacing w:after="0" w:line="219" w:lineRule="auto"/>
        <w:rPr>
          <w:sz w:val="20"/>
          <w:szCs w:val="20"/>
          <w:color w:val="auto"/>
        </w:rPr>
      </w:pPr>
      <w:r>
        <w:rPr>
          <w:rFonts w:ascii="Times New Roman" w:cs="Times New Roman" w:eastAsia="Times New Roman" w:hAnsi="Times New Roman"/>
          <w:sz w:val="18"/>
          <w:szCs w:val="18"/>
          <w:i w:val="1"/>
          <w:iCs w:val="1"/>
          <w:color w:val="auto"/>
        </w:rPr>
        <w:t>Officer</w:t>
      </w:r>
    </w:p>
    <w:p>
      <w:pPr>
        <w:spacing w:after="0" w:line="1"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3"/>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56" Type="http://schemas.openxmlformats.org/officeDocument/2006/relationships/hyperlink" Target="https://www.sec.gov/Archives/edgar/data/935036/000119312517261054/d421572dex31.htm" TargetMode="External"/><Relationship Id="rId57" Type="http://schemas.openxmlformats.org/officeDocument/2006/relationships/hyperlink" Target="https://www.sec.gov/Archives/edgar/data/935036/000119312522092351/d267551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2026-05-07T13:31:08Z</dcterms:created>
  <dcterms:modified xsi:type="dcterms:W3CDTF">2026-05-07T13:31:08Z</dcterms:modified>
</cp:coreProperties>
</file>