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31"/>
          <w:szCs w:val="31"/>
          <w:b w:val="1"/>
          <w:bCs w:val="1"/>
          <w:color w:val="auto"/>
        </w:rPr>
        <w:t>SCHEDULE 14A INFORMATION</w:t>
      </w:r>
    </w:p>
    <w:p>
      <w:pPr>
        <w:spacing w:after="0" w:line="177" w:lineRule="exact"/>
        <w:rPr>
          <w:sz w:val="24"/>
          <w:szCs w:val="24"/>
          <w:color w:val="auto"/>
        </w:rPr>
      </w:pPr>
    </w:p>
    <w:p>
      <w:pPr>
        <w:jc w:val="center"/>
        <w:ind w:right="-16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2" w:lineRule="exact"/>
        <w:rPr>
          <w:sz w:val="24"/>
          <w:szCs w:val="24"/>
          <w:color w:val="auto"/>
        </w:rPr>
      </w:pPr>
    </w:p>
    <w:p>
      <w:pPr>
        <w:jc w:val="center"/>
        <w:ind w:right="-160"/>
        <w:spacing w:after="0"/>
        <w:rPr>
          <w:sz w:val="20"/>
          <w:szCs w:val="20"/>
          <w:color w:val="auto"/>
        </w:rPr>
      </w:pPr>
      <w:r>
        <w:rPr>
          <w:rFonts w:ascii="Arial" w:cs="Arial" w:eastAsia="Arial" w:hAnsi="Arial"/>
          <w:sz w:val="21"/>
          <w:szCs w:val="21"/>
          <w:b w:val="1"/>
          <w:bCs w:val="1"/>
          <w:color w:val="auto"/>
        </w:rPr>
        <w:t>Securities Exchange Act of 1934</w:t>
      </w:r>
    </w:p>
    <w:p>
      <w:pPr>
        <w:spacing w:after="0" w:line="141" w:lineRule="exact"/>
        <w:rPr>
          <w:sz w:val="24"/>
          <w:szCs w:val="24"/>
          <w:color w:val="auto"/>
        </w:rPr>
      </w:pPr>
    </w:p>
    <w:p>
      <w:pPr>
        <w:spacing w:after="0" w:line="184" w:lineRule="exact"/>
        <w:tabs>
          <w:tab w:leader="none" w:pos="314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17" w:lineRule="exact"/>
        <w:rPr>
          <w:sz w:val="24"/>
          <w:szCs w:val="24"/>
          <w:color w:val="auto"/>
        </w:rPr>
      </w:pPr>
    </w:p>
    <w:p>
      <w:pPr>
        <w:ind w:left="460" w:hanging="458"/>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85" w:lineRule="exact"/>
        <w:rPr>
          <w:rFonts w:ascii="MS PGothic" w:cs="MS PGothic" w:eastAsia="MS PGothic" w:hAnsi="MS PGothic"/>
          <w:sz w:val="16"/>
          <w:szCs w:val="16"/>
          <w:color w:val="auto"/>
        </w:rPr>
      </w:pPr>
    </w:p>
    <w:p>
      <w:pPr>
        <w:ind w:left="460" w:hanging="458"/>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51" w:lineRule="exact"/>
        <w:rPr>
          <w:rFonts w:ascii="MS PGothic" w:cs="MS PGothic" w:eastAsia="MS PGothic" w:hAnsi="MS PGothic"/>
          <w:sz w:val="16"/>
          <w:szCs w:val="16"/>
          <w:color w:val="auto"/>
        </w:rPr>
      </w:pPr>
    </w:p>
    <w:p>
      <w:pPr>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4"/>
          <w:szCs w:val="14"/>
          <w:color w:val="auto"/>
        </w:rPr>
        <w:t>Definitive Proxy Statement</w:t>
      </w:r>
    </w:p>
    <w:p>
      <w:pPr>
        <w:spacing w:after="0" w:line="126" w:lineRule="exact"/>
        <w:rPr>
          <w:rFonts w:ascii="MS PGothic" w:cs="MS PGothic" w:eastAsia="MS PGothic" w:hAnsi="MS PGothic"/>
          <w:sz w:val="16"/>
          <w:szCs w:val="16"/>
          <w:color w:val="auto"/>
        </w:rPr>
      </w:pPr>
    </w:p>
    <w:p>
      <w:pPr>
        <w:ind w:left="460" w:hanging="458"/>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87" w:lineRule="exact"/>
        <w:rPr>
          <w:rFonts w:ascii="MS PGothic" w:cs="MS PGothic" w:eastAsia="MS PGothic" w:hAnsi="MS PGothic"/>
          <w:sz w:val="16"/>
          <w:szCs w:val="16"/>
          <w:color w:val="auto"/>
        </w:rPr>
      </w:pPr>
    </w:p>
    <w:p>
      <w:pPr>
        <w:ind w:left="460" w:hanging="458"/>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223" w:lineRule="exact"/>
        <w:rPr>
          <w:sz w:val="24"/>
          <w:szCs w:val="24"/>
          <w:color w:val="auto"/>
        </w:rPr>
      </w:pPr>
    </w:p>
    <w:p>
      <w:pPr>
        <w:jc w:val="center"/>
        <w:ind w:right="-160"/>
        <w:spacing w:after="0"/>
        <w:rPr>
          <w:sz w:val="20"/>
          <w:szCs w:val="20"/>
          <w:color w:val="auto"/>
        </w:rPr>
      </w:pPr>
      <w:r>
        <w:rPr>
          <w:rFonts w:ascii="Arial" w:cs="Arial" w:eastAsia="Arial" w:hAnsi="Arial"/>
          <w:sz w:val="38"/>
          <w:szCs w:val="38"/>
          <w:b w:val="1"/>
          <w:bCs w:val="1"/>
          <w:color w:val="auto"/>
        </w:rPr>
        <w:t>ACI WORLDWIDE, INC.</w:t>
      </w:r>
    </w:p>
    <w:p>
      <w:pPr>
        <w:spacing w:after="0" w:line="35" w:lineRule="exact"/>
        <w:rPr>
          <w:sz w:val="24"/>
          <w:szCs w:val="24"/>
          <w:color w:val="auto"/>
        </w:rPr>
      </w:pPr>
    </w:p>
    <w:p>
      <w:pPr>
        <w:jc w:val="center"/>
        <w:ind w:right="-16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94" w:lineRule="exact"/>
        <w:rPr>
          <w:sz w:val="24"/>
          <w:szCs w:val="24"/>
          <w:color w:val="auto"/>
        </w:rPr>
      </w:pPr>
    </w:p>
    <w:p>
      <w:pPr>
        <w:jc w:val="center"/>
        <w:ind w:right="-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140" w:lineRule="exact"/>
        <w:rPr>
          <w:sz w:val="24"/>
          <w:szCs w:val="24"/>
          <w:color w:val="auto"/>
        </w:rPr>
      </w:pPr>
    </w:p>
    <w:p>
      <w:pPr>
        <w:ind w:left="460" w:hanging="458"/>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40" w:lineRule="exact"/>
        <w:rPr>
          <w:sz w:val="24"/>
          <w:szCs w:val="24"/>
          <w:color w:val="auto"/>
        </w:rPr>
      </w:pPr>
    </w:p>
    <w:p>
      <w:pPr>
        <w:ind w:left="460" w:hanging="458"/>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39" w:lineRule="exact"/>
        <w:rPr>
          <w:rFonts w:ascii="MS PGothic" w:cs="MS PGothic" w:eastAsia="MS PGothic" w:hAnsi="MS PGothic"/>
          <w:sz w:val="16"/>
          <w:szCs w:val="16"/>
          <w:color w:val="auto"/>
        </w:rPr>
      </w:pPr>
    </w:p>
    <w:p>
      <w:pPr>
        <w:ind w:left="460" w:hanging="458"/>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ectPr>
          <w:pgSz w:w="11900" w:h="16838" w:orient="portrait"/>
          <w:cols w:equalWidth="0" w:num="1">
            <w:col w:w="9179"/>
          </w:cols>
          <w:pgMar w:left="1280" w:top="215" w:right="1440" w:bottom="1440" w:gutter="0" w:footer="0" w:header="0"/>
        </w:sectPr>
      </w:pPr>
    </w:p>
    <w:bookmarkStart w:id="1" w:name="page2"/>
    <w:bookmarkEnd w:id="1"/>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211060" cy="8889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1060" cy="8889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9945" cy="53975"/>
                    </a:xfrm>
                    <a:prstGeom prst="rect">
                      <a:avLst/>
                    </a:prstGeom>
                    <a:noFill/>
                  </pic:spPr>
                </pic:pic>
              </a:graphicData>
            </a:graphic>
          </wp:anchor>
        </w:drawing>
        <w:drawing>
          <wp:anchor simplePos="0" relativeHeight="251657728" behindDoc="1" locked="0" layoutInCell="0" allowOverlap="1">
            <wp:simplePos x="0" y="0"/>
            <wp:positionH relativeFrom="page">
              <wp:posOffset>814070</wp:posOffset>
            </wp:positionH>
            <wp:positionV relativeFrom="page">
              <wp:posOffset>195580</wp:posOffset>
            </wp:positionV>
            <wp:extent cx="214630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46300" cy="411480"/>
                    </a:xfrm>
                    <a:prstGeom prst="rect">
                      <a:avLst/>
                    </a:prstGeom>
                    <a:noFill/>
                  </pic:spPr>
                </pic:pic>
              </a:graphicData>
            </a:graphic>
          </wp:anchor>
        </w:drawing>
      </w:r>
    </w:p>
    <w:p>
      <w:pPr>
        <w:spacing w:after="0"/>
        <w:rPr>
          <w:sz w:val="20"/>
          <w:szCs w:val="20"/>
          <w:color w:val="auto"/>
        </w:rPr>
      </w:pPr>
      <w:r>
        <w:rPr>
          <w:rFonts w:ascii="Arial" w:cs="Arial" w:eastAsia="Arial" w:hAnsi="Arial"/>
          <w:sz w:val="31"/>
          <w:szCs w:val="31"/>
          <w:color w:val="284993"/>
        </w:rPr>
        <w:t>Notice of 2023 Annual Meeting of Stockholders</w:t>
      </w:r>
    </w:p>
    <w:p>
      <w:pPr>
        <w:sectPr>
          <w:pgSz w:w="11900" w:h="16838" w:orient="portrait"/>
          <w:cols w:equalWidth="0" w:num="1">
            <w:col w:w="9320"/>
          </w:cols>
          <w:pgMar w:left="1280" w:top="1440" w:right="1299" w:bottom="144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284993"/>
        </w:rPr>
        <w:t>Date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June 1, 2023</w:t>
      </w:r>
    </w:p>
    <w:p>
      <w:pPr>
        <w:spacing w:after="0" w:line="100" w:lineRule="exact"/>
        <w:rPr>
          <w:sz w:val="20"/>
          <w:szCs w:val="20"/>
          <w:color w:val="auto"/>
        </w:rPr>
      </w:pPr>
    </w:p>
    <w:p>
      <w:pPr>
        <w:sectPr>
          <w:pgSz w:w="11900" w:h="16838" w:orient="portrait"/>
          <w:cols w:equalWidth="0" w:num="2">
            <w:col w:w="1060" w:space="720"/>
            <w:col w:w="7540"/>
          </w:cols>
          <w:pgMar w:left="1280" w:top="1440"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284993"/>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10:00 a.m. Eastern Time</w:t>
      </w:r>
    </w:p>
    <w:p>
      <w:pPr>
        <w:spacing w:after="0" w:line="100" w:lineRule="exact"/>
        <w:rPr>
          <w:sz w:val="20"/>
          <w:szCs w:val="20"/>
          <w:color w:val="auto"/>
        </w:rPr>
      </w:pPr>
    </w:p>
    <w:p>
      <w:pPr>
        <w:sectPr>
          <w:pgSz w:w="11900" w:h="16838" w:orient="portrait"/>
          <w:cols w:equalWidth="0" w:num="2">
            <w:col w:w="1060" w:space="720"/>
            <w:col w:w="7540"/>
          </w:cols>
          <w:pgMar w:left="1280" w:top="1440"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284993"/>
        </w:rPr>
        <w:t>Place</w:t>
      </w:r>
    </w:p>
    <w:p>
      <w:pPr>
        <w:spacing w:after="0" w:line="20" w:lineRule="exact"/>
        <w:rPr>
          <w:sz w:val="20"/>
          <w:szCs w:val="20"/>
          <w:color w:val="auto"/>
        </w:rPr>
      </w:pPr>
      <w:r>
        <w:rPr>
          <w:sz w:val="20"/>
          <w:szCs w:val="20"/>
          <w:color w:val="auto"/>
        </w:rPr>
        <w:br w:type="column"/>
      </w:r>
    </w:p>
    <w:p>
      <w:pPr>
        <w:ind w:right="3000"/>
        <w:spacing w:after="0" w:line="276" w:lineRule="auto"/>
        <w:rPr>
          <w:sz w:val="20"/>
          <w:szCs w:val="20"/>
          <w:color w:val="auto"/>
        </w:rPr>
      </w:pPr>
      <w:r>
        <w:rPr>
          <w:rFonts w:ascii="Arial" w:cs="Arial" w:eastAsia="Arial" w:hAnsi="Arial"/>
          <w:sz w:val="17"/>
          <w:szCs w:val="17"/>
          <w:color w:val="auto"/>
        </w:rPr>
        <w:t>Via a live audio-only webcast at www.proxydocs.com/ACIW There is no physical location for the 2023 Annual Meeting.</w:t>
      </w:r>
    </w:p>
    <w:p>
      <w:pPr>
        <w:spacing w:after="0" w:line="53" w:lineRule="exact"/>
        <w:rPr>
          <w:sz w:val="20"/>
          <w:szCs w:val="20"/>
          <w:color w:val="auto"/>
        </w:rPr>
      </w:pPr>
    </w:p>
    <w:p>
      <w:pPr>
        <w:sectPr>
          <w:pgSz w:w="11900" w:h="16838" w:orient="portrait"/>
          <w:cols w:equalWidth="0" w:num="2">
            <w:col w:w="1060" w:space="720"/>
            <w:col w:w="7540"/>
          </w:cols>
          <w:pgMar w:left="1280" w:top="1440"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284993"/>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Close of business on April 6, 2023</w:t>
      </w:r>
    </w:p>
    <w:p>
      <w:pPr>
        <w:spacing w:after="0" w:line="100" w:lineRule="exact"/>
        <w:rPr>
          <w:sz w:val="20"/>
          <w:szCs w:val="20"/>
          <w:color w:val="auto"/>
        </w:rPr>
      </w:pPr>
    </w:p>
    <w:p>
      <w:pPr>
        <w:sectPr>
          <w:pgSz w:w="11900" w:h="16838" w:orient="portrait"/>
          <w:cols w:equalWidth="0" w:num="2">
            <w:col w:w="1060" w:space="720"/>
            <w:col w:w="7540"/>
          </w:cols>
          <w:pgMar w:left="1280" w:top="1440"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284993"/>
        </w:rPr>
        <w:t>Items of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 To elect the seven directors named in the accompanying proxy statement to our Board of</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Directors to hold office until the 2024 Annual Meeting of Stockholders;</w:t>
      </w:r>
    </w:p>
    <w:p>
      <w:pPr>
        <w:spacing w:after="0" w:line="238" w:lineRule="auto"/>
        <w:rPr>
          <w:sz w:val="20"/>
          <w:szCs w:val="20"/>
          <w:color w:val="auto"/>
        </w:rPr>
      </w:pPr>
      <w:r>
        <w:rPr>
          <w:rFonts w:ascii="Arial" w:cs="Arial" w:eastAsia="Arial" w:hAnsi="Arial"/>
          <w:sz w:val="17"/>
          <w:szCs w:val="17"/>
          <w:color w:val="auto"/>
        </w:rPr>
        <w:t>•   To ratify the appointment of Deloitte &amp; Touche LLP as our independent registered public</w:t>
      </w:r>
    </w:p>
    <w:p>
      <w:pPr>
        <w:ind w:left="140"/>
        <w:spacing w:after="0"/>
        <w:rPr>
          <w:sz w:val="20"/>
          <w:szCs w:val="20"/>
          <w:color w:val="auto"/>
        </w:rPr>
      </w:pPr>
      <w:r>
        <w:rPr>
          <w:rFonts w:ascii="Arial" w:cs="Arial" w:eastAsia="Arial" w:hAnsi="Arial"/>
          <w:sz w:val="17"/>
          <w:szCs w:val="17"/>
          <w:color w:val="auto"/>
        </w:rPr>
        <w:t>accounting firm for 2023;</w:t>
      </w:r>
    </w:p>
    <w:p>
      <w:pPr>
        <w:spacing w:after="0" w:line="238" w:lineRule="auto"/>
        <w:rPr>
          <w:sz w:val="20"/>
          <w:szCs w:val="20"/>
          <w:color w:val="auto"/>
        </w:rPr>
      </w:pPr>
      <w:r>
        <w:rPr>
          <w:rFonts w:ascii="Arial" w:cs="Arial" w:eastAsia="Arial" w:hAnsi="Arial"/>
          <w:sz w:val="17"/>
          <w:szCs w:val="17"/>
          <w:color w:val="auto"/>
        </w:rPr>
        <w:t>•   To conduct an advisory vote to approve named executive officer compensation;</w:t>
      </w:r>
    </w:p>
    <w:p>
      <w:pPr>
        <w:spacing w:after="0"/>
        <w:rPr>
          <w:sz w:val="20"/>
          <w:szCs w:val="20"/>
          <w:color w:val="auto"/>
        </w:rPr>
      </w:pPr>
      <w:r>
        <w:rPr>
          <w:rFonts w:ascii="Arial" w:cs="Arial" w:eastAsia="Arial" w:hAnsi="Arial"/>
          <w:sz w:val="17"/>
          <w:szCs w:val="17"/>
          <w:color w:val="auto"/>
        </w:rPr>
        <w:t>•   To conduct an advisory vote on the frequency of holding future advisory votes on executive</w:t>
      </w:r>
    </w:p>
    <w:p>
      <w:pPr>
        <w:ind w:left="140"/>
        <w:spacing w:after="0" w:line="238" w:lineRule="auto"/>
        <w:rPr>
          <w:sz w:val="20"/>
          <w:szCs w:val="20"/>
          <w:color w:val="auto"/>
        </w:rPr>
      </w:pPr>
      <w:r>
        <w:rPr>
          <w:rFonts w:ascii="Arial" w:cs="Arial" w:eastAsia="Arial" w:hAnsi="Arial"/>
          <w:sz w:val="17"/>
          <w:szCs w:val="17"/>
          <w:color w:val="auto"/>
        </w:rPr>
        <w:t>compensation;</w:t>
      </w:r>
    </w:p>
    <w:p>
      <w:pPr>
        <w:spacing w:after="0"/>
        <w:rPr>
          <w:sz w:val="20"/>
          <w:szCs w:val="20"/>
          <w:color w:val="auto"/>
        </w:rPr>
      </w:pPr>
      <w:r>
        <w:rPr>
          <w:rFonts w:ascii="Arial" w:cs="Arial" w:eastAsia="Arial" w:hAnsi="Arial"/>
          <w:sz w:val="17"/>
          <w:szCs w:val="17"/>
          <w:color w:val="auto"/>
        </w:rPr>
        <w:t>•  To approve the amendment and restatement of the ACI Worldwide, Inc. 2020 Equity and</w:t>
      </w:r>
    </w:p>
    <w:p>
      <w:pPr>
        <w:ind w:left="140"/>
        <w:spacing w:after="0" w:line="238" w:lineRule="auto"/>
        <w:rPr>
          <w:sz w:val="20"/>
          <w:szCs w:val="20"/>
          <w:color w:val="auto"/>
        </w:rPr>
      </w:pPr>
      <w:r>
        <w:rPr>
          <w:rFonts w:ascii="Arial" w:cs="Arial" w:eastAsia="Arial" w:hAnsi="Arial"/>
          <w:sz w:val="17"/>
          <w:szCs w:val="17"/>
          <w:color w:val="auto"/>
        </w:rPr>
        <w:t>Incentive Compensation Plan (the “2020 Equity Plan”); and</w:t>
      </w:r>
    </w:p>
    <w:p>
      <w:pPr>
        <w:spacing w:after="0"/>
        <w:rPr>
          <w:sz w:val="20"/>
          <w:szCs w:val="20"/>
          <w:color w:val="auto"/>
        </w:rPr>
      </w:pPr>
      <w:r>
        <w:rPr>
          <w:rFonts w:ascii="Arial" w:cs="Arial" w:eastAsia="Arial" w:hAnsi="Arial"/>
          <w:sz w:val="17"/>
          <w:szCs w:val="17"/>
          <w:color w:val="auto"/>
        </w:rPr>
        <w:t>•  To transact such other business as may properly come before the Annual Meeting and any</w:t>
      </w:r>
    </w:p>
    <w:p>
      <w:pPr>
        <w:ind w:left="140"/>
        <w:spacing w:after="0"/>
        <w:rPr>
          <w:sz w:val="20"/>
          <w:szCs w:val="20"/>
          <w:color w:val="auto"/>
        </w:rPr>
      </w:pPr>
      <w:r>
        <w:rPr>
          <w:rFonts w:ascii="Arial" w:cs="Arial" w:eastAsia="Arial" w:hAnsi="Arial"/>
          <w:sz w:val="17"/>
          <w:szCs w:val="17"/>
          <w:color w:val="auto"/>
        </w:rPr>
        <w:t>adjournment or postponement thereof.</w:t>
      </w:r>
    </w:p>
    <w:p>
      <w:pPr>
        <w:spacing w:after="0" w:line="200" w:lineRule="exact"/>
        <w:rPr>
          <w:sz w:val="20"/>
          <w:szCs w:val="20"/>
          <w:color w:val="auto"/>
        </w:rPr>
      </w:pPr>
    </w:p>
    <w:p>
      <w:pPr>
        <w:sectPr>
          <w:pgSz w:w="11900" w:h="16838" w:orient="portrait"/>
          <w:cols w:equalWidth="0" w:num="2">
            <w:col w:w="1480" w:space="320"/>
            <w:col w:w="7520"/>
          </w:cols>
          <w:pgMar w:left="1280" w:top="1440" w:right="1299" w:bottom="1440" w:gutter="0" w:footer="0" w:header="0"/>
          <w:type w:val="continuous"/>
        </w:sectPr>
      </w:pPr>
    </w:p>
    <w:p>
      <w:pPr>
        <w:spacing w:after="0" w:line="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 xml:space="preserve">We have adopted a virtual format for our 2023 Annual Meeting. In order to attend the Annual Meeting, you must register in advance at </w:t>
      </w:r>
      <w:r>
        <w:rPr>
          <w:rFonts w:ascii="Arial" w:cs="Arial" w:eastAsia="Arial" w:hAnsi="Arial"/>
          <w:sz w:val="16"/>
          <w:szCs w:val="16"/>
          <w:u w:val="single" w:color="auto"/>
          <w:color w:val="auto"/>
        </w:rPr>
        <w:t>www.proxydocs.com/ACIW</w:t>
      </w:r>
      <w:r>
        <w:rPr>
          <w:rFonts w:ascii="Arial" w:cs="Arial" w:eastAsia="Arial" w:hAnsi="Arial"/>
          <w:sz w:val="16"/>
          <w:szCs w:val="16"/>
          <w:color w:val="auto"/>
        </w:rPr>
        <w:t>. Upon completing your registration, you will receive further instructions via email, including your unique links that will allow you access to the meeting and will also permit you to submit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5937885" cy="995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37885" cy="995680"/>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84993"/>
        </w:rPr>
        <w:t>YOUR VOTE IS VERY IMPORTANT</w:t>
      </w:r>
    </w:p>
    <w:p>
      <w:pPr>
        <w:spacing w:after="0" w:line="107" w:lineRule="exact"/>
        <w:rPr>
          <w:sz w:val="20"/>
          <w:szCs w:val="20"/>
          <w:color w:val="auto"/>
        </w:rPr>
      </w:pPr>
    </w:p>
    <w:p>
      <w:pPr>
        <w:ind w:left="200" w:right="320"/>
        <w:spacing w:after="0" w:line="290" w:lineRule="auto"/>
        <w:rPr>
          <w:sz w:val="20"/>
          <w:szCs w:val="20"/>
          <w:color w:val="auto"/>
        </w:rPr>
      </w:pPr>
      <w:r>
        <w:rPr>
          <w:rFonts w:ascii="Arial" w:cs="Arial" w:eastAsia="Arial" w:hAnsi="Arial"/>
          <w:sz w:val="14"/>
          <w:szCs w:val="14"/>
          <w:b w:val="1"/>
          <w:bCs w:val="1"/>
          <w:color w:val="284993"/>
        </w:rPr>
        <w:t>Whether or not you plan to attend the Annual Meeting, please vote as soon as possible. You may vote over the Internet, by telephone or, if you requested printed proxy materials, by mailing a completed proxy card. For more detailed information regarding how to vote your shares, please refer to the Notice of Internet Availability of Proxy Materials you received in the mail, the section entitled Questions and Answers About this Proxy Material and Voting beginning on page 2 of the Proxy Statement, or, if you requested to receive printed proxy materials, your enclosed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267" w:lineRule="auto"/>
        <w:rPr>
          <w:sz w:val="20"/>
          <w:szCs w:val="20"/>
          <w:color w:val="auto"/>
        </w:rPr>
      </w:pPr>
      <w:r>
        <w:rPr>
          <w:rFonts w:ascii="Arial" w:cs="Arial" w:eastAsia="Arial" w:hAnsi="Arial"/>
          <w:sz w:val="24"/>
          <w:szCs w:val="24"/>
          <w:color w:val="auto"/>
        </w:rPr>
        <w:t>IMPORTANT NOTICE REGARDING THE AVAILABILITY OF PROXY MATERIALS FOR THE STOCKHOLDER MEETING TO BE HELD ON JUNE 1, 2023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Our Proxy Statement and Annual Report are also available online at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www.proxydocs.com/ACIW</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2023 PROXY STATEMENT</w:t>
      </w:r>
    </w:p>
    <w:p>
      <w:pPr>
        <w:sectPr>
          <w:pgSz w:w="11900" w:h="16838" w:orient="portrait"/>
          <w:cols w:equalWidth="0" w:num="1">
            <w:col w:w="9320"/>
          </w:cols>
          <w:pgMar w:left="1280" w:top="1440" w:right="12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31"/>
          <w:szCs w:val="3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Proxy Statement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201295</wp:posOffset>
            </wp:positionV>
            <wp:extent cx="5920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About ACI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5920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5920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3"/>
        </w:trPr>
        <w:tc>
          <w:tcPr>
            <w:tcW w:w="4300" w:type="dxa"/>
            <w:vAlign w:val="bottom"/>
          </w:tcPr>
          <w:p>
            <w:pPr>
              <w:ind w:left="260"/>
              <w:spacing w:after="0" w:line="104" w:lineRule="exact"/>
              <w:rPr>
                <w:sz w:val="20"/>
                <w:szCs w:val="20"/>
                <w:color w:val="auto"/>
              </w:rPr>
            </w:pPr>
            <w:r>
              <w:rPr>
                <w:rFonts w:ascii="Arial" w:cs="Arial" w:eastAsia="Arial" w:hAnsi="Arial"/>
                <w:sz w:val="11"/>
                <w:szCs w:val="11"/>
                <w:color w:val="284993"/>
              </w:rPr>
              <w:t>Corporate Governance</w:t>
            </w:r>
          </w:p>
        </w:tc>
        <w:tc>
          <w:tcPr>
            <w:tcW w:w="320" w:type="dxa"/>
            <w:vAlign w:val="bottom"/>
          </w:tcPr>
          <w:p>
            <w:pPr>
              <w:spacing w:after="0"/>
              <w:rPr>
                <w:sz w:val="8"/>
                <w:szCs w:val="8"/>
                <w:color w:val="auto"/>
              </w:rPr>
            </w:pPr>
          </w:p>
        </w:tc>
        <w:tc>
          <w:tcPr>
            <w:tcW w:w="4200" w:type="dxa"/>
            <w:vAlign w:val="bottom"/>
            <w:gridSpan w:val="23"/>
          </w:tcPr>
          <w:p>
            <w:pPr>
              <w:spacing w:after="0" w:line="104" w:lineRule="exact"/>
              <w:rPr>
                <w:sz w:val="20"/>
                <w:szCs w:val="20"/>
                <w:color w:val="auto"/>
              </w:rPr>
            </w:pPr>
            <w:r>
              <w:rPr>
                <w:rFonts w:ascii="Arial" w:cs="Arial" w:eastAsia="Arial" w:hAnsi="Arial"/>
                <w:sz w:val="11"/>
                <w:szCs w:val="11"/>
                <w:color w:val="0000EE"/>
              </w:rPr>
              <w:t>Board of Directors and Committees</w:t>
            </w:r>
          </w:p>
        </w:tc>
        <w:tc>
          <w:tcPr>
            <w:tcW w:w="500" w:type="dxa"/>
            <w:vAlign w:val="bottom"/>
          </w:tcPr>
          <w:p>
            <w:pPr>
              <w:jc w:val="right"/>
              <w:spacing w:after="0" w:line="104" w:lineRule="exact"/>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4520" w:type="dxa"/>
            <w:vAlign w:val="bottom"/>
            <w:gridSpan w:val="24"/>
          </w:tcPr>
          <w:p>
            <w:pPr>
              <w:spacing w:after="0" w:line="154" w:lineRule="exact"/>
              <w:rPr>
                <w:sz w:val="20"/>
                <w:szCs w:val="20"/>
                <w:color w:val="auto"/>
              </w:rPr>
            </w:pPr>
            <w:r>
              <w:rPr>
                <w:rFonts w:ascii="Arial" w:cs="Arial" w:eastAsia="Arial" w:hAnsi="Arial"/>
                <w:sz w:val="16"/>
                <w:szCs w:val="16"/>
                <w:color w:val="0000EE"/>
              </w:rPr>
              <w:t>Corporate Governance</w:t>
            </w:r>
          </w:p>
        </w:tc>
        <w:tc>
          <w:tcPr>
            <w:tcW w:w="500" w:type="dxa"/>
            <w:vAlign w:val="bottom"/>
          </w:tcPr>
          <w:p>
            <w:pPr>
              <w:jc w:val="right"/>
              <w:spacing w:after="0" w:line="154"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540" w:type="dxa"/>
            <w:vAlign w:val="bottom"/>
            <w:tcBorders>
              <w:top w:val="single" w:sz="8" w:color="0000EE"/>
              <w:bottom w:val="single" w:sz="8" w:color="0000EE"/>
            </w:tcBorders>
          </w:tcPr>
          <w:p>
            <w:pPr>
              <w:spacing w:after="0"/>
              <w:rPr>
                <w:sz w:val="14"/>
                <w:szCs w:val="14"/>
                <w:color w:val="auto"/>
              </w:rPr>
            </w:pPr>
          </w:p>
        </w:tc>
        <w:tc>
          <w:tcPr>
            <w:tcW w:w="440" w:type="dxa"/>
            <w:vAlign w:val="bottom"/>
            <w:tcBorders>
              <w:top w:val="single" w:sz="8" w:color="0000EE"/>
              <w:bottom w:val="single" w:sz="8" w:color="0000EE"/>
            </w:tcBorders>
          </w:tcPr>
          <w:p>
            <w:pPr>
              <w:spacing w:after="0"/>
              <w:rPr>
                <w:sz w:val="14"/>
                <w:szCs w:val="14"/>
                <w:color w:val="auto"/>
              </w:rPr>
            </w:pPr>
          </w:p>
        </w:tc>
        <w:tc>
          <w:tcPr>
            <w:tcW w:w="4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80" w:type="dxa"/>
            <w:vAlign w:val="bottom"/>
            <w:tcBorders>
              <w:top w:val="single" w:sz="8" w:color="0000EE"/>
              <w:bottom w:val="single" w:sz="8" w:color="0000EE"/>
            </w:tcBorders>
          </w:tcPr>
          <w:p>
            <w:pPr>
              <w:spacing w:after="0"/>
              <w:rPr>
                <w:sz w:val="14"/>
                <w:szCs w:val="14"/>
                <w:color w:val="auto"/>
              </w:rPr>
            </w:pPr>
          </w:p>
        </w:tc>
        <w:tc>
          <w:tcPr>
            <w:tcW w:w="40" w:type="dxa"/>
            <w:vAlign w:val="bottom"/>
            <w:tcBorders>
              <w:top w:val="single" w:sz="8" w:color="0000EE"/>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120" w:type="dxa"/>
            <w:vAlign w:val="bottom"/>
            <w:tcBorders>
              <w:bottom w:val="single" w:sz="8" w:color="0000EE"/>
            </w:tcBorders>
          </w:tcPr>
          <w:p>
            <w:pPr>
              <w:spacing w:after="0"/>
              <w:rPr>
                <w:sz w:val="14"/>
                <w:szCs w:val="14"/>
                <w:color w:val="auto"/>
              </w:rPr>
            </w:pPr>
          </w:p>
        </w:tc>
        <w:tc>
          <w:tcPr>
            <w:tcW w:w="60" w:type="dxa"/>
            <w:vAlign w:val="bottom"/>
            <w:tcBorders>
              <w:bottom w:val="single" w:sz="8" w:color="0000EE"/>
            </w:tcBorders>
          </w:tcPr>
          <w:p>
            <w:pPr>
              <w:spacing w:after="0"/>
              <w:rPr>
                <w:sz w:val="14"/>
                <w:szCs w:val="14"/>
                <w:color w:val="auto"/>
              </w:rPr>
            </w:pPr>
          </w:p>
        </w:tc>
        <w:tc>
          <w:tcPr>
            <w:tcW w:w="220" w:type="dxa"/>
            <w:vAlign w:val="bottom"/>
            <w:tcBorders>
              <w:bottom w:val="single" w:sz="8" w:color="0000EE"/>
            </w:tcBorders>
          </w:tcPr>
          <w:p>
            <w:pPr>
              <w:spacing w:after="0"/>
              <w:rPr>
                <w:sz w:val="14"/>
                <w:szCs w:val="14"/>
                <w:color w:val="auto"/>
              </w:rPr>
            </w:pPr>
          </w:p>
        </w:tc>
        <w:tc>
          <w:tcPr>
            <w:tcW w:w="120" w:type="dxa"/>
            <w:vAlign w:val="bottom"/>
            <w:tcBorders>
              <w:bottom w:val="single" w:sz="8" w:color="0000EE"/>
            </w:tcBorders>
          </w:tcPr>
          <w:p>
            <w:pPr>
              <w:spacing w:after="0"/>
              <w:rPr>
                <w:sz w:val="14"/>
                <w:szCs w:val="14"/>
                <w:color w:val="auto"/>
              </w:rPr>
            </w:pPr>
          </w:p>
        </w:tc>
        <w:tc>
          <w:tcPr>
            <w:tcW w:w="6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320" w:type="dxa"/>
            <w:vAlign w:val="bottom"/>
            <w:tcBorders>
              <w:bottom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gridSpan w:val="23"/>
          </w:tcPr>
          <w:p>
            <w:pPr>
              <w:spacing w:after="0" w:line="161" w:lineRule="exact"/>
              <w:rPr>
                <w:sz w:val="20"/>
                <w:szCs w:val="20"/>
                <w:color w:val="auto"/>
              </w:rPr>
            </w:pPr>
            <w:r>
              <w:rPr>
                <w:rFonts w:ascii="Arial" w:cs="Arial" w:eastAsia="Arial" w:hAnsi="Arial"/>
                <w:sz w:val="16"/>
                <w:szCs w:val="16"/>
                <w:color w:val="0000EE"/>
              </w:rPr>
              <w:t>Director Independence</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8"/>
          </w:tcPr>
          <w:p>
            <w:pPr>
              <w:spacing w:after="0" w:line="161" w:lineRule="exact"/>
              <w:rPr>
                <w:sz w:val="20"/>
                <w:szCs w:val="20"/>
                <w:color w:val="auto"/>
              </w:rPr>
            </w:pPr>
            <w:r>
              <w:rPr>
                <w:rFonts w:ascii="Arial" w:cs="Arial" w:eastAsia="Arial" w:hAnsi="Arial"/>
                <w:sz w:val="16"/>
                <w:szCs w:val="16"/>
                <w:color w:val="0000EE"/>
                <w:w w:val="96"/>
              </w:rPr>
              <w:t>Board Committees</w:t>
            </w:r>
          </w:p>
        </w:tc>
        <w:tc>
          <w:tcPr>
            <w:tcW w:w="260" w:type="dxa"/>
            <w:vAlign w:val="bottom"/>
            <w:tcBorders>
              <w:top w:val="single" w:sz="8" w:color="0000EE"/>
            </w:tcBorders>
            <w:gridSpan w:val="3"/>
          </w:tcPr>
          <w:p>
            <w:pPr>
              <w:spacing w:after="0"/>
              <w:rPr>
                <w:sz w:val="14"/>
                <w:szCs w:val="14"/>
                <w:color w:val="auto"/>
              </w:rPr>
            </w:pPr>
          </w:p>
        </w:tc>
        <w:tc>
          <w:tcPr>
            <w:tcW w:w="2640" w:type="dxa"/>
            <w:vAlign w:val="bottom"/>
            <w:gridSpan w:val="12"/>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Borders>
              <w:bottom w:val="single" w:sz="8" w:color="0000EE"/>
            </w:tcBorders>
            <w:gridSpan w:val="9"/>
          </w:tcPr>
          <w:p>
            <w:pPr>
              <w:spacing w:after="0" w:line="161" w:lineRule="exact"/>
              <w:rPr>
                <w:sz w:val="20"/>
                <w:szCs w:val="20"/>
                <w:color w:val="auto"/>
              </w:rPr>
            </w:pPr>
            <w:r>
              <w:rPr>
                <w:rFonts w:ascii="Arial" w:cs="Arial" w:eastAsia="Arial" w:hAnsi="Arial"/>
                <w:sz w:val="16"/>
                <w:szCs w:val="16"/>
                <w:color w:val="0000EE"/>
                <w:w w:val="95"/>
              </w:rPr>
              <w:t>Meeting Attendance</w:t>
            </w:r>
          </w:p>
        </w:tc>
        <w:tc>
          <w:tcPr>
            <w:tcW w:w="2820" w:type="dxa"/>
            <w:vAlign w:val="bottom"/>
            <w:gridSpan w:val="14"/>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Borders>
              <w:bottom w:val="single" w:sz="8" w:color="0000EE"/>
            </w:tcBorders>
            <w:gridSpan w:val="13"/>
          </w:tcPr>
          <w:p>
            <w:pPr>
              <w:spacing w:after="0" w:line="161" w:lineRule="exact"/>
              <w:rPr>
                <w:sz w:val="20"/>
                <w:szCs w:val="20"/>
                <w:color w:val="auto"/>
              </w:rPr>
            </w:pPr>
            <w:r>
              <w:rPr>
                <w:rFonts w:ascii="Arial" w:cs="Arial" w:eastAsia="Arial" w:hAnsi="Arial"/>
                <w:sz w:val="16"/>
                <w:szCs w:val="16"/>
                <w:color w:val="0000EE"/>
                <w:w w:val="96"/>
              </w:rPr>
              <w:t>Board Leadership Structure</w:t>
            </w:r>
          </w:p>
        </w:tc>
        <w:tc>
          <w:tcPr>
            <w:tcW w:w="2300" w:type="dxa"/>
            <w:vAlign w:val="bottom"/>
            <w:gridSpan w:val="10"/>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20" w:type="dxa"/>
            <w:vAlign w:val="bottom"/>
            <w:tcBorders>
              <w:bottom w:val="single" w:sz="8" w:color="0000EE"/>
            </w:tcBorders>
            <w:gridSpan w:val="21"/>
          </w:tcPr>
          <w:p>
            <w:pPr>
              <w:spacing w:after="0" w:line="161" w:lineRule="exact"/>
              <w:rPr>
                <w:sz w:val="20"/>
                <w:szCs w:val="20"/>
                <w:color w:val="auto"/>
              </w:rPr>
            </w:pPr>
            <w:r>
              <w:rPr>
                <w:rFonts w:ascii="Arial" w:cs="Arial" w:eastAsia="Arial" w:hAnsi="Arial"/>
                <w:sz w:val="16"/>
                <w:szCs w:val="16"/>
                <w:color w:val="0000EE"/>
                <w:w w:val="96"/>
              </w:rPr>
              <w:t>Board Evaluation and Nomination Process</w:t>
            </w:r>
          </w:p>
        </w:tc>
        <w:tc>
          <w:tcPr>
            <w:tcW w:w="1280" w:type="dxa"/>
            <w:vAlign w:val="bottom"/>
            <w:gridSpan w:val="2"/>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gridSpan w:val="23"/>
          </w:tcPr>
          <w:p>
            <w:pPr>
              <w:spacing w:after="0" w:line="161" w:lineRule="exact"/>
              <w:rPr>
                <w:sz w:val="20"/>
                <w:szCs w:val="20"/>
                <w:color w:val="auto"/>
              </w:rPr>
            </w:pPr>
            <w:r>
              <w:rPr>
                <w:rFonts w:ascii="Arial" w:cs="Arial" w:eastAsia="Arial" w:hAnsi="Arial"/>
                <w:sz w:val="16"/>
                <w:szCs w:val="16"/>
                <w:color w:val="0000EE"/>
              </w:rPr>
              <w:t>Corporate Responsibility and Sustainability</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Borders>
              <w:top w:val="single" w:sz="8" w:color="0000EE"/>
              <w:bottom w:val="single" w:sz="8" w:color="0000EE"/>
            </w:tcBorders>
            <w:gridSpan w:val="5"/>
          </w:tcPr>
          <w:p>
            <w:pPr>
              <w:spacing w:after="0" w:line="161" w:lineRule="exact"/>
              <w:rPr>
                <w:sz w:val="20"/>
                <w:szCs w:val="20"/>
                <w:color w:val="auto"/>
              </w:rPr>
            </w:pPr>
            <w:r>
              <w:rPr>
                <w:rFonts w:ascii="Arial" w:cs="Arial" w:eastAsia="Arial" w:hAnsi="Arial"/>
                <w:sz w:val="16"/>
                <w:szCs w:val="16"/>
                <w:color w:val="0000EE"/>
                <w:w w:val="95"/>
              </w:rPr>
              <w:t>ESG Governance</w:t>
            </w:r>
          </w:p>
        </w:tc>
        <w:tc>
          <w:tcPr>
            <w:tcW w:w="1720" w:type="dxa"/>
            <w:vAlign w:val="bottom"/>
            <w:tcBorders>
              <w:top w:val="single" w:sz="8" w:color="0000EE"/>
            </w:tcBorders>
            <w:gridSpan w:val="17"/>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Borders>
              <w:bottom w:val="single" w:sz="8" w:color="0000EE"/>
            </w:tcBorders>
            <w:gridSpan w:val="10"/>
          </w:tcPr>
          <w:p>
            <w:pPr>
              <w:spacing w:after="0" w:line="161" w:lineRule="exact"/>
              <w:rPr>
                <w:sz w:val="20"/>
                <w:szCs w:val="20"/>
                <w:color w:val="auto"/>
              </w:rPr>
            </w:pPr>
            <w:r>
              <w:rPr>
                <w:rFonts w:ascii="Arial" w:cs="Arial" w:eastAsia="Arial" w:hAnsi="Arial"/>
                <w:sz w:val="16"/>
                <w:szCs w:val="16"/>
                <w:color w:val="0000EE"/>
                <w:w w:val="96"/>
              </w:rPr>
              <w:t>Sustainable Solutions</w:t>
            </w:r>
          </w:p>
        </w:tc>
        <w:tc>
          <w:tcPr>
            <w:tcW w:w="2700" w:type="dxa"/>
            <w:vAlign w:val="bottom"/>
            <w:gridSpan w:val="13"/>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bottom w:val="single" w:sz="8" w:color="0000EE"/>
            </w:tcBorders>
            <w:gridSpan w:val="3"/>
          </w:tcPr>
          <w:p>
            <w:pPr>
              <w:spacing w:after="0" w:line="161" w:lineRule="exact"/>
              <w:rPr>
                <w:sz w:val="20"/>
                <w:szCs w:val="20"/>
                <w:color w:val="auto"/>
              </w:rPr>
            </w:pPr>
            <w:r>
              <w:rPr>
                <w:rFonts w:ascii="Arial" w:cs="Arial" w:eastAsia="Arial" w:hAnsi="Arial"/>
                <w:sz w:val="16"/>
                <w:szCs w:val="16"/>
                <w:color w:val="0000EE"/>
                <w:w w:val="95"/>
              </w:rPr>
              <w:t>CSR Initiatives</w:t>
            </w:r>
          </w:p>
        </w:tc>
        <w:tc>
          <w:tcPr>
            <w:tcW w:w="3180" w:type="dxa"/>
            <w:vAlign w:val="bottom"/>
            <w:gridSpan w:val="20"/>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gridSpan w:val="23"/>
          </w:tcPr>
          <w:p>
            <w:pPr>
              <w:spacing w:after="0" w:line="161" w:lineRule="exact"/>
              <w:rPr>
                <w:sz w:val="20"/>
                <w:szCs w:val="20"/>
                <w:color w:val="auto"/>
              </w:rPr>
            </w:pPr>
            <w:r>
              <w:rPr>
                <w:rFonts w:ascii="Arial" w:cs="Arial" w:eastAsia="Arial" w:hAnsi="Arial"/>
                <w:sz w:val="16"/>
                <w:szCs w:val="16"/>
                <w:color w:val="0000EE"/>
              </w:rPr>
              <w:t>Board Diversity</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13</w:t>
            </w:r>
          </w:p>
        </w:tc>
        <w:tc>
          <w:tcPr>
            <w:tcW w:w="0" w:type="dxa"/>
            <w:vAlign w:val="bottom"/>
          </w:tcPr>
          <w:p>
            <w:pPr>
              <w:spacing w:after="0" w:line="20" w:lineRule="exact"/>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tcBorders>
              <w:bottom w:val="single" w:sz="8" w:color="0000EE"/>
            </w:tcBorders>
            <w:gridSpan w:val="17"/>
          </w:tcPr>
          <w:p>
            <w:pPr>
              <w:spacing w:after="0" w:line="161" w:lineRule="exact"/>
              <w:rPr>
                <w:sz w:val="20"/>
                <w:szCs w:val="20"/>
                <w:color w:val="auto"/>
              </w:rPr>
            </w:pPr>
            <w:r>
              <w:rPr>
                <w:rFonts w:ascii="Arial" w:cs="Arial" w:eastAsia="Arial" w:hAnsi="Arial"/>
                <w:sz w:val="16"/>
                <w:szCs w:val="16"/>
                <w:color w:val="0000EE"/>
                <w:w w:val="95"/>
              </w:rPr>
              <w:t>Board’s Role in Risk Oversight</w:t>
            </w:r>
          </w:p>
        </w:tc>
        <w:tc>
          <w:tcPr>
            <w:tcW w:w="2100" w:type="dxa"/>
            <w:vAlign w:val="bottom"/>
            <w:gridSpan w:val="6"/>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gridSpan w:val="23"/>
          </w:tcPr>
          <w:p>
            <w:pPr>
              <w:spacing w:after="0" w:line="161" w:lineRule="exact"/>
              <w:rPr>
                <w:sz w:val="20"/>
                <w:szCs w:val="20"/>
                <w:color w:val="auto"/>
              </w:rPr>
            </w:pPr>
            <w:r>
              <w:rPr>
                <w:rFonts w:ascii="Arial" w:cs="Arial" w:eastAsia="Arial" w:hAnsi="Arial"/>
                <w:sz w:val="16"/>
                <w:szCs w:val="16"/>
                <w:color w:val="0000EE"/>
              </w:rPr>
              <w:t>Code of Business Conduct and Ethics</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tcBorders>
              <w:top w:val="single" w:sz="8" w:color="0000EE"/>
            </w:tcBorders>
            <w:gridSpan w:val="20"/>
          </w:tcPr>
          <w:p>
            <w:pPr>
              <w:spacing w:after="0" w:line="161" w:lineRule="exact"/>
              <w:rPr>
                <w:sz w:val="20"/>
                <w:szCs w:val="20"/>
                <w:color w:val="auto"/>
              </w:rPr>
            </w:pPr>
            <w:r>
              <w:rPr>
                <w:rFonts w:ascii="Arial" w:cs="Arial" w:eastAsia="Arial" w:hAnsi="Arial"/>
                <w:sz w:val="16"/>
                <w:szCs w:val="16"/>
                <w:color w:val="0000EE"/>
              </w:rPr>
              <w:t>Compensation Risk Analysis</w:t>
            </w:r>
          </w:p>
        </w:tc>
        <w:tc>
          <w:tcPr>
            <w:tcW w:w="1600" w:type="dxa"/>
            <w:vAlign w:val="bottom"/>
            <w:gridSpan w:val="3"/>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35"/>
        </w:trPr>
        <w:tc>
          <w:tcPr>
            <w:tcW w:w="4300" w:type="dxa"/>
            <w:vAlign w:val="bottom"/>
            <w:tcBorders>
              <w:bottom w:val="single" w:sz="8" w:color="284993"/>
            </w:tcBorders>
          </w:tcPr>
          <w:p>
            <w:pPr>
              <w:spacing w:after="0"/>
              <w:rPr>
                <w:sz w:val="11"/>
                <w:szCs w:val="11"/>
                <w:color w:val="auto"/>
              </w:rPr>
            </w:pPr>
          </w:p>
        </w:tc>
        <w:tc>
          <w:tcPr>
            <w:tcW w:w="320" w:type="dxa"/>
            <w:vAlign w:val="bottom"/>
            <w:tcBorders>
              <w:bottom w:val="single" w:sz="8" w:color="284993"/>
            </w:tcBorders>
          </w:tcPr>
          <w:p>
            <w:pPr>
              <w:spacing w:after="0"/>
              <w:rPr>
                <w:sz w:val="11"/>
                <w:szCs w:val="11"/>
                <w:color w:val="auto"/>
              </w:rPr>
            </w:pPr>
          </w:p>
        </w:tc>
        <w:tc>
          <w:tcPr>
            <w:tcW w:w="540" w:type="dxa"/>
            <w:vAlign w:val="bottom"/>
            <w:tcBorders>
              <w:top w:val="single" w:sz="8" w:color="0000EE"/>
              <w:bottom w:val="single" w:sz="8" w:color="284993"/>
            </w:tcBorders>
          </w:tcPr>
          <w:p>
            <w:pPr>
              <w:spacing w:after="0"/>
              <w:rPr>
                <w:sz w:val="11"/>
                <w:szCs w:val="11"/>
                <w:color w:val="auto"/>
              </w:rPr>
            </w:pPr>
          </w:p>
        </w:tc>
        <w:tc>
          <w:tcPr>
            <w:tcW w:w="440" w:type="dxa"/>
            <w:vAlign w:val="bottom"/>
            <w:tcBorders>
              <w:top w:val="single" w:sz="8" w:color="0000EE"/>
              <w:bottom w:val="single" w:sz="8" w:color="284993"/>
            </w:tcBorders>
          </w:tcPr>
          <w:p>
            <w:pPr>
              <w:spacing w:after="0"/>
              <w:rPr>
                <w:sz w:val="11"/>
                <w:szCs w:val="11"/>
                <w:color w:val="auto"/>
              </w:rPr>
            </w:pPr>
          </w:p>
        </w:tc>
        <w:tc>
          <w:tcPr>
            <w:tcW w:w="40" w:type="dxa"/>
            <w:vAlign w:val="bottom"/>
            <w:tcBorders>
              <w:top w:val="single" w:sz="8" w:color="0000EE"/>
              <w:bottom w:val="single" w:sz="8" w:color="284993"/>
            </w:tcBorders>
          </w:tcPr>
          <w:p>
            <w:pPr>
              <w:spacing w:after="0"/>
              <w:rPr>
                <w:sz w:val="11"/>
                <w:szCs w:val="11"/>
                <w:color w:val="auto"/>
              </w:rPr>
            </w:pPr>
          </w:p>
        </w:tc>
        <w:tc>
          <w:tcPr>
            <w:tcW w:w="20" w:type="dxa"/>
            <w:vAlign w:val="bottom"/>
            <w:tcBorders>
              <w:top w:val="single" w:sz="8" w:color="0000EE"/>
              <w:bottom w:val="single" w:sz="8" w:color="284993"/>
            </w:tcBorders>
          </w:tcPr>
          <w:p>
            <w:pPr>
              <w:spacing w:after="0"/>
              <w:rPr>
                <w:sz w:val="11"/>
                <w:szCs w:val="11"/>
                <w:color w:val="auto"/>
              </w:rPr>
            </w:pPr>
          </w:p>
        </w:tc>
        <w:tc>
          <w:tcPr>
            <w:tcW w:w="180" w:type="dxa"/>
            <w:vAlign w:val="bottom"/>
            <w:tcBorders>
              <w:top w:val="single" w:sz="8" w:color="0000EE"/>
              <w:bottom w:val="single" w:sz="8" w:color="284993"/>
            </w:tcBorders>
          </w:tcPr>
          <w:p>
            <w:pPr>
              <w:spacing w:after="0"/>
              <w:rPr>
                <w:sz w:val="11"/>
                <w:szCs w:val="11"/>
                <w:color w:val="auto"/>
              </w:rPr>
            </w:pPr>
          </w:p>
        </w:tc>
        <w:tc>
          <w:tcPr>
            <w:tcW w:w="40" w:type="dxa"/>
            <w:vAlign w:val="bottom"/>
            <w:tcBorders>
              <w:top w:val="single" w:sz="8" w:color="0000EE"/>
              <w:bottom w:val="single" w:sz="8" w:color="284993"/>
            </w:tcBorders>
          </w:tcPr>
          <w:p>
            <w:pPr>
              <w:spacing w:after="0"/>
              <w:rPr>
                <w:sz w:val="11"/>
                <w:szCs w:val="11"/>
                <w:color w:val="auto"/>
              </w:rPr>
            </w:pPr>
          </w:p>
        </w:tc>
        <w:tc>
          <w:tcPr>
            <w:tcW w:w="20" w:type="dxa"/>
            <w:vAlign w:val="bottom"/>
            <w:tcBorders>
              <w:top w:val="single" w:sz="8" w:color="0000EE"/>
              <w:bottom w:val="single" w:sz="8" w:color="284993"/>
            </w:tcBorders>
          </w:tcPr>
          <w:p>
            <w:pPr>
              <w:spacing w:after="0"/>
              <w:rPr>
                <w:sz w:val="11"/>
                <w:szCs w:val="11"/>
                <w:color w:val="auto"/>
              </w:rPr>
            </w:pPr>
          </w:p>
        </w:tc>
        <w:tc>
          <w:tcPr>
            <w:tcW w:w="2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120" w:type="dxa"/>
            <w:vAlign w:val="bottom"/>
            <w:tcBorders>
              <w:top w:val="single" w:sz="8" w:color="0000EE"/>
              <w:bottom w:val="single" w:sz="8" w:color="284993"/>
            </w:tcBorders>
          </w:tcPr>
          <w:p>
            <w:pPr>
              <w:spacing w:after="0"/>
              <w:rPr>
                <w:sz w:val="11"/>
                <w:szCs w:val="11"/>
                <w:color w:val="auto"/>
              </w:rPr>
            </w:pPr>
          </w:p>
        </w:tc>
        <w:tc>
          <w:tcPr>
            <w:tcW w:w="60" w:type="dxa"/>
            <w:vAlign w:val="bottom"/>
            <w:tcBorders>
              <w:top w:val="single" w:sz="8" w:color="0000EE"/>
              <w:bottom w:val="single" w:sz="8" w:color="284993"/>
            </w:tcBorders>
          </w:tcPr>
          <w:p>
            <w:pPr>
              <w:spacing w:after="0"/>
              <w:rPr>
                <w:sz w:val="11"/>
                <w:szCs w:val="11"/>
                <w:color w:val="auto"/>
              </w:rPr>
            </w:pPr>
          </w:p>
        </w:tc>
        <w:tc>
          <w:tcPr>
            <w:tcW w:w="220" w:type="dxa"/>
            <w:vAlign w:val="bottom"/>
            <w:tcBorders>
              <w:top w:val="single" w:sz="8" w:color="0000EE"/>
              <w:bottom w:val="single" w:sz="8" w:color="284993"/>
            </w:tcBorders>
          </w:tcPr>
          <w:p>
            <w:pPr>
              <w:spacing w:after="0"/>
              <w:rPr>
                <w:sz w:val="11"/>
                <w:szCs w:val="11"/>
                <w:color w:val="auto"/>
              </w:rPr>
            </w:pPr>
          </w:p>
        </w:tc>
        <w:tc>
          <w:tcPr>
            <w:tcW w:w="120" w:type="dxa"/>
            <w:vAlign w:val="bottom"/>
            <w:tcBorders>
              <w:top w:val="single" w:sz="8" w:color="0000EE"/>
              <w:bottom w:val="single" w:sz="8" w:color="284993"/>
            </w:tcBorders>
          </w:tcPr>
          <w:p>
            <w:pPr>
              <w:spacing w:after="0"/>
              <w:rPr>
                <w:sz w:val="11"/>
                <w:szCs w:val="11"/>
                <w:color w:val="auto"/>
              </w:rPr>
            </w:pPr>
          </w:p>
        </w:tc>
        <w:tc>
          <w:tcPr>
            <w:tcW w:w="60" w:type="dxa"/>
            <w:vAlign w:val="bottom"/>
            <w:tcBorders>
              <w:top w:val="single" w:sz="8" w:color="0000EE"/>
              <w:bottom w:val="single" w:sz="8" w:color="284993"/>
            </w:tcBorders>
          </w:tcPr>
          <w:p>
            <w:pPr>
              <w:spacing w:after="0"/>
              <w:rPr>
                <w:sz w:val="11"/>
                <w:szCs w:val="11"/>
                <w:color w:val="auto"/>
              </w:rPr>
            </w:pPr>
          </w:p>
        </w:tc>
        <w:tc>
          <w:tcPr>
            <w:tcW w:w="20" w:type="dxa"/>
            <w:vAlign w:val="bottom"/>
            <w:tcBorders>
              <w:bottom w:val="single" w:sz="8" w:color="284993"/>
            </w:tcBorders>
          </w:tcPr>
          <w:p>
            <w:pPr>
              <w:spacing w:after="0"/>
              <w:rPr>
                <w:sz w:val="11"/>
                <w:szCs w:val="11"/>
                <w:color w:val="auto"/>
              </w:rPr>
            </w:pPr>
          </w:p>
        </w:tc>
        <w:tc>
          <w:tcPr>
            <w:tcW w:w="80" w:type="dxa"/>
            <w:vAlign w:val="bottom"/>
            <w:tcBorders>
              <w:bottom w:val="single" w:sz="8" w:color="284993"/>
            </w:tcBorders>
          </w:tcPr>
          <w:p>
            <w:pPr>
              <w:spacing w:after="0"/>
              <w:rPr>
                <w:sz w:val="11"/>
                <w:szCs w:val="11"/>
                <w:color w:val="auto"/>
              </w:rPr>
            </w:pPr>
          </w:p>
        </w:tc>
        <w:tc>
          <w:tcPr>
            <w:tcW w:w="40" w:type="dxa"/>
            <w:vAlign w:val="bottom"/>
            <w:tcBorders>
              <w:bottom w:val="single" w:sz="8" w:color="284993"/>
            </w:tcBorders>
          </w:tcPr>
          <w:p>
            <w:pPr>
              <w:spacing w:after="0"/>
              <w:rPr>
                <w:sz w:val="11"/>
                <w:szCs w:val="11"/>
                <w:color w:val="auto"/>
              </w:rPr>
            </w:pPr>
          </w:p>
        </w:tc>
        <w:tc>
          <w:tcPr>
            <w:tcW w:w="320" w:type="dxa"/>
            <w:vAlign w:val="bottom"/>
            <w:tcBorders>
              <w:bottom w:val="single" w:sz="8" w:color="284993"/>
            </w:tcBorders>
          </w:tcPr>
          <w:p>
            <w:pPr>
              <w:spacing w:after="0"/>
              <w:rPr>
                <w:sz w:val="11"/>
                <w:szCs w:val="11"/>
                <w:color w:val="auto"/>
              </w:rPr>
            </w:pPr>
          </w:p>
        </w:tc>
        <w:tc>
          <w:tcPr>
            <w:tcW w:w="120" w:type="dxa"/>
            <w:vAlign w:val="bottom"/>
            <w:tcBorders>
              <w:bottom w:val="single" w:sz="8" w:color="284993"/>
            </w:tcBorders>
          </w:tcPr>
          <w:p>
            <w:pPr>
              <w:spacing w:after="0"/>
              <w:rPr>
                <w:sz w:val="11"/>
                <w:szCs w:val="11"/>
                <w:color w:val="auto"/>
              </w:rPr>
            </w:pPr>
          </w:p>
        </w:tc>
        <w:tc>
          <w:tcPr>
            <w:tcW w:w="60" w:type="dxa"/>
            <w:vAlign w:val="bottom"/>
            <w:tcBorders>
              <w:bottom w:val="single" w:sz="8" w:color="284993"/>
            </w:tcBorders>
          </w:tcPr>
          <w:p>
            <w:pPr>
              <w:spacing w:after="0"/>
              <w:rPr>
                <w:sz w:val="11"/>
                <w:szCs w:val="11"/>
                <w:color w:val="auto"/>
              </w:rPr>
            </w:pPr>
          </w:p>
        </w:tc>
        <w:tc>
          <w:tcPr>
            <w:tcW w:w="320" w:type="dxa"/>
            <w:vAlign w:val="bottom"/>
            <w:tcBorders>
              <w:bottom w:val="single" w:sz="8" w:color="284993"/>
            </w:tcBorders>
          </w:tcPr>
          <w:p>
            <w:pPr>
              <w:spacing w:after="0"/>
              <w:rPr>
                <w:sz w:val="11"/>
                <w:szCs w:val="11"/>
                <w:color w:val="auto"/>
              </w:rPr>
            </w:pPr>
          </w:p>
        </w:tc>
        <w:tc>
          <w:tcPr>
            <w:tcW w:w="20" w:type="dxa"/>
            <w:vAlign w:val="bottom"/>
            <w:tcBorders>
              <w:bottom w:val="single" w:sz="8" w:color="284993"/>
            </w:tcBorders>
          </w:tcPr>
          <w:p>
            <w:pPr>
              <w:spacing w:after="0"/>
              <w:rPr>
                <w:sz w:val="11"/>
                <w:szCs w:val="11"/>
                <w:color w:val="auto"/>
              </w:rPr>
            </w:pPr>
          </w:p>
        </w:tc>
        <w:tc>
          <w:tcPr>
            <w:tcW w:w="1260" w:type="dxa"/>
            <w:vAlign w:val="bottom"/>
            <w:tcBorders>
              <w:bottom w:val="single" w:sz="8" w:color="284993"/>
            </w:tcBorders>
          </w:tcPr>
          <w:p>
            <w:pPr>
              <w:spacing w:after="0"/>
              <w:rPr>
                <w:sz w:val="11"/>
                <w:szCs w:val="11"/>
                <w:color w:val="auto"/>
              </w:rPr>
            </w:pPr>
          </w:p>
        </w:tc>
        <w:tc>
          <w:tcPr>
            <w:tcW w:w="500" w:type="dxa"/>
            <w:vAlign w:val="bottom"/>
            <w:tcBorders>
              <w:bottom w:val="single" w:sz="8" w:color="284993"/>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300" w:type="dxa"/>
            <w:vAlign w:val="bottom"/>
          </w:tcPr>
          <w:p>
            <w:pPr>
              <w:ind w:left="260"/>
              <w:spacing w:after="0" w:line="182" w:lineRule="exact"/>
              <w:rPr>
                <w:sz w:val="20"/>
                <w:szCs w:val="20"/>
                <w:color w:val="auto"/>
              </w:rPr>
            </w:pPr>
            <w:r>
              <w:rPr>
                <w:rFonts w:ascii="Arial" w:cs="Arial" w:eastAsia="Arial" w:hAnsi="Arial"/>
                <w:sz w:val="21"/>
                <w:szCs w:val="21"/>
                <w:color w:val="284993"/>
              </w:rPr>
              <w:t>Proposal 1 — Election of</w:t>
            </w:r>
          </w:p>
        </w:tc>
        <w:tc>
          <w:tcPr>
            <w:tcW w:w="238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w w:val="96"/>
              </w:rPr>
              <w:t>Proposal 1 — Election of Directors</w:t>
            </w:r>
          </w:p>
        </w:tc>
        <w:tc>
          <w:tcPr>
            <w:tcW w:w="2140" w:type="dxa"/>
            <w:vAlign w:val="bottom"/>
            <w:gridSpan w:val="7"/>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61"/>
        </w:trPr>
        <w:tc>
          <w:tcPr>
            <w:tcW w:w="4300" w:type="dxa"/>
            <w:vAlign w:val="bottom"/>
            <w:vMerge w:val="restart"/>
          </w:tcPr>
          <w:p>
            <w:pPr>
              <w:ind w:left="260"/>
              <w:spacing w:after="0"/>
              <w:rPr>
                <w:sz w:val="20"/>
                <w:szCs w:val="20"/>
                <w:color w:val="auto"/>
              </w:rPr>
            </w:pPr>
            <w:r>
              <w:rPr>
                <w:rFonts w:ascii="Arial" w:cs="Arial" w:eastAsia="Arial" w:hAnsi="Arial"/>
                <w:sz w:val="24"/>
                <w:szCs w:val="24"/>
                <w:color w:val="284993"/>
              </w:rPr>
              <w:t>Directors</w:t>
            </w:r>
          </w:p>
        </w:tc>
        <w:tc>
          <w:tcPr>
            <w:tcW w:w="320" w:type="dxa"/>
            <w:vAlign w:val="bottom"/>
          </w:tcPr>
          <w:p>
            <w:pPr>
              <w:spacing w:after="0"/>
              <w:rPr>
                <w:sz w:val="14"/>
                <w:szCs w:val="14"/>
                <w:color w:val="auto"/>
              </w:rPr>
            </w:pPr>
          </w:p>
        </w:tc>
        <w:tc>
          <w:tcPr>
            <w:tcW w:w="4200" w:type="dxa"/>
            <w:vAlign w:val="bottom"/>
            <w:gridSpan w:val="23"/>
          </w:tcPr>
          <w:p>
            <w:pPr>
              <w:spacing w:after="0" w:line="161" w:lineRule="exact"/>
              <w:rPr>
                <w:sz w:val="20"/>
                <w:szCs w:val="20"/>
                <w:color w:val="auto"/>
              </w:rPr>
            </w:pPr>
            <w:r>
              <w:rPr>
                <w:rFonts w:ascii="Arial" w:cs="Arial" w:eastAsia="Arial" w:hAnsi="Arial"/>
                <w:sz w:val="16"/>
                <w:szCs w:val="16"/>
                <w:color w:val="0000EE"/>
              </w:rPr>
              <w:t>General</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43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5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17</w:t>
            </w:r>
          </w:p>
        </w:tc>
        <w:tc>
          <w:tcPr>
            <w:tcW w:w="0" w:type="dxa"/>
            <w:vAlign w:val="bottom"/>
          </w:tcPr>
          <w:p>
            <w:pPr>
              <w:spacing w:after="0" w:line="20" w:lineRule="exact"/>
              <w:rPr>
                <w:sz w:val="1"/>
                <w:szCs w:val="1"/>
                <w:color w:val="auto"/>
              </w:rPr>
            </w:pPr>
          </w:p>
        </w:tc>
      </w:tr>
      <w:tr>
        <w:trPr>
          <w:trHeight w:val="161"/>
        </w:trPr>
        <w:tc>
          <w:tcPr>
            <w:tcW w:w="43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tcBorders>
              <w:bottom w:val="single" w:sz="8" w:color="0000EE"/>
            </w:tcBorders>
            <w:gridSpan w:val="23"/>
          </w:tcPr>
          <w:p>
            <w:pPr>
              <w:spacing w:after="0" w:line="161" w:lineRule="exact"/>
              <w:rPr>
                <w:sz w:val="20"/>
                <w:szCs w:val="20"/>
                <w:color w:val="auto"/>
              </w:rPr>
            </w:pPr>
            <w:r>
              <w:rPr>
                <w:rFonts w:ascii="Arial" w:cs="Arial" w:eastAsia="Arial" w:hAnsi="Arial"/>
                <w:sz w:val="16"/>
                <w:szCs w:val="16"/>
                <w:color w:val="0000EE"/>
                <w:w w:val="96"/>
              </w:rPr>
              <w:t>Specific Skills and Attributes to be Represented on the Board</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gridSpan w:val="23"/>
          </w:tcPr>
          <w:p>
            <w:pPr>
              <w:spacing w:after="0" w:line="161" w:lineRule="exact"/>
              <w:rPr>
                <w:sz w:val="20"/>
                <w:szCs w:val="20"/>
                <w:color w:val="auto"/>
              </w:rPr>
            </w:pPr>
            <w:r>
              <w:rPr>
                <w:rFonts w:ascii="Arial" w:cs="Arial" w:eastAsia="Arial" w:hAnsi="Arial"/>
                <w:sz w:val="16"/>
                <w:szCs w:val="16"/>
                <w:color w:val="0000EE"/>
              </w:rPr>
              <w:t>Director Nominees</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97"/>
        </w:trPr>
        <w:tc>
          <w:tcPr>
            <w:tcW w:w="4300" w:type="dxa"/>
            <w:vAlign w:val="bottom"/>
            <w:tcBorders>
              <w:bottom w:val="single" w:sz="8" w:color="284993"/>
            </w:tcBorders>
          </w:tcPr>
          <w:p>
            <w:pPr>
              <w:spacing w:after="0"/>
              <w:rPr>
                <w:sz w:val="8"/>
                <w:szCs w:val="8"/>
                <w:color w:val="auto"/>
              </w:rPr>
            </w:pPr>
          </w:p>
        </w:tc>
        <w:tc>
          <w:tcPr>
            <w:tcW w:w="320" w:type="dxa"/>
            <w:vAlign w:val="bottom"/>
            <w:tcBorders>
              <w:bottom w:val="single" w:sz="8" w:color="284993"/>
            </w:tcBorders>
          </w:tcPr>
          <w:p>
            <w:pPr>
              <w:spacing w:after="0"/>
              <w:rPr>
                <w:sz w:val="8"/>
                <w:szCs w:val="8"/>
                <w:color w:val="auto"/>
              </w:rPr>
            </w:pPr>
          </w:p>
        </w:tc>
        <w:tc>
          <w:tcPr>
            <w:tcW w:w="540" w:type="dxa"/>
            <w:vAlign w:val="bottom"/>
            <w:tcBorders>
              <w:top w:val="single" w:sz="8" w:color="0000EE"/>
              <w:bottom w:val="single" w:sz="8" w:color="284993"/>
            </w:tcBorders>
          </w:tcPr>
          <w:p>
            <w:pPr>
              <w:spacing w:after="0"/>
              <w:rPr>
                <w:sz w:val="8"/>
                <w:szCs w:val="8"/>
                <w:color w:val="auto"/>
              </w:rPr>
            </w:pPr>
          </w:p>
        </w:tc>
        <w:tc>
          <w:tcPr>
            <w:tcW w:w="440" w:type="dxa"/>
            <w:vAlign w:val="bottom"/>
            <w:tcBorders>
              <w:top w:val="single" w:sz="8" w:color="0000EE"/>
              <w:bottom w:val="single" w:sz="8" w:color="284993"/>
            </w:tcBorders>
          </w:tcPr>
          <w:p>
            <w:pPr>
              <w:spacing w:after="0"/>
              <w:rPr>
                <w:sz w:val="8"/>
                <w:szCs w:val="8"/>
                <w:color w:val="auto"/>
              </w:rPr>
            </w:pPr>
          </w:p>
        </w:tc>
        <w:tc>
          <w:tcPr>
            <w:tcW w:w="40" w:type="dxa"/>
            <w:vAlign w:val="bottom"/>
            <w:tcBorders>
              <w:top w:val="single" w:sz="8" w:color="0000EE"/>
              <w:bottom w:val="single" w:sz="8" w:color="284993"/>
            </w:tcBorders>
          </w:tcPr>
          <w:p>
            <w:pPr>
              <w:spacing w:after="0"/>
              <w:rPr>
                <w:sz w:val="8"/>
                <w:szCs w:val="8"/>
                <w:color w:val="auto"/>
              </w:rPr>
            </w:pPr>
          </w:p>
        </w:tc>
        <w:tc>
          <w:tcPr>
            <w:tcW w:w="20" w:type="dxa"/>
            <w:vAlign w:val="bottom"/>
            <w:tcBorders>
              <w:top w:val="single" w:sz="8" w:color="0000EE"/>
              <w:bottom w:val="single" w:sz="8" w:color="284993"/>
            </w:tcBorders>
          </w:tcPr>
          <w:p>
            <w:pPr>
              <w:spacing w:after="0"/>
              <w:rPr>
                <w:sz w:val="8"/>
                <w:szCs w:val="8"/>
                <w:color w:val="auto"/>
              </w:rPr>
            </w:pPr>
          </w:p>
        </w:tc>
        <w:tc>
          <w:tcPr>
            <w:tcW w:w="180" w:type="dxa"/>
            <w:vAlign w:val="bottom"/>
            <w:tcBorders>
              <w:top w:val="single" w:sz="8" w:color="0000EE"/>
              <w:bottom w:val="single" w:sz="8" w:color="284993"/>
            </w:tcBorders>
          </w:tcPr>
          <w:p>
            <w:pPr>
              <w:spacing w:after="0"/>
              <w:rPr>
                <w:sz w:val="8"/>
                <w:szCs w:val="8"/>
                <w:color w:val="auto"/>
              </w:rPr>
            </w:pPr>
          </w:p>
        </w:tc>
        <w:tc>
          <w:tcPr>
            <w:tcW w:w="40" w:type="dxa"/>
            <w:vAlign w:val="bottom"/>
            <w:tcBorders>
              <w:top w:val="single" w:sz="8" w:color="0000EE"/>
              <w:bottom w:val="single" w:sz="8" w:color="284993"/>
            </w:tcBorders>
          </w:tcPr>
          <w:p>
            <w:pPr>
              <w:spacing w:after="0"/>
              <w:rPr>
                <w:sz w:val="8"/>
                <w:szCs w:val="8"/>
                <w:color w:val="auto"/>
              </w:rPr>
            </w:pPr>
          </w:p>
        </w:tc>
        <w:tc>
          <w:tcPr>
            <w:tcW w:w="20" w:type="dxa"/>
            <w:vAlign w:val="bottom"/>
            <w:tcBorders>
              <w:top w:val="single" w:sz="8" w:color="0000EE"/>
              <w:bottom w:val="single" w:sz="8" w:color="284993"/>
            </w:tcBorders>
          </w:tcPr>
          <w:p>
            <w:pPr>
              <w:spacing w:after="0"/>
              <w:rPr>
                <w:sz w:val="8"/>
                <w:szCs w:val="8"/>
                <w:color w:val="auto"/>
              </w:rPr>
            </w:pPr>
          </w:p>
        </w:tc>
        <w:tc>
          <w:tcPr>
            <w:tcW w:w="20" w:type="dxa"/>
            <w:vAlign w:val="bottom"/>
            <w:tcBorders>
              <w:top w:val="single" w:sz="8" w:color="0000EE"/>
              <w:bottom w:val="single" w:sz="8" w:color="284993"/>
            </w:tcBorders>
          </w:tcPr>
          <w:p>
            <w:pPr>
              <w:spacing w:after="0"/>
              <w:rPr>
                <w:sz w:val="8"/>
                <w:szCs w:val="8"/>
                <w:color w:val="auto"/>
              </w:rPr>
            </w:pPr>
          </w:p>
        </w:tc>
        <w:tc>
          <w:tcPr>
            <w:tcW w:w="80" w:type="dxa"/>
            <w:vAlign w:val="bottom"/>
            <w:tcBorders>
              <w:bottom w:val="single" w:sz="8" w:color="284993"/>
            </w:tcBorders>
          </w:tcPr>
          <w:p>
            <w:pPr>
              <w:spacing w:after="0"/>
              <w:rPr>
                <w:sz w:val="8"/>
                <w:szCs w:val="8"/>
                <w:color w:val="auto"/>
              </w:rPr>
            </w:pPr>
          </w:p>
        </w:tc>
        <w:tc>
          <w:tcPr>
            <w:tcW w:w="120" w:type="dxa"/>
            <w:vAlign w:val="bottom"/>
            <w:tcBorders>
              <w:bottom w:val="single" w:sz="8" w:color="284993"/>
            </w:tcBorders>
          </w:tcPr>
          <w:p>
            <w:pPr>
              <w:spacing w:after="0"/>
              <w:rPr>
                <w:sz w:val="8"/>
                <w:szCs w:val="8"/>
                <w:color w:val="auto"/>
              </w:rPr>
            </w:pPr>
          </w:p>
        </w:tc>
        <w:tc>
          <w:tcPr>
            <w:tcW w:w="60" w:type="dxa"/>
            <w:vAlign w:val="bottom"/>
            <w:tcBorders>
              <w:bottom w:val="single" w:sz="8" w:color="284993"/>
            </w:tcBorders>
          </w:tcPr>
          <w:p>
            <w:pPr>
              <w:spacing w:after="0"/>
              <w:rPr>
                <w:sz w:val="8"/>
                <w:szCs w:val="8"/>
                <w:color w:val="auto"/>
              </w:rPr>
            </w:pPr>
          </w:p>
        </w:tc>
        <w:tc>
          <w:tcPr>
            <w:tcW w:w="220" w:type="dxa"/>
            <w:vAlign w:val="bottom"/>
            <w:tcBorders>
              <w:bottom w:val="single" w:sz="8" w:color="284993"/>
            </w:tcBorders>
          </w:tcPr>
          <w:p>
            <w:pPr>
              <w:spacing w:after="0"/>
              <w:rPr>
                <w:sz w:val="8"/>
                <w:szCs w:val="8"/>
                <w:color w:val="auto"/>
              </w:rPr>
            </w:pPr>
          </w:p>
        </w:tc>
        <w:tc>
          <w:tcPr>
            <w:tcW w:w="120" w:type="dxa"/>
            <w:vAlign w:val="bottom"/>
            <w:tcBorders>
              <w:bottom w:val="single" w:sz="8" w:color="284993"/>
            </w:tcBorders>
          </w:tcPr>
          <w:p>
            <w:pPr>
              <w:spacing w:after="0"/>
              <w:rPr>
                <w:sz w:val="8"/>
                <w:szCs w:val="8"/>
                <w:color w:val="auto"/>
              </w:rPr>
            </w:pPr>
          </w:p>
        </w:tc>
        <w:tc>
          <w:tcPr>
            <w:tcW w:w="60" w:type="dxa"/>
            <w:vAlign w:val="bottom"/>
            <w:tcBorders>
              <w:bottom w:val="single" w:sz="8" w:color="284993"/>
            </w:tcBorders>
          </w:tcPr>
          <w:p>
            <w:pPr>
              <w:spacing w:after="0"/>
              <w:rPr>
                <w:sz w:val="8"/>
                <w:szCs w:val="8"/>
                <w:color w:val="auto"/>
              </w:rPr>
            </w:pPr>
          </w:p>
        </w:tc>
        <w:tc>
          <w:tcPr>
            <w:tcW w:w="20" w:type="dxa"/>
            <w:vAlign w:val="bottom"/>
            <w:tcBorders>
              <w:bottom w:val="single" w:sz="8" w:color="284993"/>
            </w:tcBorders>
          </w:tcPr>
          <w:p>
            <w:pPr>
              <w:spacing w:after="0"/>
              <w:rPr>
                <w:sz w:val="8"/>
                <w:szCs w:val="8"/>
                <w:color w:val="auto"/>
              </w:rPr>
            </w:pPr>
          </w:p>
        </w:tc>
        <w:tc>
          <w:tcPr>
            <w:tcW w:w="80" w:type="dxa"/>
            <w:vAlign w:val="bottom"/>
            <w:tcBorders>
              <w:bottom w:val="single" w:sz="8" w:color="284993"/>
            </w:tcBorders>
          </w:tcPr>
          <w:p>
            <w:pPr>
              <w:spacing w:after="0"/>
              <w:rPr>
                <w:sz w:val="8"/>
                <w:szCs w:val="8"/>
                <w:color w:val="auto"/>
              </w:rPr>
            </w:pPr>
          </w:p>
        </w:tc>
        <w:tc>
          <w:tcPr>
            <w:tcW w:w="40" w:type="dxa"/>
            <w:vAlign w:val="bottom"/>
            <w:tcBorders>
              <w:bottom w:val="single" w:sz="8" w:color="284993"/>
            </w:tcBorders>
          </w:tcPr>
          <w:p>
            <w:pPr>
              <w:spacing w:after="0"/>
              <w:rPr>
                <w:sz w:val="8"/>
                <w:szCs w:val="8"/>
                <w:color w:val="auto"/>
              </w:rPr>
            </w:pPr>
          </w:p>
        </w:tc>
        <w:tc>
          <w:tcPr>
            <w:tcW w:w="320" w:type="dxa"/>
            <w:vAlign w:val="bottom"/>
            <w:tcBorders>
              <w:bottom w:val="single" w:sz="8" w:color="284993"/>
            </w:tcBorders>
          </w:tcPr>
          <w:p>
            <w:pPr>
              <w:spacing w:after="0"/>
              <w:rPr>
                <w:sz w:val="8"/>
                <w:szCs w:val="8"/>
                <w:color w:val="auto"/>
              </w:rPr>
            </w:pPr>
          </w:p>
        </w:tc>
        <w:tc>
          <w:tcPr>
            <w:tcW w:w="120" w:type="dxa"/>
            <w:vAlign w:val="bottom"/>
            <w:tcBorders>
              <w:bottom w:val="single" w:sz="8" w:color="284993"/>
            </w:tcBorders>
          </w:tcPr>
          <w:p>
            <w:pPr>
              <w:spacing w:after="0"/>
              <w:rPr>
                <w:sz w:val="8"/>
                <w:szCs w:val="8"/>
                <w:color w:val="auto"/>
              </w:rPr>
            </w:pPr>
          </w:p>
        </w:tc>
        <w:tc>
          <w:tcPr>
            <w:tcW w:w="60" w:type="dxa"/>
            <w:vAlign w:val="bottom"/>
            <w:tcBorders>
              <w:bottom w:val="single" w:sz="8" w:color="284993"/>
            </w:tcBorders>
          </w:tcPr>
          <w:p>
            <w:pPr>
              <w:spacing w:after="0"/>
              <w:rPr>
                <w:sz w:val="8"/>
                <w:szCs w:val="8"/>
                <w:color w:val="auto"/>
              </w:rPr>
            </w:pPr>
          </w:p>
        </w:tc>
        <w:tc>
          <w:tcPr>
            <w:tcW w:w="320" w:type="dxa"/>
            <w:vAlign w:val="bottom"/>
            <w:tcBorders>
              <w:bottom w:val="single" w:sz="8" w:color="284993"/>
            </w:tcBorders>
          </w:tcPr>
          <w:p>
            <w:pPr>
              <w:spacing w:after="0"/>
              <w:rPr>
                <w:sz w:val="8"/>
                <w:szCs w:val="8"/>
                <w:color w:val="auto"/>
              </w:rPr>
            </w:pPr>
          </w:p>
        </w:tc>
        <w:tc>
          <w:tcPr>
            <w:tcW w:w="20" w:type="dxa"/>
            <w:vAlign w:val="bottom"/>
            <w:tcBorders>
              <w:bottom w:val="single" w:sz="8" w:color="284993"/>
            </w:tcBorders>
          </w:tcPr>
          <w:p>
            <w:pPr>
              <w:spacing w:after="0"/>
              <w:rPr>
                <w:sz w:val="8"/>
                <w:szCs w:val="8"/>
                <w:color w:val="auto"/>
              </w:rPr>
            </w:pPr>
          </w:p>
        </w:tc>
        <w:tc>
          <w:tcPr>
            <w:tcW w:w="1260" w:type="dxa"/>
            <w:vAlign w:val="bottom"/>
            <w:tcBorders>
              <w:bottom w:val="single" w:sz="8" w:color="284993"/>
            </w:tcBorders>
          </w:tcPr>
          <w:p>
            <w:pPr>
              <w:spacing w:after="0"/>
              <w:rPr>
                <w:sz w:val="8"/>
                <w:szCs w:val="8"/>
                <w:color w:val="auto"/>
              </w:rPr>
            </w:pPr>
          </w:p>
        </w:tc>
        <w:tc>
          <w:tcPr>
            <w:tcW w:w="500" w:type="dxa"/>
            <w:vAlign w:val="bottom"/>
            <w:tcBorders>
              <w:bottom w:val="single" w:sz="8" w:color="284993"/>
            </w:tcBorders>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300" w:type="dxa"/>
            <w:vAlign w:val="bottom"/>
          </w:tcPr>
          <w:p>
            <w:pPr>
              <w:ind w:left="260"/>
              <w:spacing w:after="0" w:line="182" w:lineRule="exact"/>
              <w:rPr>
                <w:sz w:val="20"/>
                <w:szCs w:val="20"/>
                <w:color w:val="auto"/>
              </w:rPr>
            </w:pPr>
            <w:r>
              <w:rPr>
                <w:rFonts w:ascii="Arial" w:cs="Arial" w:eastAsia="Arial" w:hAnsi="Arial"/>
                <w:sz w:val="21"/>
                <w:szCs w:val="21"/>
                <w:color w:val="284993"/>
              </w:rPr>
              <w:t>Director Compensation</w:t>
            </w:r>
          </w:p>
        </w:tc>
        <w:tc>
          <w:tcPr>
            <w:tcW w:w="160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96"/>
              </w:rPr>
              <w:t>Director Compensation</w:t>
            </w:r>
          </w:p>
        </w:tc>
        <w:tc>
          <w:tcPr>
            <w:tcW w:w="2920" w:type="dxa"/>
            <w:vAlign w:val="bottom"/>
            <w:gridSpan w:val="16"/>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0000EE"/>
            </w:tcBorders>
            <w:gridSpan w:val="2"/>
          </w:tcPr>
          <w:p>
            <w:pPr>
              <w:spacing w:after="0" w:line="161" w:lineRule="exact"/>
              <w:rPr>
                <w:sz w:val="20"/>
                <w:szCs w:val="20"/>
                <w:color w:val="auto"/>
              </w:rPr>
            </w:pPr>
            <w:r>
              <w:rPr>
                <w:rFonts w:ascii="Arial" w:cs="Arial" w:eastAsia="Arial" w:hAnsi="Arial"/>
                <w:sz w:val="16"/>
                <w:szCs w:val="16"/>
                <w:color w:val="0000EE"/>
                <w:w w:val="95"/>
              </w:rPr>
              <w:t>Retainer Fees</w:t>
            </w:r>
          </w:p>
        </w:tc>
        <w:tc>
          <w:tcPr>
            <w:tcW w:w="3220" w:type="dxa"/>
            <w:vAlign w:val="bottom"/>
            <w:gridSpan w:val="21"/>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gridSpan w:val="23"/>
          </w:tcPr>
          <w:p>
            <w:pPr>
              <w:spacing w:after="0" w:line="161" w:lineRule="exact"/>
              <w:rPr>
                <w:sz w:val="20"/>
                <w:szCs w:val="20"/>
                <w:color w:val="auto"/>
              </w:rPr>
            </w:pPr>
            <w:r>
              <w:rPr>
                <w:rFonts w:ascii="Arial" w:cs="Arial" w:eastAsia="Arial" w:hAnsi="Arial"/>
                <w:sz w:val="16"/>
                <w:szCs w:val="16"/>
                <w:color w:val="0000EE"/>
              </w:rPr>
              <w:t>Equity-Based Compensation</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1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5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25</w:t>
            </w:r>
          </w:p>
        </w:tc>
        <w:tc>
          <w:tcPr>
            <w:tcW w:w="0" w:type="dxa"/>
            <w:vAlign w:val="bottom"/>
          </w:tcPr>
          <w:p>
            <w:pPr>
              <w:spacing w:after="0" w:line="20" w:lineRule="exact"/>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Borders>
              <w:bottom w:val="single" w:sz="8" w:color="0000EE"/>
            </w:tcBorders>
            <w:gridSpan w:val="15"/>
          </w:tcPr>
          <w:p>
            <w:pPr>
              <w:spacing w:after="0" w:line="161" w:lineRule="exact"/>
              <w:rPr>
                <w:sz w:val="20"/>
                <w:szCs w:val="20"/>
                <w:color w:val="auto"/>
              </w:rPr>
            </w:pPr>
            <w:r>
              <w:rPr>
                <w:rFonts w:ascii="Arial" w:cs="Arial" w:eastAsia="Arial" w:hAnsi="Arial"/>
                <w:sz w:val="16"/>
                <w:szCs w:val="16"/>
                <w:color w:val="0000EE"/>
                <w:w w:val="96"/>
              </w:rPr>
              <w:t>2022 Director Compensation</w:t>
            </w:r>
          </w:p>
        </w:tc>
        <w:tc>
          <w:tcPr>
            <w:tcW w:w="2220" w:type="dxa"/>
            <w:vAlign w:val="bottom"/>
            <w:gridSpan w:val="8"/>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gridSpan w:val="23"/>
          </w:tcPr>
          <w:p>
            <w:pPr>
              <w:spacing w:after="0" w:line="161" w:lineRule="exact"/>
              <w:rPr>
                <w:sz w:val="20"/>
                <w:szCs w:val="20"/>
                <w:color w:val="auto"/>
              </w:rPr>
            </w:pPr>
            <w:r>
              <w:rPr>
                <w:rFonts w:ascii="Arial" w:cs="Arial" w:eastAsia="Arial" w:hAnsi="Arial"/>
                <w:sz w:val="16"/>
                <w:szCs w:val="16"/>
                <w:color w:val="0000EE"/>
              </w:rPr>
              <w:t>Director Stock Ownership Guidelines</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35"/>
        </w:trPr>
        <w:tc>
          <w:tcPr>
            <w:tcW w:w="4300" w:type="dxa"/>
            <w:vAlign w:val="bottom"/>
            <w:tcBorders>
              <w:bottom w:val="single" w:sz="8" w:color="284993"/>
            </w:tcBorders>
          </w:tcPr>
          <w:p>
            <w:pPr>
              <w:spacing w:after="0"/>
              <w:rPr>
                <w:sz w:val="11"/>
                <w:szCs w:val="11"/>
                <w:color w:val="auto"/>
              </w:rPr>
            </w:pPr>
          </w:p>
        </w:tc>
        <w:tc>
          <w:tcPr>
            <w:tcW w:w="320" w:type="dxa"/>
            <w:vAlign w:val="bottom"/>
            <w:tcBorders>
              <w:bottom w:val="single" w:sz="8" w:color="284993"/>
            </w:tcBorders>
          </w:tcPr>
          <w:p>
            <w:pPr>
              <w:spacing w:after="0"/>
              <w:rPr>
                <w:sz w:val="11"/>
                <w:szCs w:val="11"/>
                <w:color w:val="auto"/>
              </w:rPr>
            </w:pPr>
          </w:p>
        </w:tc>
        <w:tc>
          <w:tcPr>
            <w:tcW w:w="540" w:type="dxa"/>
            <w:vAlign w:val="bottom"/>
            <w:tcBorders>
              <w:top w:val="single" w:sz="8" w:color="0000EE"/>
              <w:bottom w:val="single" w:sz="8" w:color="284993"/>
            </w:tcBorders>
          </w:tcPr>
          <w:p>
            <w:pPr>
              <w:spacing w:after="0"/>
              <w:rPr>
                <w:sz w:val="11"/>
                <w:szCs w:val="11"/>
                <w:color w:val="auto"/>
              </w:rPr>
            </w:pPr>
          </w:p>
        </w:tc>
        <w:tc>
          <w:tcPr>
            <w:tcW w:w="440" w:type="dxa"/>
            <w:vAlign w:val="bottom"/>
            <w:tcBorders>
              <w:top w:val="single" w:sz="8" w:color="0000EE"/>
              <w:bottom w:val="single" w:sz="8" w:color="284993"/>
            </w:tcBorders>
          </w:tcPr>
          <w:p>
            <w:pPr>
              <w:spacing w:after="0"/>
              <w:rPr>
                <w:sz w:val="11"/>
                <w:szCs w:val="11"/>
                <w:color w:val="auto"/>
              </w:rPr>
            </w:pPr>
          </w:p>
        </w:tc>
        <w:tc>
          <w:tcPr>
            <w:tcW w:w="40" w:type="dxa"/>
            <w:vAlign w:val="bottom"/>
            <w:tcBorders>
              <w:top w:val="single" w:sz="8" w:color="0000EE"/>
              <w:bottom w:val="single" w:sz="8" w:color="284993"/>
            </w:tcBorders>
          </w:tcPr>
          <w:p>
            <w:pPr>
              <w:spacing w:after="0"/>
              <w:rPr>
                <w:sz w:val="11"/>
                <w:szCs w:val="11"/>
                <w:color w:val="auto"/>
              </w:rPr>
            </w:pPr>
          </w:p>
        </w:tc>
        <w:tc>
          <w:tcPr>
            <w:tcW w:w="20" w:type="dxa"/>
            <w:vAlign w:val="bottom"/>
            <w:tcBorders>
              <w:top w:val="single" w:sz="8" w:color="0000EE"/>
              <w:bottom w:val="single" w:sz="8" w:color="284993"/>
            </w:tcBorders>
          </w:tcPr>
          <w:p>
            <w:pPr>
              <w:spacing w:after="0"/>
              <w:rPr>
                <w:sz w:val="11"/>
                <w:szCs w:val="11"/>
                <w:color w:val="auto"/>
              </w:rPr>
            </w:pPr>
          </w:p>
        </w:tc>
        <w:tc>
          <w:tcPr>
            <w:tcW w:w="180" w:type="dxa"/>
            <w:vAlign w:val="bottom"/>
            <w:tcBorders>
              <w:top w:val="single" w:sz="8" w:color="0000EE"/>
              <w:bottom w:val="single" w:sz="8" w:color="284993"/>
            </w:tcBorders>
          </w:tcPr>
          <w:p>
            <w:pPr>
              <w:spacing w:after="0"/>
              <w:rPr>
                <w:sz w:val="11"/>
                <w:szCs w:val="11"/>
                <w:color w:val="auto"/>
              </w:rPr>
            </w:pPr>
          </w:p>
        </w:tc>
        <w:tc>
          <w:tcPr>
            <w:tcW w:w="40" w:type="dxa"/>
            <w:vAlign w:val="bottom"/>
            <w:tcBorders>
              <w:top w:val="single" w:sz="8" w:color="0000EE"/>
              <w:bottom w:val="single" w:sz="8" w:color="284993"/>
            </w:tcBorders>
          </w:tcPr>
          <w:p>
            <w:pPr>
              <w:spacing w:after="0"/>
              <w:rPr>
                <w:sz w:val="11"/>
                <w:szCs w:val="11"/>
                <w:color w:val="auto"/>
              </w:rPr>
            </w:pPr>
          </w:p>
        </w:tc>
        <w:tc>
          <w:tcPr>
            <w:tcW w:w="20" w:type="dxa"/>
            <w:vAlign w:val="bottom"/>
            <w:tcBorders>
              <w:top w:val="single" w:sz="8" w:color="0000EE"/>
              <w:bottom w:val="single" w:sz="8" w:color="284993"/>
            </w:tcBorders>
          </w:tcPr>
          <w:p>
            <w:pPr>
              <w:spacing w:after="0"/>
              <w:rPr>
                <w:sz w:val="11"/>
                <w:szCs w:val="11"/>
                <w:color w:val="auto"/>
              </w:rPr>
            </w:pPr>
          </w:p>
        </w:tc>
        <w:tc>
          <w:tcPr>
            <w:tcW w:w="2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120" w:type="dxa"/>
            <w:vAlign w:val="bottom"/>
            <w:tcBorders>
              <w:top w:val="single" w:sz="8" w:color="0000EE"/>
              <w:bottom w:val="single" w:sz="8" w:color="284993"/>
            </w:tcBorders>
          </w:tcPr>
          <w:p>
            <w:pPr>
              <w:spacing w:after="0"/>
              <w:rPr>
                <w:sz w:val="11"/>
                <w:szCs w:val="11"/>
                <w:color w:val="auto"/>
              </w:rPr>
            </w:pPr>
          </w:p>
        </w:tc>
        <w:tc>
          <w:tcPr>
            <w:tcW w:w="60" w:type="dxa"/>
            <w:vAlign w:val="bottom"/>
            <w:tcBorders>
              <w:top w:val="single" w:sz="8" w:color="0000EE"/>
              <w:bottom w:val="single" w:sz="8" w:color="284993"/>
            </w:tcBorders>
          </w:tcPr>
          <w:p>
            <w:pPr>
              <w:spacing w:after="0"/>
              <w:rPr>
                <w:sz w:val="11"/>
                <w:szCs w:val="11"/>
                <w:color w:val="auto"/>
              </w:rPr>
            </w:pPr>
          </w:p>
        </w:tc>
        <w:tc>
          <w:tcPr>
            <w:tcW w:w="220" w:type="dxa"/>
            <w:vAlign w:val="bottom"/>
            <w:tcBorders>
              <w:top w:val="single" w:sz="8" w:color="0000EE"/>
              <w:bottom w:val="single" w:sz="8" w:color="284993"/>
            </w:tcBorders>
          </w:tcPr>
          <w:p>
            <w:pPr>
              <w:spacing w:after="0"/>
              <w:rPr>
                <w:sz w:val="11"/>
                <w:szCs w:val="11"/>
                <w:color w:val="auto"/>
              </w:rPr>
            </w:pPr>
          </w:p>
        </w:tc>
        <w:tc>
          <w:tcPr>
            <w:tcW w:w="120" w:type="dxa"/>
            <w:vAlign w:val="bottom"/>
            <w:tcBorders>
              <w:top w:val="single" w:sz="8" w:color="0000EE"/>
              <w:bottom w:val="single" w:sz="8" w:color="284993"/>
            </w:tcBorders>
          </w:tcPr>
          <w:p>
            <w:pPr>
              <w:spacing w:after="0"/>
              <w:rPr>
                <w:sz w:val="11"/>
                <w:szCs w:val="11"/>
                <w:color w:val="auto"/>
              </w:rPr>
            </w:pPr>
          </w:p>
        </w:tc>
        <w:tc>
          <w:tcPr>
            <w:tcW w:w="60" w:type="dxa"/>
            <w:vAlign w:val="bottom"/>
            <w:tcBorders>
              <w:top w:val="single" w:sz="8" w:color="0000EE"/>
              <w:bottom w:val="single" w:sz="8" w:color="284993"/>
            </w:tcBorders>
          </w:tcPr>
          <w:p>
            <w:pPr>
              <w:spacing w:after="0"/>
              <w:rPr>
                <w:sz w:val="11"/>
                <w:szCs w:val="11"/>
                <w:color w:val="auto"/>
              </w:rPr>
            </w:pPr>
          </w:p>
        </w:tc>
        <w:tc>
          <w:tcPr>
            <w:tcW w:w="2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40" w:type="dxa"/>
            <w:vAlign w:val="bottom"/>
            <w:tcBorders>
              <w:top w:val="single" w:sz="8" w:color="0000EE"/>
              <w:bottom w:val="single" w:sz="8" w:color="284993"/>
            </w:tcBorders>
          </w:tcPr>
          <w:p>
            <w:pPr>
              <w:spacing w:after="0"/>
              <w:rPr>
                <w:sz w:val="11"/>
                <w:szCs w:val="11"/>
                <w:color w:val="auto"/>
              </w:rPr>
            </w:pPr>
          </w:p>
        </w:tc>
        <w:tc>
          <w:tcPr>
            <w:tcW w:w="320" w:type="dxa"/>
            <w:vAlign w:val="bottom"/>
            <w:tcBorders>
              <w:top w:val="single" w:sz="8" w:color="0000EE"/>
              <w:bottom w:val="single" w:sz="8" w:color="284993"/>
            </w:tcBorders>
          </w:tcPr>
          <w:p>
            <w:pPr>
              <w:spacing w:after="0"/>
              <w:rPr>
                <w:sz w:val="11"/>
                <w:szCs w:val="11"/>
                <w:color w:val="auto"/>
              </w:rPr>
            </w:pPr>
          </w:p>
        </w:tc>
        <w:tc>
          <w:tcPr>
            <w:tcW w:w="120" w:type="dxa"/>
            <w:vAlign w:val="bottom"/>
            <w:tcBorders>
              <w:top w:val="single" w:sz="8" w:color="0000EE"/>
              <w:bottom w:val="single" w:sz="8" w:color="284993"/>
            </w:tcBorders>
          </w:tcPr>
          <w:p>
            <w:pPr>
              <w:spacing w:after="0"/>
              <w:rPr>
                <w:sz w:val="11"/>
                <w:szCs w:val="11"/>
                <w:color w:val="auto"/>
              </w:rPr>
            </w:pPr>
          </w:p>
        </w:tc>
        <w:tc>
          <w:tcPr>
            <w:tcW w:w="60" w:type="dxa"/>
            <w:vAlign w:val="bottom"/>
            <w:tcBorders>
              <w:bottom w:val="single" w:sz="8" w:color="284993"/>
            </w:tcBorders>
          </w:tcPr>
          <w:p>
            <w:pPr>
              <w:spacing w:after="0"/>
              <w:rPr>
                <w:sz w:val="11"/>
                <w:szCs w:val="11"/>
                <w:color w:val="auto"/>
              </w:rPr>
            </w:pPr>
          </w:p>
        </w:tc>
        <w:tc>
          <w:tcPr>
            <w:tcW w:w="320" w:type="dxa"/>
            <w:vAlign w:val="bottom"/>
            <w:tcBorders>
              <w:bottom w:val="single" w:sz="8" w:color="284993"/>
            </w:tcBorders>
          </w:tcPr>
          <w:p>
            <w:pPr>
              <w:spacing w:after="0"/>
              <w:rPr>
                <w:sz w:val="11"/>
                <w:szCs w:val="11"/>
                <w:color w:val="auto"/>
              </w:rPr>
            </w:pPr>
          </w:p>
        </w:tc>
        <w:tc>
          <w:tcPr>
            <w:tcW w:w="20" w:type="dxa"/>
            <w:vAlign w:val="bottom"/>
            <w:tcBorders>
              <w:bottom w:val="single" w:sz="8" w:color="284993"/>
            </w:tcBorders>
          </w:tcPr>
          <w:p>
            <w:pPr>
              <w:spacing w:after="0"/>
              <w:rPr>
                <w:sz w:val="11"/>
                <w:szCs w:val="11"/>
                <w:color w:val="auto"/>
              </w:rPr>
            </w:pPr>
          </w:p>
        </w:tc>
        <w:tc>
          <w:tcPr>
            <w:tcW w:w="1260" w:type="dxa"/>
            <w:vAlign w:val="bottom"/>
            <w:tcBorders>
              <w:bottom w:val="single" w:sz="8" w:color="284993"/>
            </w:tcBorders>
          </w:tcPr>
          <w:p>
            <w:pPr>
              <w:spacing w:after="0"/>
              <w:rPr>
                <w:sz w:val="11"/>
                <w:szCs w:val="11"/>
                <w:color w:val="auto"/>
              </w:rPr>
            </w:pPr>
          </w:p>
        </w:tc>
        <w:tc>
          <w:tcPr>
            <w:tcW w:w="500" w:type="dxa"/>
            <w:vAlign w:val="bottom"/>
            <w:tcBorders>
              <w:bottom w:val="single" w:sz="8" w:color="284993"/>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300" w:type="dxa"/>
            <w:vAlign w:val="bottom"/>
          </w:tcPr>
          <w:p>
            <w:pPr>
              <w:ind w:left="260"/>
              <w:spacing w:after="0" w:line="182" w:lineRule="exact"/>
              <w:rPr>
                <w:sz w:val="20"/>
                <w:szCs w:val="20"/>
                <w:color w:val="auto"/>
              </w:rPr>
            </w:pPr>
            <w:r>
              <w:rPr>
                <w:rFonts w:ascii="Arial" w:cs="Arial" w:eastAsia="Arial" w:hAnsi="Arial"/>
                <w:sz w:val="21"/>
                <w:szCs w:val="21"/>
                <w:color w:val="284993"/>
              </w:rPr>
              <w:t>Report of the Audit Committee</w:t>
            </w:r>
          </w:p>
        </w:tc>
        <w:tc>
          <w:tcPr>
            <w:tcW w:w="210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w w:val="96"/>
              </w:rPr>
              <w:t>Report of the Audit Committee</w:t>
            </w:r>
          </w:p>
        </w:tc>
        <w:tc>
          <w:tcPr>
            <w:tcW w:w="2420" w:type="dxa"/>
            <w:vAlign w:val="bottom"/>
            <w:gridSpan w:val="11"/>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189230</wp:posOffset>
            </wp:positionV>
            <wp:extent cx="5920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ectPr>
          <w:pgSz w:w="11900" w:h="16838" w:orient="portrait"/>
          <w:cols w:equalWidth="0" w:num="1">
            <w:col w:w="9320"/>
          </w:cols>
          <w:pgMar w:left="1280" w:top="281" w:right="1299" w:bottom="1440" w:gutter="0" w:footer="0" w:header="0"/>
        </w:sectPr>
      </w:pPr>
    </w:p>
    <w:p>
      <w:pPr>
        <w:spacing w:after="0" w:line="327" w:lineRule="exact"/>
        <w:rPr>
          <w:sz w:val="20"/>
          <w:szCs w:val="20"/>
          <w:color w:val="auto"/>
        </w:rPr>
      </w:pPr>
    </w:p>
    <w:p>
      <w:pPr>
        <w:ind w:left="260" w:right="20"/>
        <w:spacing w:after="0" w:line="260" w:lineRule="auto"/>
        <w:rPr>
          <w:sz w:val="20"/>
          <w:szCs w:val="20"/>
          <w:color w:val="auto"/>
        </w:rPr>
      </w:pPr>
      <w:r>
        <w:rPr>
          <w:rFonts w:ascii="Arial" w:cs="Arial" w:eastAsia="Arial" w:hAnsi="Arial"/>
          <w:sz w:val="24"/>
          <w:szCs w:val="24"/>
          <w:color w:val="284993"/>
        </w:rPr>
        <w:t>Proposal 2 — Ratification of Appointment of ACI’s Independent Registered Public Accounting Firm</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6"/>
              </w:rPr>
              <w:t>Proposal 2 — Ratification of Appointment of ACI’s Independent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4180" w:type="dxa"/>
            <w:vAlign w:val="bottom"/>
            <w:gridSpan w:val="6"/>
          </w:tcPr>
          <w:p>
            <w:pPr>
              <w:spacing w:after="0" w:line="161" w:lineRule="exact"/>
              <w:rPr>
                <w:sz w:val="20"/>
                <w:szCs w:val="20"/>
                <w:color w:val="auto"/>
              </w:rPr>
            </w:pPr>
            <w:r>
              <w:rPr>
                <w:rFonts w:ascii="Arial" w:cs="Arial" w:eastAsia="Arial" w:hAnsi="Arial"/>
                <w:sz w:val="16"/>
                <w:szCs w:val="16"/>
                <w:color w:val="0000EE"/>
              </w:rPr>
              <w:t>Registered Public Accounting Firm</w:t>
            </w: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6"/>
              </w:rPr>
              <w:t>Independent Registered Public Accounting Firm Fees</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gridSpan w:val="5"/>
          </w:tcPr>
          <w:p>
            <w:pPr>
              <w:spacing w:after="0"/>
              <w:rPr>
                <w:sz w:val="20"/>
                <w:szCs w:val="20"/>
                <w:color w:val="auto"/>
              </w:rPr>
            </w:pPr>
            <w:r>
              <w:rPr>
                <w:rFonts w:ascii="Arial" w:cs="Arial" w:eastAsia="Arial" w:hAnsi="Arial"/>
                <w:sz w:val="16"/>
                <w:szCs w:val="16"/>
                <w:color w:val="0000EE"/>
              </w:rPr>
              <w:t>Pre-Approval of Audit and Non-Audit Services</w:t>
            </w:r>
          </w:p>
        </w:tc>
        <w:tc>
          <w:tcPr>
            <w:tcW w:w="6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0000EE"/>
              </w:rPr>
              <w:t>Vote Required</w:t>
            </w:r>
          </w:p>
        </w:tc>
        <w:tc>
          <w:tcPr>
            <w:tcW w:w="880" w:type="dxa"/>
            <w:vAlign w:val="bottom"/>
            <w:gridSpan w:val="2"/>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147955</wp:posOffset>
            </wp:positionV>
            <wp:extent cx="5920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3580" w:space="720"/>
            <w:col w:w="5020"/>
          </w:cols>
          <w:pgMar w:left="1280" w:top="281" w:right="1299" w:bottom="1440" w:gutter="0" w:footer="0" w:header="0"/>
          <w:type w:val="continuous"/>
        </w:sectPr>
      </w:pPr>
    </w:p>
    <w:p>
      <w:pPr>
        <w:ind w:left="260"/>
        <w:spacing w:after="0" w:line="267" w:lineRule="auto"/>
        <w:rPr>
          <w:sz w:val="20"/>
          <w:szCs w:val="20"/>
          <w:color w:val="auto"/>
        </w:rPr>
      </w:pPr>
      <w:r>
        <w:rPr>
          <w:rFonts w:ascii="Arial" w:cs="Arial" w:eastAsia="Arial" w:hAnsi="Arial"/>
          <w:sz w:val="24"/>
          <w:szCs w:val="24"/>
          <w:color w:val="284993"/>
        </w:rPr>
        <w:t>Proposal 3 — Advisory Vote to Approve Named Executive Officer Compensation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6"/>
              </w:rPr>
              <w:t>Proposal 3 — Advisory Vote to Approve Named Executive Officer</w:t>
            </w:r>
          </w:p>
        </w:tc>
        <w:tc>
          <w:tcPr>
            <w:tcW w:w="14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4480" w:type="dxa"/>
            <w:vAlign w:val="bottom"/>
            <w:gridSpan w:val="5"/>
          </w:tcPr>
          <w:p>
            <w:pPr>
              <w:spacing w:after="0" w:line="161" w:lineRule="exact"/>
              <w:rPr>
                <w:sz w:val="20"/>
                <w:szCs w:val="20"/>
                <w:color w:val="auto"/>
              </w:rPr>
            </w:pPr>
            <w:r>
              <w:rPr>
                <w:rFonts w:ascii="Arial" w:cs="Arial" w:eastAsia="Arial" w:hAnsi="Arial"/>
                <w:sz w:val="16"/>
                <w:szCs w:val="16"/>
                <w:color w:val="0000EE"/>
              </w:rPr>
              <w:t>Compensation</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gridSpan w:val="4"/>
          </w:tcPr>
          <w:p>
            <w:pPr>
              <w:spacing w:after="0"/>
              <w:rPr>
                <w:sz w:val="20"/>
                <w:szCs w:val="20"/>
                <w:color w:val="auto"/>
              </w:rPr>
            </w:pPr>
            <w:r>
              <w:rPr>
                <w:rFonts w:ascii="Arial" w:cs="Arial" w:eastAsia="Arial" w:hAnsi="Arial"/>
                <w:sz w:val="16"/>
                <w:szCs w:val="16"/>
                <w:color w:val="0000EE"/>
              </w:rPr>
              <w:t>Advisory Vote</w:t>
            </w:r>
          </w:p>
        </w:tc>
        <w:tc>
          <w:tcPr>
            <w:tcW w:w="3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gridSpan w:val="4"/>
          </w:tcPr>
          <w:p>
            <w:pPr>
              <w:spacing w:after="0"/>
              <w:rPr>
                <w:sz w:val="20"/>
                <w:szCs w:val="20"/>
                <w:color w:val="auto"/>
              </w:rPr>
            </w:pPr>
            <w:r>
              <w:rPr>
                <w:rFonts w:ascii="Arial" w:cs="Arial" w:eastAsia="Arial" w:hAnsi="Arial"/>
                <w:sz w:val="16"/>
                <w:szCs w:val="16"/>
                <w:color w:val="0000EE"/>
              </w:rPr>
              <w:t>Vote Required</w:t>
            </w:r>
          </w:p>
        </w:tc>
        <w:tc>
          <w:tcPr>
            <w:tcW w:w="3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139700</wp:posOffset>
            </wp:positionV>
            <wp:extent cx="59207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3900" w:space="400"/>
            <w:col w:w="5020"/>
          </w:cols>
          <w:pgMar w:left="1280" w:top="281" w:right="1299" w:bottom="1440" w:gutter="0" w:footer="0" w:header="0"/>
          <w:type w:val="continuous"/>
        </w:sectPr>
      </w:pPr>
    </w:p>
    <w:p>
      <w:pPr>
        <w:ind w:left="260"/>
        <w:spacing w:after="0" w:line="260" w:lineRule="auto"/>
        <w:rPr>
          <w:sz w:val="20"/>
          <w:szCs w:val="20"/>
          <w:color w:val="auto"/>
        </w:rPr>
      </w:pPr>
      <w:r>
        <w:rPr>
          <w:rFonts w:ascii="Arial" w:cs="Arial" w:eastAsia="Arial" w:hAnsi="Arial"/>
          <w:sz w:val="24"/>
          <w:szCs w:val="24"/>
          <w:color w:val="284993"/>
        </w:rPr>
        <w:t>Proposal 4 — Advisory Vote on the Frequency of Future Advisory Votes on Executive Compensation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6"/>
              </w:rPr>
              <w:t>Proposal 4 — Advisory Vote on the Frequency of Future Advisory</w:t>
            </w:r>
          </w:p>
        </w:tc>
        <w:tc>
          <w:tcPr>
            <w:tcW w:w="14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4480" w:type="dxa"/>
            <w:vAlign w:val="bottom"/>
            <w:gridSpan w:val="5"/>
          </w:tcPr>
          <w:p>
            <w:pPr>
              <w:spacing w:after="0" w:line="161" w:lineRule="exact"/>
              <w:rPr>
                <w:sz w:val="20"/>
                <w:szCs w:val="20"/>
                <w:color w:val="auto"/>
              </w:rPr>
            </w:pPr>
            <w:r>
              <w:rPr>
                <w:rFonts w:ascii="Arial" w:cs="Arial" w:eastAsia="Arial" w:hAnsi="Arial"/>
                <w:sz w:val="16"/>
                <w:szCs w:val="16"/>
                <w:color w:val="0000EE"/>
              </w:rPr>
              <w:t>Votes on Executive Compensation</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0000EE"/>
              </w:rPr>
              <w:t>Advisory Vote</w:t>
            </w:r>
          </w:p>
        </w:tc>
        <w:tc>
          <w:tcPr>
            <w:tcW w:w="2120" w:type="dxa"/>
            <w:vAlign w:val="bottom"/>
            <w:gridSpan w:val="2"/>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20" w:type="dxa"/>
            <w:vAlign w:val="bottom"/>
            <w:gridSpan w:val="4"/>
          </w:tcPr>
          <w:p>
            <w:pPr>
              <w:spacing w:after="0"/>
              <w:rPr>
                <w:sz w:val="20"/>
                <w:szCs w:val="20"/>
                <w:color w:val="auto"/>
              </w:rPr>
            </w:pPr>
            <w:r>
              <w:rPr>
                <w:rFonts w:ascii="Arial" w:cs="Arial" w:eastAsia="Arial" w:hAnsi="Arial"/>
                <w:sz w:val="16"/>
                <w:szCs w:val="16"/>
                <w:color w:val="0000EE"/>
              </w:rPr>
              <w:t>Vote Required</w:t>
            </w:r>
          </w:p>
        </w:tc>
        <w:tc>
          <w:tcPr>
            <w:tcW w:w="3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156210</wp:posOffset>
            </wp:positionV>
            <wp:extent cx="5920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391" w:lineRule="exact"/>
        <w:rPr>
          <w:sz w:val="20"/>
          <w:szCs w:val="20"/>
          <w:color w:val="auto"/>
        </w:rPr>
      </w:pPr>
    </w:p>
    <w:p>
      <w:pPr>
        <w:sectPr>
          <w:pgSz w:w="11900" w:h="16838" w:orient="portrait"/>
          <w:cols w:equalWidth="0" w:num="2">
            <w:col w:w="3840" w:space="460"/>
            <w:col w:w="5020"/>
          </w:cols>
          <w:pgMar w:left="1280" w:top="281" w:right="1299" w:bottom="1440" w:gutter="0" w:footer="0" w:header="0"/>
          <w:type w:val="continuous"/>
        </w:sectPr>
      </w:pPr>
    </w:p>
    <w:p>
      <w:pPr>
        <w:ind w:left="7520"/>
        <w:spacing w:after="0"/>
        <w:rPr>
          <w:sz w:val="20"/>
          <w:szCs w:val="20"/>
          <w:color w:val="auto"/>
        </w:rPr>
      </w:pPr>
      <w:r>
        <w:rPr>
          <w:rFonts w:ascii="Arial" w:cs="Arial" w:eastAsia="Arial" w:hAnsi="Arial"/>
          <w:sz w:val="13"/>
          <w:szCs w:val="13"/>
          <w:color w:val="auto"/>
        </w:rPr>
        <w:t xml:space="preserve">2023 PROXY STATEMENT </w:t>
      </w:r>
      <w:r>
        <w:rPr>
          <w:rFonts w:ascii="Arial" w:cs="Arial" w:eastAsia="Arial" w:hAnsi="Arial"/>
          <w:sz w:val="13"/>
          <w:szCs w:val="13"/>
          <w:b w:val="1"/>
          <w:bCs w:val="1"/>
          <w:color w:val="284993"/>
        </w:rPr>
        <w:t>i</w:t>
      </w:r>
    </w:p>
    <w:p>
      <w:pPr>
        <w:sectPr>
          <w:pgSz w:w="11900" w:h="16838" w:orient="portrait"/>
          <w:cols w:equalWidth="0" w:num="1">
            <w:col w:w="9320"/>
          </w:cols>
          <w:pgMar w:left="1280" w:top="281" w:right="12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9"/>
        </w:trPr>
        <w:tc>
          <w:tcPr>
            <w:tcW w:w="4020" w:type="dxa"/>
            <w:vAlign w:val="bottom"/>
          </w:tcPr>
          <w:p>
            <w:pPr>
              <w:ind w:left="260"/>
              <w:spacing w:after="0"/>
              <w:rPr>
                <w:sz w:val="20"/>
                <w:szCs w:val="20"/>
                <w:color w:val="auto"/>
              </w:rPr>
            </w:pPr>
            <w:r>
              <w:rPr>
                <w:rFonts w:ascii="Arial" w:cs="Arial" w:eastAsia="Arial" w:hAnsi="Arial"/>
                <w:sz w:val="24"/>
                <w:szCs w:val="24"/>
                <w:color w:val="284993"/>
              </w:rPr>
              <w:t>Proposal 5 — Approval of the</w:t>
            </w:r>
          </w:p>
        </w:tc>
        <w:tc>
          <w:tcPr>
            <w:tcW w:w="4860" w:type="dxa"/>
            <w:vAlign w:val="bottom"/>
            <w:gridSpan w:val="17"/>
          </w:tcPr>
          <w:p>
            <w:pPr>
              <w:ind w:left="280"/>
              <w:spacing w:after="0"/>
              <w:rPr>
                <w:sz w:val="20"/>
                <w:szCs w:val="20"/>
                <w:color w:val="auto"/>
              </w:rPr>
            </w:pPr>
            <w:r>
              <w:rPr>
                <w:rFonts w:ascii="Arial" w:cs="Arial" w:eastAsia="Arial" w:hAnsi="Arial"/>
                <w:sz w:val="16"/>
                <w:szCs w:val="16"/>
                <w:color w:val="0000EE"/>
                <w:w w:val="96"/>
              </w:rPr>
              <w:t>Proposal 5 — Approval of the Amendment and Restatement of the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20" w:type="dxa"/>
            <w:vAlign w:val="bottom"/>
            <w:vMerge w:val="restart"/>
          </w:tcPr>
          <w:p>
            <w:pPr>
              <w:ind w:left="260"/>
              <w:spacing w:after="0"/>
              <w:rPr>
                <w:sz w:val="20"/>
                <w:szCs w:val="20"/>
                <w:color w:val="auto"/>
              </w:rPr>
            </w:pPr>
            <w:r>
              <w:rPr>
                <w:rFonts w:ascii="Arial" w:cs="Arial" w:eastAsia="Arial" w:hAnsi="Arial"/>
                <w:sz w:val="24"/>
                <w:szCs w:val="24"/>
                <w:color w:val="284993"/>
              </w:rPr>
              <w:t>Amendment and Restatement of</w:t>
            </w:r>
          </w:p>
        </w:tc>
        <w:tc>
          <w:tcPr>
            <w:tcW w:w="28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240" w:type="dxa"/>
            <w:vAlign w:val="bottom"/>
            <w:tcBorders>
              <w:top w:val="single" w:sz="8" w:color="0000EE"/>
              <w:bottom w:val="single" w:sz="8" w:color="0000EE"/>
            </w:tcBorders>
            <w:gridSpan w:val="13"/>
          </w:tcPr>
          <w:p>
            <w:pPr>
              <w:spacing w:after="0" w:line="161" w:lineRule="exact"/>
              <w:rPr>
                <w:sz w:val="20"/>
                <w:szCs w:val="20"/>
                <w:color w:val="auto"/>
              </w:rPr>
            </w:pPr>
            <w:r>
              <w:rPr>
                <w:rFonts w:ascii="Arial" w:cs="Arial" w:eastAsia="Arial" w:hAnsi="Arial"/>
                <w:sz w:val="16"/>
                <w:szCs w:val="16"/>
                <w:color w:val="0000EE"/>
                <w:w w:val="96"/>
              </w:rPr>
              <w:t>ACI Worldwide, Inc. 2020 Equity and Incentive Compensation</w:t>
            </w:r>
          </w:p>
        </w:tc>
        <w:tc>
          <w:tcPr>
            <w:tcW w:w="180" w:type="dxa"/>
            <w:vAlign w:val="bottom"/>
            <w:tcBorders>
              <w:top w:val="single" w:sz="8" w:color="0000EE"/>
            </w:tcBorders>
            <w:gridSpan w:val="2"/>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61"/>
        </w:trPr>
        <w:tc>
          <w:tcPr>
            <w:tcW w:w="4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0000EE"/>
            </w:tcBorders>
            <w:gridSpan w:val="2"/>
          </w:tcPr>
          <w:p>
            <w:pPr>
              <w:spacing w:after="0" w:line="161" w:lineRule="exact"/>
              <w:rPr>
                <w:sz w:val="20"/>
                <w:szCs w:val="20"/>
                <w:color w:val="auto"/>
              </w:rPr>
            </w:pPr>
            <w:r>
              <w:rPr>
                <w:rFonts w:ascii="Arial" w:cs="Arial" w:eastAsia="Arial" w:hAnsi="Arial"/>
                <w:sz w:val="16"/>
                <w:szCs w:val="16"/>
                <w:color w:val="0000EE"/>
                <w:w w:val="93"/>
              </w:rPr>
              <w:t>Plan</w:t>
            </w:r>
          </w:p>
        </w:tc>
        <w:tc>
          <w:tcPr>
            <w:tcW w:w="4100" w:type="dxa"/>
            <w:vAlign w:val="bottom"/>
            <w:gridSpan w:val="13"/>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vMerge w:val="restart"/>
          </w:tcPr>
          <w:p>
            <w:pPr>
              <w:ind w:left="260"/>
              <w:spacing w:after="0"/>
              <w:rPr>
                <w:sz w:val="20"/>
                <w:szCs w:val="20"/>
                <w:color w:val="auto"/>
              </w:rPr>
            </w:pPr>
            <w:r>
              <w:rPr>
                <w:rFonts w:ascii="Arial" w:cs="Arial" w:eastAsia="Arial" w:hAnsi="Arial"/>
                <w:sz w:val="24"/>
                <w:szCs w:val="24"/>
                <w:color w:val="284993"/>
              </w:rPr>
              <w:t>the ACI Worldwide, Inc. 2020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40" w:type="dxa"/>
            <w:vAlign w:val="bottom"/>
            <w:gridSpan w:val="14"/>
          </w:tcPr>
          <w:p>
            <w:pPr>
              <w:spacing w:after="0" w:line="161" w:lineRule="exact"/>
              <w:rPr>
                <w:sz w:val="20"/>
                <w:szCs w:val="20"/>
                <w:color w:val="auto"/>
              </w:rPr>
            </w:pPr>
            <w:r>
              <w:rPr>
                <w:rFonts w:ascii="Arial" w:cs="Arial" w:eastAsia="Arial" w:hAnsi="Arial"/>
                <w:sz w:val="16"/>
                <w:szCs w:val="16"/>
                <w:color w:val="0000EE"/>
              </w:rPr>
              <w:t>Overview</w:t>
            </w:r>
          </w:p>
        </w:tc>
        <w:tc>
          <w:tcPr>
            <w:tcW w:w="440" w:type="dxa"/>
            <w:vAlign w:val="bottom"/>
          </w:tcPr>
          <w:p>
            <w:pPr>
              <w:jc w:val="right"/>
              <w:spacing w:after="0" w:line="161"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40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restart"/>
          </w:tcPr>
          <w:p>
            <w:pPr>
              <w:jc w:val="right"/>
              <w:spacing w:after="0" w:line="168" w:lineRule="exact"/>
              <w:rPr>
                <w:sz w:val="20"/>
                <w:szCs w:val="20"/>
                <w:color w:val="auto"/>
              </w:rPr>
            </w:pPr>
            <w:r>
              <w:rPr>
                <w:rFonts w:ascii="Arial" w:cs="Arial" w:eastAsia="Arial" w:hAnsi="Arial"/>
                <w:sz w:val="16"/>
                <w:szCs w:val="16"/>
                <w:color w:val="auto"/>
              </w:rPr>
              <w:t>31</w:t>
            </w:r>
          </w:p>
        </w:tc>
        <w:tc>
          <w:tcPr>
            <w:tcW w:w="0" w:type="dxa"/>
            <w:vAlign w:val="bottom"/>
          </w:tcPr>
          <w:p>
            <w:pPr>
              <w:spacing w:after="0" w:line="20" w:lineRule="exact"/>
              <w:rPr>
                <w:sz w:val="1"/>
                <w:szCs w:val="1"/>
                <w:color w:val="auto"/>
              </w:rPr>
            </w:pPr>
          </w:p>
        </w:tc>
      </w:tr>
      <w:tr>
        <w:trPr>
          <w:trHeight w:val="154"/>
        </w:trPr>
        <w:tc>
          <w:tcPr>
            <w:tcW w:w="40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40" w:type="dxa"/>
            <w:vAlign w:val="bottom"/>
            <w:gridSpan w:val="14"/>
          </w:tcPr>
          <w:p>
            <w:pPr>
              <w:spacing w:after="0" w:line="148" w:lineRule="exact"/>
              <w:rPr>
                <w:sz w:val="20"/>
                <w:szCs w:val="20"/>
                <w:color w:val="auto"/>
              </w:rPr>
            </w:pPr>
            <w:r>
              <w:rPr>
                <w:rFonts w:ascii="Arial" w:cs="Arial" w:eastAsia="Arial" w:hAnsi="Arial"/>
                <w:sz w:val="16"/>
                <w:szCs w:val="16"/>
                <w:color w:val="0000EE"/>
              </w:rPr>
              <w:t>Why We Recommend That You Vote for this Proposal</w:t>
            </w: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260"/>
              <w:spacing w:after="0" w:line="162" w:lineRule="exact"/>
              <w:rPr>
                <w:sz w:val="20"/>
                <w:szCs w:val="20"/>
                <w:color w:val="auto"/>
              </w:rPr>
            </w:pPr>
            <w:r>
              <w:rPr>
                <w:rFonts w:ascii="Arial" w:cs="Arial" w:eastAsia="Arial" w:hAnsi="Arial"/>
                <w:sz w:val="18"/>
                <w:szCs w:val="18"/>
                <w:color w:val="284993"/>
              </w:rPr>
              <w:t>Equity and Incentive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tcBorders>
              <w:top w:val="single" w:sz="8" w:color="0000EE"/>
              <w:bottom w:val="single" w:sz="8" w:color="0000EE"/>
            </w:tcBorders>
            <w:gridSpan w:val="10"/>
          </w:tcPr>
          <w:p>
            <w:pPr>
              <w:spacing w:after="0" w:line="148" w:lineRule="exact"/>
              <w:rPr>
                <w:sz w:val="20"/>
                <w:szCs w:val="20"/>
                <w:color w:val="auto"/>
              </w:rPr>
            </w:pPr>
            <w:r>
              <w:rPr>
                <w:rFonts w:ascii="Arial" w:cs="Arial" w:eastAsia="Arial" w:hAnsi="Arial"/>
                <w:sz w:val="16"/>
                <w:szCs w:val="16"/>
                <w:color w:val="0000EE"/>
                <w:w w:val="95"/>
              </w:rPr>
              <w:t>Material Changes From The 2020 Equity Plan</w:t>
            </w:r>
          </w:p>
        </w:tc>
        <w:tc>
          <w:tcPr>
            <w:tcW w:w="540" w:type="dxa"/>
            <w:vAlign w:val="bottom"/>
            <w:tcBorders>
              <w:top w:val="single" w:sz="8" w:color="0000EE"/>
              <w:bottom w:val="single" w:sz="8" w:color="0000EE"/>
            </w:tcBorders>
          </w:tcPr>
          <w:p>
            <w:pPr>
              <w:spacing w:after="0"/>
              <w:rPr>
                <w:sz w:val="14"/>
                <w:szCs w:val="14"/>
                <w:color w:val="auto"/>
              </w:rPr>
            </w:pPr>
          </w:p>
        </w:tc>
        <w:tc>
          <w:tcPr>
            <w:tcW w:w="5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jc w:val="right"/>
              <w:spacing w:after="0" w:line="161"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1"/>
        </w:trPr>
        <w:tc>
          <w:tcPr>
            <w:tcW w:w="4020" w:type="dxa"/>
            <w:vAlign w:val="bottom"/>
            <w:vMerge w:val="restart"/>
          </w:tcPr>
          <w:p>
            <w:pPr>
              <w:ind w:left="260"/>
              <w:spacing w:after="0"/>
              <w:rPr>
                <w:sz w:val="20"/>
                <w:szCs w:val="20"/>
                <w:color w:val="auto"/>
              </w:rPr>
            </w:pPr>
            <w:r>
              <w:rPr>
                <w:rFonts w:ascii="Arial" w:cs="Arial" w:eastAsia="Arial" w:hAnsi="Arial"/>
                <w:sz w:val="24"/>
                <w:szCs w:val="24"/>
                <w:color w:val="284993"/>
              </w:rPr>
              <w:t>Compensation Plan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40" w:type="dxa"/>
            <w:vAlign w:val="bottom"/>
            <w:gridSpan w:val="14"/>
          </w:tcPr>
          <w:p>
            <w:pPr>
              <w:spacing w:after="0" w:line="161" w:lineRule="exact"/>
              <w:rPr>
                <w:sz w:val="20"/>
                <w:szCs w:val="20"/>
                <w:color w:val="auto"/>
              </w:rPr>
            </w:pPr>
            <w:r>
              <w:rPr>
                <w:rFonts w:ascii="Arial" w:cs="Arial" w:eastAsia="Arial" w:hAnsi="Arial"/>
                <w:sz w:val="16"/>
                <w:szCs w:val="16"/>
                <w:color w:val="0000EE"/>
              </w:rPr>
              <w:t>Amended 2020 Plan Highlights</w:t>
            </w:r>
          </w:p>
        </w:tc>
        <w:tc>
          <w:tcPr>
            <w:tcW w:w="440" w:type="dxa"/>
            <w:vAlign w:val="bottom"/>
          </w:tcPr>
          <w:p>
            <w:pPr>
              <w:jc w:val="right"/>
              <w:spacing w:after="0" w:line="161"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40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34</w:t>
            </w:r>
          </w:p>
        </w:tc>
        <w:tc>
          <w:tcPr>
            <w:tcW w:w="0" w:type="dxa"/>
            <w:vAlign w:val="bottom"/>
          </w:tcPr>
          <w:p>
            <w:pPr>
              <w:spacing w:after="0" w:line="20" w:lineRule="exact"/>
              <w:rPr>
                <w:sz w:val="1"/>
                <w:szCs w:val="1"/>
                <w:color w:val="auto"/>
              </w:rPr>
            </w:pPr>
          </w:p>
        </w:tc>
      </w:tr>
      <w:tr>
        <w:trPr>
          <w:trHeight w:val="161"/>
        </w:trPr>
        <w:tc>
          <w:tcPr>
            <w:tcW w:w="4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0" w:type="dxa"/>
            <w:vAlign w:val="bottom"/>
            <w:tcBorders>
              <w:bottom w:val="single" w:sz="8" w:color="0000EE"/>
            </w:tcBorders>
            <w:gridSpan w:val="13"/>
          </w:tcPr>
          <w:p>
            <w:pPr>
              <w:spacing w:after="0" w:line="161" w:lineRule="exact"/>
              <w:rPr>
                <w:sz w:val="20"/>
                <w:szCs w:val="20"/>
                <w:color w:val="auto"/>
              </w:rPr>
            </w:pPr>
            <w:r>
              <w:rPr>
                <w:rFonts w:ascii="Arial" w:cs="Arial" w:eastAsia="Arial" w:hAnsi="Arial"/>
                <w:sz w:val="16"/>
                <w:szCs w:val="16"/>
                <w:color w:val="0000EE"/>
                <w:w w:val="95"/>
              </w:rPr>
              <w:t>Summary of Other Material Terms of the Amended 2020 Plan</w:t>
            </w: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40" w:type="dxa"/>
            <w:vAlign w:val="bottom"/>
            <w:gridSpan w:val="14"/>
          </w:tcPr>
          <w:p>
            <w:pPr>
              <w:spacing w:after="0" w:line="161" w:lineRule="exact"/>
              <w:rPr>
                <w:sz w:val="20"/>
                <w:szCs w:val="20"/>
                <w:color w:val="auto"/>
              </w:rPr>
            </w:pPr>
            <w:r>
              <w:rPr>
                <w:rFonts w:ascii="Arial" w:cs="Arial" w:eastAsia="Arial" w:hAnsi="Arial"/>
                <w:sz w:val="16"/>
                <w:szCs w:val="16"/>
                <w:color w:val="0000EE"/>
              </w:rPr>
              <w:t>New Plan Benefits</w:t>
            </w:r>
          </w:p>
        </w:tc>
        <w:tc>
          <w:tcPr>
            <w:tcW w:w="440" w:type="dxa"/>
            <w:vAlign w:val="bottom"/>
          </w:tcPr>
          <w:p>
            <w:pPr>
              <w:jc w:val="right"/>
              <w:spacing w:after="0" w:line="161"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44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41</w:t>
            </w:r>
          </w:p>
        </w:tc>
        <w:tc>
          <w:tcPr>
            <w:tcW w:w="0" w:type="dxa"/>
            <w:vAlign w:val="bottom"/>
          </w:tcPr>
          <w:p>
            <w:pPr>
              <w:spacing w:after="0" w:line="20" w:lineRule="exact"/>
              <w:rPr>
                <w:sz w:val="1"/>
                <w:szCs w:val="1"/>
                <w:color w:val="auto"/>
              </w:rPr>
            </w:pPr>
          </w:p>
        </w:tc>
      </w:tr>
      <w:tr>
        <w:trPr>
          <w:trHeight w:val="161"/>
        </w:trPr>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40" w:type="dxa"/>
            <w:vAlign w:val="bottom"/>
            <w:gridSpan w:val="14"/>
          </w:tcPr>
          <w:p>
            <w:pPr>
              <w:spacing w:after="0" w:line="161" w:lineRule="exact"/>
              <w:rPr>
                <w:sz w:val="20"/>
                <w:szCs w:val="20"/>
                <w:color w:val="auto"/>
              </w:rPr>
            </w:pPr>
            <w:r>
              <w:rPr>
                <w:rFonts w:ascii="Arial" w:cs="Arial" w:eastAsia="Arial" w:hAnsi="Arial"/>
                <w:sz w:val="16"/>
                <w:szCs w:val="16"/>
                <w:color w:val="0000EE"/>
              </w:rPr>
              <w:t>U.S. Federal Income Tax Consequences</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tcBorders>
              <w:top w:val="single" w:sz="8" w:color="0000EE"/>
            </w:tcBorders>
            <w:gridSpan w:val="9"/>
          </w:tcPr>
          <w:p>
            <w:pPr>
              <w:spacing w:after="0" w:line="161" w:lineRule="exact"/>
              <w:rPr>
                <w:sz w:val="20"/>
                <w:szCs w:val="20"/>
                <w:color w:val="auto"/>
              </w:rPr>
            </w:pPr>
            <w:r>
              <w:rPr>
                <w:rFonts w:ascii="Arial" w:cs="Arial" w:eastAsia="Arial" w:hAnsi="Arial"/>
                <w:sz w:val="16"/>
                <w:szCs w:val="16"/>
                <w:color w:val="0000EE"/>
              </w:rPr>
              <w:t>Awards Granted to Certain Persons</w:t>
            </w:r>
          </w:p>
        </w:tc>
        <w:tc>
          <w:tcPr>
            <w:tcW w:w="1480" w:type="dxa"/>
            <w:vAlign w:val="bottom"/>
            <w:gridSpan w:val="5"/>
          </w:tcPr>
          <w:p>
            <w:pPr>
              <w:spacing w:after="0"/>
              <w:rPr>
                <w:sz w:val="14"/>
                <w:szCs w:val="14"/>
                <w:color w:val="auto"/>
              </w:rPr>
            </w:pPr>
          </w:p>
        </w:tc>
        <w:tc>
          <w:tcPr>
            <w:tcW w:w="440" w:type="dxa"/>
            <w:vAlign w:val="bottom"/>
          </w:tcPr>
          <w:p>
            <w:pPr>
              <w:jc w:val="right"/>
              <w:spacing w:after="0" w:line="161"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tcBorders>
              <w:top w:val="single" w:sz="8" w:color="0000EE"/>
            </w:tcBorders>
            <w:gridSpan w:val="7"/>
          </w:tcPr>
          <w:p>
            <w:pPr>
              <w:spacing w:after="0" w:line="161" w:lineRule="exact"/>
              <w:rPr>
                <w:sz w:val="20"/>
                <w:szCs w:val="20"/>
                <w:color w:val="auto"/>
              </w:rPr>
            </w:pPr>
            <w:r>
              <w:rPr>
                <w:rFonts w:ascii="Arial" w:cs="Arial" w:eastAsia="Arial" w:hAnsi="Arial"/>
                <w:sz w:val="16"/>
                <w:szCs w:val="16"/>
                <w:color w:val="0000EE"/>
              </w:rPr>
              <w:t>Registration with the SEC</w:t>
            </w:r>
          </w:p>
        </w:tc>
        <w:tc>
          <w:tcPr>
            <w:tcW w:w="1820" w:type="dxa"/>
            <w:vAlign w:val="bottom"/>
            <w:gridSpan w:val="7"/>
          </w:tcPr>
          <w:p>
            <w:pPr>
              <w:spacing w:after="0"/>
              <w:rPr>
                <w:sz w:val="14"/>
                <w:szCs w:val="14"/>
                <w:color w:val="auto"/>
              </w:rPr>
            </w:pPr>
          </w:p>
        </w:tc>
        <w:tc>
          <w:tcPr>
            <w:tcW w:w="440" w:type="dxa"/>
            <w:vAlign w:val="bottom"/>
          </w:tcPr>
          <w:p>
            <w:pPr>
              <w:jc w:val="right"/>
              <w:spacing w:after="0" w:line="161"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top w:val="single" w:sz="8" w:color="0000EE"/>
              <w:bottom w:val="single" w:sz="8" w:color="0000EE"/>
            </w:tcBorders>
            <w:gridSpan w:val="3"/>
          </w:tcPr>
          <w:p>
            <w:pPr>
              <w:spacing w:after="0" w:line="148" w:lineRule="exact"/>
              <w:rPr>
                <w:sz w:val="20"/>
                <w:szCs w:val="20"/>
                <w:color w:val="auto"/>
              </w:rPr>
            </w:pPr>
            <w:r>
              <w:rPr>
                <w:rFonts w:ascii="Arial" w:cs="Arial" w:eastAsia="Arial" w:hAnsi="Arial"/>
                <w:sz w:val="16"/>
                <w:szCs w:val="16"/>
                <w:color w:val="0000EE"/>
                <w:w w:val="91"/>
              </w:rPr>
              <w:t>Vote Required</w:t>
            </w:r>
          </w:p>
        </w:tc>
        <w:tc>
          <w:tcPr>
            <w:tcW w:w="780" w:type="dxa"/>
            <w:vAlign w:val="bottom"/>
            <w:tcBorders>
              <w:top w:val="single" w:sz="8" w:color="0000EE"/>
              <w:bottom w:val="single" w:sz="8" w:color="0000EE"/>
            </w:tcBorders>
            <w:gridSpan w:val="2"/>
            <w:vMerge w:val="restart"/>
          </w:tcPr>
          <w:p>
            <w:pPr>
              <w:spacing w:after="0"/>
              <w:rPr>
                <w:sz w:val="14"/>
                <w:szCs w:val="14"/>
                <w:color w:val="auto"/>
              </w:rPr>
            </w:pPr>
          </w:p>
        </w:tc>
        <w:tc>
          <w:tcPr>
            <w:tcW w:w="860" w:type="dxa"/>
            <w:vAlign w:val="bottom"/>
            <w:gridSpan w:val="3"/>
            <w:vMerge w:val="restart"/>
          </w:tcPr>
          <w:p>
            <w:pPr>
              <w:spacing w:after="0"/>
              <w:rPr>
                <w:sz w:val="14"/>
                <w:szCs w:val="14"/>
                <w:color w:val="auto"/>
              </w:rPr>
            </w:pPr>
          </w:p>
        </w:tc>
        <w:tc>
          <w:tcPr>
            <w:tcW w:w="1640" w:type="dxa"/>
            <w:vAlign w:val="bottom"/>
            <w:gridSpan w:val="6"/>
            <w:vMerge w:val="restart"/>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56"/>
        </w:trPr>
        <w:tc>
          <w:tcPr>
            <w:tcW w:w="4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gridSpan w:val="3"/>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20" w:type="dxa"/>
            <w:vAlign w:val="bottom"/>
            <w:tcBorders>
              <w:bottom w:val="single" w:sz="8" w:color="284993"/>
            </w:tcBorders>
          </w:tcPr>
          <w:p>
            <w:pPr>
              <w:spacing w:after="0"/>
              <w:rPr>
                <w:sz w:val="6"/>
                <w:szCs w:val="6"/>
                <w:color w:val="auto"/>
              </w:rPr>
            </w:pPr>
          </w:p>
        </w:tc>
        <w:tc>
          <w:tcPr>
            <w:tcW w:w="280" w:type="dxa"/>
            <w:vAlign w:val="bottom"/>
            <w:tcBorders>
              <w:bottom w:val="single" w:sz="8" w:color="284993"/>
            </w:tcBorders>
          </w:tcPr>
          <w:p>
            <w:pPr>
              <w:spacing w:after="0"/>
              <w:rPr>
                <w:sz w:val="6"/>
                <w:szCs w:val="6"/>
                <w:color w:val="auto"/>
              </w:rPr>
            </w:pPr>
          </w:p>
        </w:tc>
        <w:tc>
          <w:tcPr>
            <w:tcW w:w="160" w:type="dxa"/>
            <w:vAlign w:val="bottom"/>
            <w:tcBorders>
              <w:bottom w:val="single" w:sz="8" w:color="284993"/>
            </w:tcBorders>
          </w:tcPr>
          <w:p>
            <w:pPr>
              <w:spacing w:after="0"/>
              <w:rPr>
                <w:sz w:val="6"/>
                <w:szCs w:val="6"/>
                <w:color w:val="auto"/>
              </w:rPr>
            </w:pPr>
          </w:p>
        </w:tc>
        <w:tc>
          <w:tcPr>
            <w:tcW w:w="180" w:type="dxa"/>
            <w:vAlign w:val="bottom"/>
            <w:tcBorders>
              <w:bottom w:val="single" w:sz="8" w:color="284993"/>
            </w:tcBorders>
          </w:tcPr>
          <w:p>
            <w:pPr>
              <w:spacing w:after="0"/>
              <w:rPr>
                <w:sz w:val="6"/>
                <w:szCs w:val="6"/>
                <w:color w:val="auto"/>
              </w:rPr>
            </w:pPr>
          </w:p>
        </w:tc>
        <w:tc>
          <w:tcPr>
            <w:tcW w:w="140" w:type="dxa"/>
            <w:vAlign w:val="bottom"/>
            <w:tcBorders>
              <w:bottom w:val="single" w:sz="8" w:color="284993"/>
            </w:tcBorders>
          </w:tcPr>
          <w:p>
            <w:pPr>
              <w:spacing w:after="0"/>
              <w:rPr>
                <w:sz w:val="6"/>
                <w:szCs w:val="6"/>
                <w:color w:val="auto"/>
              </w:rPr>
            </w:pPr>
          </w:p>
        </w:tc>
        <w:tc>
          <w:tcPr>
            <w:tcW w:w="480" w:type="dxa"/>
            <w:vAlign w:val="bottom"/>
            <w:tcBorders>
              <w:bottom w:val="single" w:sz="8" w:color="284993"/>
            </w:tcBorders>
          </w:tcPr>
          <w:p>
            <w:pPr>
              <w:spacing w:after="0"/>
              <w:rPr>
                <w:sz w:val="6"/>
                <w:szCs w:val="6"/>
                <w:color w:val="auto"/>
              </w:rPr>
            </w:pPr>
          </w:p>
        </w:tc>
        <w:tc>
          <w:tcPr>
            <w:tcW w:w="340" w:type="dxa"/>
            <w:vAlign w:val="bottom"/>
            <w:tcBorders>
              <w:bottom w:val="single" w:sz="8" w:color="284993"/>
            </w:tcBorders>
          </w:tcPr>
          <w:p>
            <w:pPr>
              <w:spacing w:after="0"/>
              <w:rPr>
                <w:sz w:val="6"/>
                <w:szCs w:val="6"/>
                <w:color w:val="auto"/>
              </w:rPr>
            </w:pPr>
          </w:p>
        </w:tc>
        <w:tc>
          <w:tcPr>
            <w:tcW w:w="280" w:type="dxa"/>
            <w:vAlign w:val="bottom"/>
            <w:tcBorders>
              <w:bottom w:val="single" w:sz="8" w:color="284993"/>
            </w:tcBorders>
          </w:tcPr>
          <w:p>
            <w:pPr>
              <w:spacing w:after="0"/>
              <w:rPr>
                <w:sz w:val="6"/>
                <w:szCs w:val="6"/>
                <w:color w:val="auto"/>
              </w:rPr>
            </w:pPr>
          </w:p>
        </w:tc>
        <w:tc>
          <w:tcPr>
            <w:tcW w:w="500" w:type="dxa"/>
            <w:vAlign w:val="bottom"/>
            <w:tcBorders>
              <w:bottom w:val="single" w:sz="8" w:color="284993"/>
            </w:tcBorders>
          </w:tcPr>
          <w:p>
            <w:pPr>
              <w:spacing w:after="0"/>
              <w:rPr>
                <w:sz w:val="6"/>
                <w:szCs w:val="6"/>
                <w:color w:val="auto"/>
              </w:rPr>
            </w:pPr>
          </w:p>
        </w:tc>
        <w:tc>
          <w:tcPr>
            <w:tcW w:w="360" w:type="dxa"/>
            <w:vAlign w:val="bottom"/>
            <w:tcBorders>
              <w:bottom w:val="single" w:sz="8" w:color="284993"/>
            </w:tcBorders>
          </w:tcPr>
          <w:p>
            <w:pPr>
              <w:spacing w:after="0"/>
              <w:rPr>
                <w:sz w:val="6"/>
                <w:szCs w:val="6"/>
                <w:color w:val="auto"/>
              </w:rPr>
            </w:pPr>
          </w:p>
        </w:tc>
        <w:tc>
          <w:tcPr>
            <w:tcW w:w="320" w:type="dxa"/>
            <w:vAlign w:val="bottom"/>
            <w:tcBorders>
              <w:bottom w:val="single" w:sz="8" w:color="284993"/>
            </w:tcBorders>
          </w:tcPr>
          <w:p>
            <w:pPr>
              <w:spacing w:after="0"/>
              <w:rPr>
                <w:sz w:val="6"/>
                <w:szCs w:val="6"/>
                <w:color w:val="auto"/>
              </w:rPr>
            </w:pPr>
          </w:p>
        </w:tc>
        <w:tc>
          <w:tcPr>
            <w:tcW w:w="180" w:type="dxa"/>
            <w:vAlign w:val="bottom"/>
            <w:tcBorders>
              <w:bottom w:val="single" w:sz="8" w:color="284993"/>
            </w:tcBorders>
          </w:tcPr>
          <w:p>
            <w:pPr>
              <w:spacing w:after="0"/>
              <w:rPr>
                <w:sz w:val="6"/>
                <w:szCs w:val="6"/>
                <w:color w:val="auto"/>
              </w:rPr>
            </w:pPr>
          </w:p>
        </w:tc>
        <w:tc>
          <w:tcPr>
            <w:tcW w:w="160" w:type="dxa"/>
            <w:vAlign w:val="bottom"/>
            <w:tcBorders>
              <w:bottom w:val="single" w:sz="8" w:color="284993"/>
            </w:tcBorders>
          </w:tcPr>
          <w:p>
            <w:pPr>
              <w:spacing w:after="0"/>
              <w:rPr>
                <w:sz w:val="6"/>
                <w:szCs w:val="6"/>
                <w:color w:val="auto"/>
              </w:rPr>
            </w:pPr>
          </w:p>
        </w:tc>
        <w:tc>
          <w:tcPr>
            <w:tcW w:w="360" w:type="dxa"/>
            <w:vAlign w:val="bottom"/>
            <w:tcBorders>
              <w:bottom w:val="single" w:sz="8" w:color="284993"/>
            </w:tcBorders>
          </w:tcPr>
          <w:p>
            <w:pPr>
              <w:spacing w:after="0"/>
              <w:rPr>
                <w:sz w:val="6"/>
                <w:szCs w:val="6"/>
                <w:color w:val="auto"/>
              </w:rPr>
            </w:pPr>
          </w:p>
        </w:tc>
        <w:tc>
          <w:tcPr>
            <w:tcW w:w="540" w:type="dxa"/>
            <w:vAlign w:val="bottom"/>
            <w:tcBorders>
              <w:bottom w:val="single" w:sz="8" w:color="284993"/>
            </w:tcBorders>
          </w:tcPr>
          <w:p>
            <w:pPr>
              <w:spacing w:after="0"/>
              <w:rPr>
                <w:sz w:val="6"/>
                <w:szCs w:val="6"/>
                <w:color w:val="auto"/>
              </w:rPr>
            </w:pPr>
          </w:p>
        </w:tc>
        <w:tc>
          <w:tcPr>
            <w:tcW w:w="400" w:type="dxa"/>
            <w:vAlign w:val="bottom"/>
            <w:tcBorders>
              <w:bottom w:val="single" w:sz="8" w:color="284993"/>
            </w:tcBorders>
          </w:tcPr>
          <w:p>
            <w:pPr>
              <w:spacing w:after="0"/>
              <w:rPr>
                <w:sz w:val="6"/>
                <w:szCs w:val="6"/>
                <w:color w:val="auto"/>
              </w:rPr>
            </w:pPr>
          </w:p>
        </w:tc>
        <w:tc>
          <w:tcPr>
            <w:tcW w:w="140" w:type="dxa"/>
            <w:vAlign w:val="bottom"/>
            <w:tcBorders>
              <w:bottom w:val="single" w:sz="8" w:color="284993"/>
            </w:tcBorders>
          </w:tcPr>
          <w:p>
            <w:pPr>
              <w:spacing w:after="0"/>
              <w:rPr>
                <w:sz w:val="6"/>
                <w:szCs w:val="6"/>
                <w:color w:val="auto"/>
              </w:rPr>
            </w:pPr>
          </w:p>
        </w:tc>
        <w:tc>
          <w:tcPr>
            <w:tcW w:w="40" w:type="dxa"/>
            <w:vAlign w:val="bottom"/>
            <w:tcBorders>
              <w:bottom w:val="single" w:sz="8" w:color="284993"/>
            </w:tcBorders>
          </w:tcPr>
          <w:p>
            <w:pPr>
              <w:spacing w:after="0"/>
              <w:rPr>
                <w:sz w:val="6"/>
                <w:szCs w:val="6"/>
                <w:color w:val="auto"/>
              </w:rPr>
            </w:pPr>
          </w:p>
        </w:tc>
        <w:tc>
          <w:tcPr>
            <w:tcW w:w="440" w:type="dxa"/>
            <w:vAlign w:val="bottom"/>
            <w:tcBorders>
              <w:bottom w:val="single" w:sz="8" w:color="284993"/>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020" w:type="dxa"/>
            <w:vAlign w:val="bottom"/>
            <w:vMerge w:val="restart"/>
          </w:tcPr>
          <w:p>
            <w:pPr>
              <w:ind w:left="260"/>
              <w:spacing w:after="0"/>
              <w:rPr>
                <w:sz w:val="20"/>
                <w:szCs w:val="20"/>
                <w:color w:val="auto"/>
              </w:rPr>
            </w:pPr>
            <w:r>
              <w:rPr>
                <w:rFonts w:ascii="Arial" w:cs="Arial" w:eastAsia="Arial" w:hAnsi="Arial"/>
                <w:sz w:val="24"/>
                <w:szCs w:val="24"/>
                <w:color w:val="284993"/>
              </w:rPr>
              <w:t>Information Regarding Security</w:t>
            </w:r>
          </w:p>
        </w:tc>
        <w:tc>
          <w:tcPr>
            <w:tcW w:w="280" w:type="dxa"/>
            <w:vAlign w:val="bottom"/>
            <w:vMerge w:val="restart"/>
          </w:tcPr>
          <w:p>
            <w:pPr>
              <w:spacing w:after="0"/>
              <w:rPr>
                <w:sz w:val="19"/>
                <w:szCs w:val="19"/>
                <w:color w:val="auto"/>
              </w:rPr>
            </w:pPr>
          </w:p>
        </w:tc>
        <w:tc>
          <w:tcPr>
            <w:tcW w:w="294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w w:val="96"/>
              </w:rPr>
              <w:t>Information Regarding Security Ownership</w:t>
            </w:r>
          </w:p>
        </w:tc>
        <w:tc>
          <w:tcPr>
            <w:tcW w:w="1640" w:type="dxa"/>
            <w:vAlign w:val="bottom"/>
            <w:gridSpan w:val="6"/>
            <w:vMerge w:val="restart"/>
          </w:tcPr>
          <w:p>
            <w:pPr>
              <w:spacing w:after="0"/>
              <w:rPr>
                <w:sz w:val="19"/>
                <w:szCs w:val="19"/>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48"/>
        </w:trPr>
        <w:tc>
          <w:tcPr>
            <w:tcW w:w="40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2940" w:type="dxa"/>
            <w:vAlign w:val="bottom"/>
            <w:gridSpan w:val="10"/>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4020" w:type="dxa"/>
            <w:vAlign w:val="bottom"/>
            <w:tcBorders>
              <w:bottom w:val="single" w:sz="8" w:color="284993"/>
            </w:tcBorders>
          </w:tcPr>
          <w:p>
            <w:pPr>
              <w:ind w:left="260"/>
              <w:spacing w:after="0"/>
              <w:rPr>
                <w:sz w:val="20"/>
                <w:szCs w:val="20"/>
                <w:color w:val="auto"/>
              </w:rPr>
            </w:pPr>
            <w:r>
              <w:rPr>
                <w:rFonts w:ascii="Arial" w:cs="Arial" w:eastAsia="Arial" w:hAnsi="Arial"/>
                <w:sz w:val="24"/>
                <w:szCs w:val="24"/>
                <w:color w:val="284993"/>
              </w:rPr>
              <w:t>Ownership</w:t>
            </w:r>
          </w:p>
        </w:tc>
        <w:tc>
          <w:tcPr>
            <w:tcW w:w="280" w:type="dxa"/>
            <w:vAlign w:val="bottom"/>
            <w:tcBorders>
              <w:bottom w:val="single" w:sz="8" w:color="284993"/>
            </w:tcBorders>
          </w:tcPr>
          <w:p>
            <w:pPr>
              <w:spacing w:after="0"/>
              <w:rPr>
                <w:sz w:val="24"/>
                <w:szCs w:val="24"/>
                <w:color w:val="auto"/>
              </w:rPr>
            </w:pPr>
          </w:p>
        </w:tc>
        <w:tc>
          <w:tcPr>
            <w:tcW w:w="160" w:type="dxa"/>
            <w:vAlign w:val="bottom"/>
            <w:tcBorders>
              <w:bottom w:val="single" w:sz="8" w:color="284993"/>
            </w:tcBorders>
          </w:tcPr>
          <w:p>
            <w:pPr>
              <w:spacing w:after="0"/>
              <w:rPr>
                <w:sz w:val="24"/>
                <w:szCs w:val="24"/>
                <w:color w:val="auto"/>
              </w:rPr>
            </w:pPr>
          </w:p>
        </w:tc>
        <w:tc>
          <w:tcPr>
            <w:tcW w:w="180" w:type="dxa"/>
            <w:vAlign w:val="bottom"/>
            <w:tcBorders>
              <w:bottom w:val="single" w:sz="8" w:color="284993"/>
            </w:tcBorders>
          </w:tcPr>
          <w:p>
            <w:pPr>
              <w:spacing w:after="0"/>
              <w:rPr>
                <w:sz w:val="24"/>
                <w:szCs w:val="24"/>
                <w:color w:val="auto"/>
              </w:rPr>
            </w:pPr>
          </w:p>
        </w:tc>
        <w:tc>
          <w:tcPr>
            <w:tcW w:w="140" w:type="dxa"/>
            <w:vAlign w:val="bottom"/>
            <w:tcBorders>
              <w:bottom w:val="single" w:sz="8" w:color="284993"/>
            </w:tcBorders>
          </w:tcPr>
          <w:p>
            <w:pPr>
              <w:spacing w:after="0"/>
              <w:rPr>
                <w:sz w:val="24"/>
                <w:szCs w:val="24"/>
                <w:color w:val="auto"/>
              </w:rPr>
            </w:pPr>
          </w:p>
        </w:tc>
        <w:tc>
          <w:tcPr>
            <w:tcW w:w="480" w:type="dxa"/>
            <w:vAlign w:val="bottom"/>
            <w:tcBorders>
              <w:bottom w:val="single" w:sz="8" w:color="284993"/>
            </w:tcBorders>
          </w:tcPr>
          <w:p>
            <w:pPr>
              <w:spacing w:after="0"/>
              <w:rPr>
                <w:sz w:val="24"/>
                <w:szCs w:val="24"/>
                <w:color w:val="auto"/>
              </w:rPr>
            </w:pPr>
          </w:p>
        </w:tc>
        <w:tc>
          <w:tcPr>
            <w:tcW w:w="340" w:type="dxa"/>
            <w:vAlign w:val="bottom"/>
            <w:tcBorders>
              <w:bottom w:val="single" w:sz="8" w:color="284993"/>
            </w:tcBorders>
          </w:tcPr>
          <w:p>
            <w:pPr>
              <w:spacing w:after="0"/>
              <w:rPr>
                <w:sz w:val="24"/>
                <w:szCs w:val="24"/>
                <w:color w:val="auto"/>
              </w:rPr>
            </w:pPr>
          </w:p>
        </w:tc>
        <w:tc>
          <w:tcPr>
            <w:tcW w:w="280" w:type="dxa"/>
            <w:vAlign w:val="bottom"/>
            <w:tcBorders>
              <w:bottom w:val="single" w:sz="8" w:color="284993"/>
            </w:tcBorders>
          </w:tcPr>
          <w:p>
            <w:pPr>
              <w:spacing w:after="0"/>
              <w:rPr>
                <w:sz w:val="24"/>
                <w:szCs w:val="24"/>
                <w:color w:val="auto"/>
              </w:rPr>
            </w:pPr>
          </w:p>
        </w:tc>
        <w:tc>
          <w:tcPr>
            <w:tcW w:w="500" w:type="dxa"/>
            <w:vAlign w:val="bottom"/>
            <w:tcBorders>
              <w:bottom w:val="single" w:sz="8" w:color="284993"/>
            </w:tcBorders>
          </w:tcPr>
          <w:p>
            <w:pPr>
              <w:spacing w:after="0"/>
              <w:rPr>
                <w:sz w:val="24"/>
                <w:szCs w:val="24"/>
                <w:color w:val="auto"/>
              </w:rPr>
            </w:pPr>
          </w:p>
        </w:tc>
        <w:tc>
          <w:tcPr>
            <w:tcW w:w="360" w:type="dxa"/>
            <w:vAlign w:val="bottom"/>
            <w:tcBorders>
              <w:bottom w:val="single" w:sz="8" w:color="284993"/>
            </w:tcBorders>
          </w:tcPr>
          <w:p>
            <w:pPr>
              <w:spacing w:after="0"/>
              <w:rPr>
                <w:sz w:val="24"/>
                <w:szCs w:val="24"/>
                <w:color w:val="auto"/>
              </w:rPr>
            </w:pPr>
          </w:p>
        </w:tc>
        <w:tc>
          <w:tcPr>
            <w:tcW w:w="320" w:type="dxa"/>
            <w:vAlign w:val="bottom"/>
            <w:tcBorders>
              <w:bottom w:val="single" w:sz="8" w:color="284993"/>
            </w:tcBorders>
          </w:tcPr>
          <w:p>
            <w:pPr>
              <w:spacing w:after="0"/>
              <w:rPr>
                <w:sz w:val="24"/>
                <w:szCs w:val="24"/>
                <w:color w:val="auto"/>
              </w:rPr>
            </w:pPr>
          </w:p>
        </w:tc>
        <w:tc>
          <w:tcPr>
            <w:tcW w:w="180" w:type="dxa"/>
            <w:vAlign w:val="bottom"/>
            <w:tcBorders>
              <w:bottom w:val="single" w:sz="8" w:color="284993"/>
            </w:tcBorders>
          </w:tcPr>
          <w:p>
            <w:pPr>
              <w:spacing w:after="0"/>
              <w:rPr>
                <w:sz w:val="24"/>
                <w:szCs w:val="24"/>
                <w:color w:val="auto"/>
              </w:rPr>
            </w:pPr>
          </w:p>
        </w:tc>
        <w:tc>
          <w:tcPr>
            <w:tcW w:w="160" w:type="dxa"/>
            <w:vAlign w:val="bottom"/>
            <w:tcBorders>
              <w:bottom w:val="single" w:sz="8" w:color="284993"/>
            </w:tcBorders>
          </w:tcPr>
          <w:p>
            <w:pPr>
              <w:spacing w:after="0"/>
              <w:rPr>
                <w:sz w:val="24"/>
                <w:szCs w:val="24"/>
                <w:color w:val="auto"/>
              </w:rPr>
            </w:pPr>
          </w:p>
        </w:tc>
        <w:tc>
          <w:tcPr>
            <w:tcW w:w="360" w:type="dxa"/>
            <w:vAlign w:val="bottom"/>
            <w:tcBorders>
              <w:bottom w:val="single" w:sz="8" w:color="284993"/>
            </w:tcBorders>
          </w:tcPr>
          <w:p>
            <w:pPr>
              <w:spacing w:after="0"/>
              <w:rPr>
                <w:sz w:val="24"/>
                <w:szCs w:val="24"/>
                <w:color w:val="auto"/>
              </w:rPr>
            </w:pPr>
          </w:p>
        </w:tc>
        <w:tc>
          <w:tcPr>
            <w:tcW w:w="540" w:type="dxa"/>
            <w:vAlign w:val="bottom"/>
            <w:tcBorders>
              <w:bottom w:val="single" w:sz="8" w:color="284993"/>
            </w:tcBorders>
          </w:tcPr>
          <w:p>
            <w:pPr>
              <w:spacing w:after="0"/>
              <w:rPr>
                <w:sz w:val="24"/>
                <w:szCs w:val="24"/>
                <w:color w:val="auto"/>
              </w:rPr>
            </w:pPr>
          </w:p>
        </w:tc>
        <w:tc>
          <w:tcPr>
            <w:tcW w:w="400" w:type="dxa"/>
            <w:vAlign w:val="bottom"/>
            <w:tcBorders>
              <w:bottom w:val="single" w:sz="8" w:color="284993"/>
            </w:tcBorders>
          </w:tcPr>
          <w:p>
            <w:pPr>
              <w:spacing w:after="0"/>
              <w:rPr>
                <w:sz w:val="24"/>
                <w:szCs w:val="24"/>
                <w:color w:val="auto"/>
              </w:rPr>
            </w:pPr>
          </w:p>
        </w:tc>
        <w:tc>
          <w:tcPr>
            <w:tcW w:w="140" w:type="dxa"/>
            <w:vAlign w:val="bottom"/>
            <w:tcBorders>
              <w:bottom w:val="single" w:sz="8" w:color="284993"/>
            </w:tcBorders>
          </w:tcPr>
          <w:p>
            <w:pPr>
              <w:spacing w:after="0"/>
              <w:rPr>
                <w:sz w:val="24"/>
                <w:szCs w:val="24"/>
                <w:color w:val="auto"/>
              </w:rPr>
            </w:pPr>
          </w:p>
        </w:tc>
        <w:tc>
          <w:tcPr>
            <w:tcW w:w="40" w:type="dxa"/>
            <w:vAlign w:val="bottom"/>
            <w:tcBorders>
              <w:bottom w:val="single" w:sz="8" w:color="284993"/>
            </w:tcBorders>
          </w:tcPr>
          <w:p>
            <w:pPr>
              <w:spacing w:after="0"/>
              <w:rPr>
                <w:sz w:val="24"/>
                <w:szCs w:val="24"/>
                <w:color w:val="auto"/>
              </w:rPr>
            </w:pPr>
          </w:p>
        </w:tc>
        <w:tc>
          <w:tcPr>
            <w:tcW w:w="440" w:type="dxa"/>
            <w:vAlign w:val="bottom"/>
            <w:tcBorders>
              <w:bottom w:val="single" w:sz="8" w:color="284993"/>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320"/>
          </w:cols>
          <w:pgMar w:left="1280" w:top="226" w:right="1299"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945" cy="53975"/>
                    </a:xfrm>
                    <a:prstGeom prst="rect">
                      <a:avLst/>
                    </a:prstGeom>
                    <a:noFill/>
                  </pic:spPr>
                </pic:pic>
              </a:graphicData>
            </a:graphic>
          </wp:anchor>
        </w:drawing>
        <w:drawing>
          <wp:anchor simplePos="0" relativeHeight="251657728" behindDoc="1" locked="0" layoutInCell="0" allowOverlap="1">
            <wp:simplePos x="0" y="0"/>
            <wp:positionH relativeFrom="page">
              <wp:posOffset>814070</wp:posOffset>
            </wp:positionH>
            <wp:positionV relativeFrom="page">
              <wp:posOffset>195580</wp:posOffset>
            </wp:positionV>
            <wp:extent cx="59207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9" w:lineRule="exact"/>
        <w:rPr>
          <w:sz w:val="20"/>
          <w:szCs w:val="20"/>
          <w:color w:val="auto"/>
        </w:rPr>
      </w:pPr>
    </w:p>
    <w:p>
      <w:pPr>
        <w:ind w:left="260" w:right="480"/>
        <w:spacing w:after="0" w:line="275" w:lineRule="auto"/>
        <w:rPr>
          <w:sz w:val="20"/>
          <w:szCs w:val="20"/>
          <w:color w:val="auto"/>
        </w:rPr>
      </w:pPr>
      <w:r>
        <w:rPr>
          <w:rFonts w:ascii="Arial" w:cs="Arial" w:eastAsia="Arial" w:hAnsi="Arial"/>
          <w:sz w:val="24"/>
          <w:szCs w:val="24"/>
          <w:color w:val="284993"/>
        </w:rPr>
        <w:t>Equity Compensation Plan Information</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6"/>
              </w:rPr>
              <w:t>Equity Compensation Plan Information</w:t>
            </w:r>
          </w:p>
        </w:tc>
        <w:tc>
          <w:tcPr>
            <w:tcW w:w="2320" w:type="dxa"/>
            <w:vAlign w:val="bottom"/>
          </w:tcPr>
          <w:p>
            <w:pPr>
              <w:jc w:val="right"/>
              <w:spacing w:after="0"/>
              <w:rPr>
                <w:sz w:val="20"/>
                <w:szCs w:val="20"/>
                <w:color w:val="auto"/>
              </w:rPr>
            </w:pPr>
            <w:r>
              <w:rPr>
                <w:rFonts w:ascii="Arial" w:cs="Arial" w:eastAsia="Arial" w:hAnsi="Arial"/>
                <w:sz w:val="16"/>
                <w:szCs w:val="16"/>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189230</wp:posOffset>
            </wp:positionV>
            <wp:extent cx="59207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338" w:lineRule="exact"/>
        <w:rPr>
          <w:sz w:val="20"/>
          <w:szCs w:val="20"/>
          <w:color w:val="auto"/>
        </w:rPr>
      </w:pPr>
    </w:p>
    <w:p>
      <w:pPr>
        <w:sectPr>
          <w:pgSz w:w="11900" w:h="16838" w:orient="portrait"/>
          <w:cols w:equalWidth="0" w:num="2">
            <w:col w:w="3580" w:space="720"/>
            <w:col w:w="5020"/>
          </w:cols>
          <w:pgMar w:left="1280" w:top="226" w:right="129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4300" w:type="dxa"/>
            <w:vAlign w:val="bottom"/>
          </w:tcPr>
          <w:p>
            <w:pPr>
              <w:ind w:left="260"/>
              <w:spacing w:after="0" w:line="167" w:lineRule="exact"/>
              <w:rPr>
                <w:sz w:val="20"/>
                <w:szCs w:val="20"/>
                <w:color w:val="auto"/>
              </w:rPr>
            </w:pPr>
            <w:r>
              <w:rPr>
                <w:rFonts w:ascii="Arial" w:cs="Arial" w:eastAsia="Arial" w:hAnsi="Arial"/>
                <w:sz w:val="19"/>
                <w:szCs w:val="19"/>
                <w:color w:val="284993"/>
              </w:rPr>
              <w:t>Compensation Discussion and</w:t>
            </w:r>
          </w:p>
        </w:tc>
        <w:tc>
          <w:tcPr>
            <w:tcW w:w="4180" w:type="dxa"/>
            <w:vAlign w:val="bottom"/>
            <w:gridSpan w:val="14"/>
          </w:tcPr>
          <w:p>
            <w:pPr>
              <w:spacing w:after="0" w:line="180" w:lineRule="exact"/>
              <w:rPr>
                <w:sz w:val="20"/>
                <w:szCs w:val="20"/>
                <w:color w:val="auto"/>
              </w:rPr>
            </w:pPr>
            <w:r>
              <w:rPr>
                <w:rFonts w:ascii="Arial" w:cs="Arial" w:eastAsia="Arial" w:hAnsi="Arial"/>
                <w:sz w:val="16"/>
                <w:szCs w:val="16"/>
                <w:color w:val="0000EE"/>
              </w:rPr>
              <w:t>Compensation Discussion and Analysis</w:t>
            </w: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47</w:t>
            </w:r>
          </w:p>
        </w:tc>
        <w:tc>
          <w:tcPr>
            <w:tcW w:w="0" w:type="dxa"/>
            <w:vAlign w:val="bottom"/>
          </w:tcPr>
          <w:p>
            <w:pPr>
              <w:spacing w:after="0" w:line="20" w:lineRule="exact"/>
              <w:rPr>
                <w:sz w:val="1"/>
                <w:szCs w:val="1"/>
                <w:color w:val="auto"/>
              </w:rPr>
            </w:pPr>
          </w:p>
        </w:tc>
      </w:tr>
      <w:tr>
        <w:trPr>
          <w:trHeight w:val="161"/>
        </w:trPr>
        <w:tc>
          <w:tcPr>
            <w:tcW w:w="4300" w:type="dxa"/>
            <w:vAlign w:val="bottom"/>
            <w:vMerge w:val="restart"/>
          </w:tcPr>
          <w:p>
            <w:pPr>
              <w:ind w:left="260"/>
              <w:spacing w:after="0"/>
              <w:rPr>
                <w:sz w:val="20"/>
                <w:szCs w:val="20"/>
                <w:color w:val="auto"/>
              </w:rPr>
            </w:pPr>
            <w:r>
              <w:rPr>
                <w:rFonts w:ascii="Arial" w:cs="Arial" w:eastAsia="Arial" w:hAnsi="Arial"/>
                <w:sz w:val="24"/>
                <w:szCs w:val="24"/>
                <w:color w:val="284993"/>
              </w:rPr>
              <w:t>Analysis</w:t>
            </w:r>
          </w:p>
        </w:tc>
        <w:tc>
          <w:tcPr>
            <w:tcW w:w="320" w:type="dxa"/>
            <w:vAlign w:val="bottom"/>
          </w:tcPr>
          <w:p>
            <w:pPr>
              <w:spacing w:after="0"/>
              <w:rPr>
                <w:sz w:val="14"/>
                <w:szCs w:val="14"/>
                <w:color w:val="auto"/>
              </w:rPr>
            </w:pPr>
          </w:p>
        </w:tc>
        <w:tc>
          <w:tcPr>
            <w:tcW w:w="2460" w:type="dxa"/>
            <w:vAlign w:val="bottom"/>
            <w:tcBorders>
              <w:bottom w:val="single" w:sz="8" w:color="0000EE"/>
            </w:tcBorders>
            <w:gridSpan w:val="10"/>
          </w:tcPr>
          <w:p>
            <w:pPr>
              <w:spacing w:after="0" w:line="161" w:lineRule="exact"/>
              <w:rPr>
                <w:sz w:val="20"/>
                <w:szCs w:val="20"/>
                <w:color w:val="auto"/>
              </w:rPr>
            </w:pPr>
            <w:r>
              <w:rPr>
                <w:rFonts w:ascii="Arial" w:cs="Arial" w:eastAsia="Arial" w:hAnsi="Arial"/>
                <w:sz w:val="16"/>
                <w:szCs w:val="16"/>
                <w:color w:val="0000EE"/>
                <w:w w:val="96"/>
              </w:rPr>
              <w:t>Leadership Transitions During 2022</w:t>
            </w:r>
          </w:p>
        </w:tc>
        <w:tc>
          <w:tcPr>
            <w:tcW w:w="1400" w:type="dxa"/>
            <w:vAlign w:val="bottom"/>
            <w:gridSpan w:val="3"/>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Borders>
              <w:bottom w:val="single" w:sz="8" w:color="0000EE"/>
            </w:tcBorders>
          </w:tcPr>
          <w:p>
            <w:pPr>
              <w:spacing w:after="0" w:line="161" w:lineRule="exact"/>
              <w:rPr>
                <w:sz w:val="20"/>
                <w:szCs w:val="20"/>
                <w:color w:val="auto"/>
              </w:rPr>
            </w:pPr>
            <w:r>
              <w:rPr>
                <w:rFonts w:ascii="Arial" w:cs="Arial" w:eastAsia="Arial" w:hAnsi="Arial"/>
                <w:sz w:val="16"/>
                <w:szCs w:val="16"/>
                <w:color w:val="0000EE"/>
                <w:w w:val="95"/>
              </w:rPr>
              <w:t>Executive Summary</w:t>
            </w:r>
          </w:p>
        </w:tc>
        <w:tc>
          <w:tcPr>
            <w:tcW w:w="2480" w:type="dxa"/>
            <w:vAlign w:val="bottom"/>
            <w:gridSpan w:val="12"/>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60" w:type="dxa"/>
            <w:vAlign w:val="bottom"/>
            <w:gridSpan w:val="13"/>
          </w:tcPr>
          <w:p>
            <w:pPr>
              <w:spacing w:after="0" w:line="161" w:lineRule="exact"/>
              <w:rPr>
                <w:sz w:val="20"/>
                <w:szCs w:val="20"/>
                <w:color w:val="auto"/>
              </w:rPr>
            </w:pPr>
            <w:r>
              <w:rPr>
                <w:rFonts w:ascii="Arial" w:cs="Arial" w:eastAsia="Arial" w:hAnsi="Arial"/>
                <w:sz w:val="16"/>
                <w:szCs w:val="16"/>
                <w:color w:val="0000EE"/>
                <w:w w:val="97"/>
              </w:rPr>
              <w:t>Stockholder Input on Executive Compensation Program</w:t>
            </w: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50</w:t>
            </w:r>
          </w:p>
        </w:tc>
        <w:tc>
          <w:tcPr>
            <w:tcW w:w="0" w:type="dxa"/>
            <w:vAlign w:val="bottom"/>
          </w:tcPr>
          <w:p>
            <w:pPr>
              <w:spacing w:after="0" w:line="20" w:lineRule="exact"/>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60" w:type="dxa"/>
            <w:vAlign w:val="bottom"/>
            <w:tcBorders>
              <w:bottom w:val="single" w:sz="8" w:color="0000EE"/>
            </w:tcBorders>
            <w:gridSpan w:val="13"/>
          </w:tcPr>
          <w:p>
            <w:pPr>
              <w:spacing w:after="0" w:line="161" w:lineRule="exact"/>
              <w:rPr>
                <w:sz w:val="20"/>
                <w:szCs w:val="20"/>
                <w:color w:val="auto"/>
              </w:rPr>
            </w:pPr>
            <w:r>
              <w:rPr>
                <w:rFonts w:ascii="Arial" w:cs="Arial" w:eastAsia="Arial" w:hAnsi="Arial"/>
                <w:sz w:val="16"/>
                <w:szCs w:val="16"/>
                <w:color w:val="0000EE"/>
                <w:w w:val="96"/>
              </w:rPr>
              <w:t>Executive Compensation-Related Policies and Practices</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60" w:type="dxa"/>
            <w:vAlign w:val="bottom"/>
            <w:gridSpan w:val="13"/>
          </w:tcPr>
          <w:p>
            <w:pPr>
              <w:spacing w:after="0" w:line="161" w:lineRule="exact"/>
              <w:rPr>
                <w:sz w:val="20"/>
                <w:szCs w:val="20"/>
                <w:color w:val="auto"/>
              </w:rPr>
            </w:pPr>
            <w:r>
              <w:rPr>
                <w:rFonts w:ascii="Arial" w:cs="Arial" w:eastAsia="Arial" w:hAnsi="Arial"/>
                <w:sz w:val="16"/>
                <w:szCs w:val="16"/>
                <w:color w:val="0000EE"/>
              </w:rPr>
              <w:t>Compensation Philosophy</w:t>
            </w: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Borders>
              <w:top w:val="single" w:sz="8" w:color="0000EE"/>
            </w:tcBorders>
            <w:gridSpan w:val="4"/>
          </w:tcPr>
          <w:p>
            <w:pPr>
              <w:spacing w:after="0" w:line="161" w:lineRule="exact"/>
              <w:rPr>
                <w:sz w:val="20"/>
                <w:szCs w:val="20"/>
                <w:color w:val="auto"/>
              </w:rPr>
            </w:pPr>
            <w:r>
              <w:rPr>
                <w:rFonts w:ascii="Arial" w:cs="Arial" w:eastAsia="Arial" w:hAnsi="Arial"/>
                <w:sz w:val="16"/>
                <w:szCs w:val="16"/>
                <w:color w:val="0000EE"/>
              </w:rPr>
              <w:t>Compensation Design</w:t>
            </w:r>
          </w:p>
        </w:tc>
        <w:tc>
          <w:tcPr>
            <w:tcW w:w="2060" w:type="dxa"/>
            <w:vAlign w:val="bottom"/>
            <w:gridSpan w:val="9"/>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52</w:t>
            </w:r>
          </w:p>
        </w:tc>
        <w:tc>
          <w:tcPr>
            <w:tcW w:w="0" w:type="dxa"/>
            <w:vAlign w:val="bottom"/>
          </w:tcPr>
          <w:p>
            <w:pPr>
              <w:spacing w:after="0" w:line="20" w:lineRule="exact"/>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Borders>
              <w:bottom w:val="single" w:sz="8" w:color="0000EE"/>
            </w:tcBorders>
            <w:gridSpan w:val="7"/>
          </w:tcPr>
          <w:p>
            <w:pPr>
              <w:spacing w:after="0" w:line="161" w:lineRule="exact"/>
              <w:rPr>
                <w:sz w:val="20"/>
                <w:szCs w:val="20"/>
                <w:color w:val="auto"/>
              </w:rPr>
            </w:pPr>
            <w:r>
              <w:rPr>
                <w:rFonts w:ascii="Arial" w:cs="Arial" w:eastAsia="Arial" w:hAnsi="Arial"/>
                <w:sz w:val="16"/>
                <w:szCs w:val="16"/>
                <w:color w:val="0000EE"/>
                <w:w w:val="96"/>
              </w:rPr>
              <w:t>Compensation-Setting Process</w:t>
            </w:r>
          </w:p>
        </w:tc>
        <w:tc>
          <w:tcPr>
            <w:tcW w:w="1720" w:type="dxa"/>
            <w:vAlign w:val="bottom"/>
            <w:gridSpan w:val="6"/>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60" w:type="dxa"/>
            <w:vAlign w:val="bottom"/>
            <w:gridSpan w:val="13"/>
          </w:tcPr>
          <w:p>
            <w:pPr>
              <w:spacing w:after="0" w:line="161" w:lineRule="exact"/>
              <w:rPr>
                <w:sz w:val="20"/>
                <w:szCs w:val="20"/>
                <w:color w:val="auto"/>
              </w:rPr>
            </w:pPr>
            <w:r>
              <w:rPr>
                <w:rFonts w:ascii="Arial" w:cs="Arial" w:eastAsia="Arial" w:hAnsi="Arial"/>
                <w:sz w:val="16"/>
                <w:szCs w:val="16"/>
                <w:color w:val="0000EE"/>
              </w:rPr>
              <w:t>Compensation Elements</w:t>
            </w: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66</w:t>
            </w:r>
          </w:p>
        </w:tc>
        <w:tc>
          <w:tcPr>
            <w:tcW w:w="0" w:type="dxa"/>
            <w:vAlign w:val="bottom"/>
          </w:tcPr>
          <w:p>
            <w:pPr>
              <w:spacing w:after="0" w:line="20" w:lineRule="exact"/>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60" w:type="dxa"/>
            <w:vAlign w:val="bottom"/>
            <w:gridSpan w:val="13"/>
          </w:tcPr>
          <w:p>
            <w:pPr>
              <w:spacing w:after="0" w:line="161" w:lineRule="exact"/>
              <w:rPr>
                <w:sz w:val="20"/>
                <w:szCs w:val="20"/>
                <w:color w:val="auto"/>
              </w:rPr>
            </w:pPr>
            <w:r>
              <w:rPr>
                <w:rFonts w:ascii="Arial" w:cs="Arial" w:eastAsia="Arial" w:hAnsi="Arial"/>
                <w:sz w:val="16"/>
                <w:szCs w:val="16"/>
                <w:color w:val="0000EE"/>
              </w:rPr>
              <w:t>Post-Employment Compensation Arrangements</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80" w:type="dxa"/>
            <w:vAlign w:val="bottom"/>
            <w:tcBorders>
              <w:top w:val="single" w:sz="8" w:color="0000EE"/>
            </w:tcBorders>
            <w:gridSpan w:val="11"/>
          </w:tcPr>
          <w:p>
            <w:pPr>
              <w:spacing w:after="0" w:line="161" w:lineRule="exact"/>
              <w:rPr>
                <w:sz w:val="20"/>
                <w:szCs w:val="20"/>
                <w:color w:val="auto"/>
              </w:rPr>
            </w:pPr>
            <w:r>
              <w:rPr>
                <w:rFonts w:ascii="Arial" w:cs="Arial" w:eastAsia="Arial" w:hAnsi="Arial"/>
                <w:sz w:val="16"/>
                <w:szCs w:val="16"/>
                <w:color w:val="0000EE"/>
              </w:rPr>
              <w:t>Compensation-Related Policies</w:t>
            </w:r>
          </w:p>
        </w:tc>
        <w:tc>
          <w:tcPr>
            <w:tcW w:w="580" w:type="dxa"/>
            <w:vAlign w:val="bottom"/>
            <w:gridSpan w:val="2"/>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Borders>
              <w:top w:val="single" w:sz="8" w:color="0000EE"/>
            </w:tcBorders>
            <w:gridSpan w:val="8"/>
          </w:tcPr>
          <w:p>
            <w:pPr>
              <w:spacing w:after="0" w:line="161" w:lineRule="exact"/>
              <w:rPr>
                <w:sz w:val="20"/>
                <w:szCs w:val="20"/>
                <w:color w:val="auto"/>
              </w:rPr>
            </w:pPr>
            <w:r>
              <w:rPr>
                <w:rFonts w:ascii="Arial" w:cs="Arial" w:eastAsia="Arial" w:hAnsi="Arial"/>
                <w:sz w:val="16"/>
                <w:szCs w:val="16"/>
                <w:color w:val="0000EE"/>
              </w:rPr>
              <w:t>Tax and Accounting Matters</w:t>
            </w:r>
          </w:p>
        </w:tc>
        <w:tc>
          <w:tcPr>
            <w:tcW w:w="1700" w:type="dxa"/>
            <w:vAlign w:val="bottom"/>
            <w:gridSpan w:val="5"/>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35"/>
        </w:trPr>
        <w:tc>
          <w:tcPr>
            <w:tcW w:w="4300" w:type="dxa"/>
            <w:vAlign w:val="bottom"/>
            <w:tcBorders>
              <w:bottom w:val="single" w:sz="8" w:color="284993"/>
            </w:tcBorders>
          </w:tcPr>
          <w:p>
            <w:pPr>
              <w:spacing w:after="0"/>
              <w:rPr>
                <w:sz w:val="11"/>
                <w:szCs w:val="11"/>
                <w:color w:val="auto"/>
              </w:rPr>
            </w:pPr>
          </w:p>
        </w:tc>
        <w:tc>
          <w:tcPr>
            <w:tcW w:w="320" w:type="dxa"/>
            <w:vAlign w:val="bottom"/>
            <w:tcBorders>
              <w:bottom w:val="single" w:sz="8" w:color="284993"/>
            </w:tcBorders>
          </w:tcPr>
          <w:p>
            <w:pPr>
              <w:spacing w:after="0"/>
              <w:rPr>
                <w:sz w:val="11"/>
                <w:szCs w:val="11"/>
                <w:color w:val="auto"/>
              </w:rPr>
            </w:pPr>
          </w:p>
        </w:tc>
        <w:tc>
          <w:tcPr>
            <w:tcW w:w="1380" w:type="dxa"/>
            <w:vAlign w:val="bottom"/>
            <w:tcBorders>
              <w:top w:val="single" w:sz="8" w:color="0000EE"/>
              <w:bottom w:val="single" w:sz="8" w:color="284993"/>
            </w:tcBorders>
          </w:tcPr>
          <w:p>
            <w:pPr>
              <w:spacing w:after="0"/>
              <w:rPr>
                <w:sz w:val="11"/>
                <w:szCs w:val="11"/>
                <w:color w:val="auto"/>
              </w:rPr>
            </w:pPr>
          </w:p>
        </w:tc>
        <w:tc>
          <w:tcPr>
            <w:tcW w:w="140" w:type="dxa"/>
            <w:vAlign w:val="bottom"/>
            <w:tcBorders>
              <w:top w:val="single" w:sz="8" w:color="0000EE"/>
              <w:bottom w:val="single" w:sz="8" w:color="284993"/>
            </w:tcBorders>
          </w:tcPr>
          <w:p>
            <w:pPr>
              <w:spacing w:after="0"/>
              <w:rPr>
                <w:sz w:val="11"/>
                <w:szCs w:val="11"/>
                <w:color w:val="auto"/>
              </w:rPr>
            </w:pPr>
          </w:p>
        </w:tc>
        <w:tc>
          <w:tcPr>
            <w:tcW w:w="160" w:type="dxa"/>
            <w:vAlign w:val="bottom"/>
            <w:tcBorders>
              <w:top w:val="single" w:sz="8" w:color="0000EE"/>
              <w:bottom w:val="single" w:sz="8" w:color="284993"/>
            </w:tcBorders>
          </w:tcPr>
          <w:p>
            <w:pPr>
              <w:spacing w:after="0"/>
              <w:rPr>
                <w:sz w:val="11"/>
                <w:szCs w:val="11"/>
                <w:color w:val="auto"/>
              </w:rPr>
            </w:pPr>
          </w:p>
        </w:tc>
        <w:tc>
          <w:tcPr>
            <w:tcW w:w="120" w:type="dxa"/>
            <w:vAlign w:val="bottom"/>
            <w:tcBorders>
              <w:top w:val="single" w:sz="8" w:color="0000EE"/>
              <w:bottom w:val="single" w:sz="8" w:color="284993"/>
            </w:tcBorders>
          </w:tcPr>
          <w:p>
            <w:pPr>
              <w:spacing w:after="0"/>
              <w:rPr>
                <w:sz w:val="11"/>
                <w:szCs w:val="11"/>
                <w:color w:val="auto"/>
              </w:rPr>
            </w:pPr>
          </w:p>
        </w:tc>
        <w:tc>
          <w:tcPr>
            <w:tcW w:w="120" w:type="dxa"/>
            <w:vAlign w:val="bottom"/>
            <w:tcBorders>
              <w:top w:val="single" w:sz="8" w:color="0000EE"/>
              <w:bottom w:val="single" w:sz="8" w:color="284993"/>
            </w:tcBorders>
          </w:tcPr>
          <w:p>
            <w:pPr>
              <w:spacing w:after="0"/>
              <w:rPr>
                <w:sz w:val="11"/>
                <w:szCs w:val="11"/>
                <w:color w:val="auto"/>
              </w:rPr>
            </w:pPr>
          </w:p>
        </w:tc>
        <w:tc>
          <w:tcPr>
            <w:tcW w:w="80" w:type="dxa"/>
            <w:vAlign w:val="bottom"/>
            <w:tcBorders>
              <w:bottom w:val="single" w:sz="8" w:color="284993"/>
            </w:tcBorders>
          </w:tcPr>
          <w:p>
            <w:pPr>
              <w:spacing w:after="0"/>
              <w:rPr>
                <w:sz w:val="11"/>
                <w:szCs w:val="11"/>
                <w:color w:val="auto"/>
              </w:rPr>
            </w:pPr>
          </w:p>
        </w:tc>
        <w:tc>
          <w:tcPr>
            <w:tcW w:w="140" w:type="dxa"/>
            <w:vAlign w:val="bottom"/>
            <w:tcBorders>
              <w:bottom w:val="single" w:sz="8" w:color="284993"/>
            </w:tcBorders>
          </w:tcPr>
          <w:p>
            <w:pPr>
              <w:spacing w:after="0"/>
              <w:rPr>
                <w:sz w:val="11"/>
                <w:szCs w:val="11"/>
                <w:color w:val="auto"/>
              </w:rPr>
            </w:pPr>
          </w:p>
        </w:tc>
        <w:tc>
          <w:tcPr>
            <w:tcW w:w="20" w:type="dxa"/>
            <w:vAlign w:val="bottom"/>
            <w:tcBorders>
              <w:bottom w:val="single" w:sz="8" w:color="284993"/>
            </w:tcBorders>
          </w:tcPr>
          <w:p>
            <w:pPr>
              <w:spacing w:after="0"/>
              <w:rPr>
                <w:sz w:val="11"/>
                <w:szCs w:val="11"/>
                <w:color w:val="auto"/>
              </w:rPr>
            </w:pPr>
          </w:p>
        </w:tc>
        <w:tc>
          <w:tcPr>
            <w:tcW w:w="240" w:type="dxa"/>
            <w:vAlign w:val="bottom"/>
            <w:tcBorders>
              <w:bottom w:val="single" w:sz="8" w:color="284993"/>
            </w:tcBorders>
          </w:tcPr>
          <w:p>
            <w:pPr>
              <w:spacing w:after="0"/>
              <w:rPr>
                <w:sz w:val="11"/>
                <w:szCs w:val="11"/>
                <w:color w:val="auto"/>
              </w:rPr>
            </w:pPr>
          </w:p>
        </w:tc>
        <w:tc>
          <w:tcPr>
            <w:tcW w:w="60" w:type="dxa"/>
            <w:vAlign w:val="bottom"/>
            <w:tcBorders>
              <w:bottom w:val="single" w:sz="8" w:color="284993"/>
            </w:tcBorders>
          </w:tcPr>
          <w:p>
            <w:pPr>
              <w:spacing w:after="0"/>
              <w:rPr>
                <w:sz w:val="11"/>
                <w:szCs w:val="11"/>
                <w:color w:val="auto"/>
              </w:rPr>
            </w:pPr>
          </w:p>
        </w:tc>
        <w:tc>
          <w:tcPr>
            <w:tcW w:w="820" w:type="dxa"/>
            <w:vAlign w:val="bottom"/>
            <w:tcBorders>
              <w:bottom w:val="single" w:sz="8" w:color="284993"/>
            </w:tcBorders>
          </w:tcPr>
          <w:p>
            <w:pPr>
              <w:spacing w:after="0"/>
              <w:rPr>
                <w:sz w:val="11"/>
                <w:szCs w:val="11"/>
                <w:color w:val="auto"/>
              </w:rPr>
            </w:pPr>
          </w:p>
        </w:tc>
        <w:tc>
          <w:tcPr>
            <w:tcW w:w="540" w:type="dxa"/>
            <w:vAlign w:val="bottom"/>
            <w:tcBorders>
              <w:bottom w:val="single" w:sz="8" w:color="284993"/>
            </w:tcBorders>
          </w:tcPr>
          <w:p>
            <w:pPr>
              <w:spacing w:after="0"/>
              <w:rPr>
                <w:sz w:val="11"/>
                <w:szCs w:val="11"/>
                <w:color w:val="auto"/>
              </w:rPr>
            </w:pPr>
          </w:p>
        </w:tc>
        <w:tc>
          <w:tcPr>
            <w:tcW w:w="40" w:type="dxa"/>
            <w:vAlign w:val="bottom"/>
            <w:tcBorders>
              <w:bottom w:val="single" w:sz="8" w:color="284993"/>
            </w:tcBorders>
          </w:tcPr>
          <w:p>
            <w:pPr>
              <w:spacing w:after="0"/>
              <w:rPr>
                <w:sz w:val="11"/>
                <w:szCs w:val="11"/>
                <w:color w:val="auto"/>
              </w:rPr>
            </w:pPr>
          </w:p>
        </w:tc>
        <w:tc>
          <w:tcPr>
            <w:tcW w:w="840" w:type="dxa"/>
            <w:vAlign w:val="bottom"/>
            <w:tcBorders>
              <w:bottom w:val="single" w:sz="8" w:color="284993"/>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300" w:type="dxa"/>
            <w:vAlign w:val="bottom"/>
          </w:tcPr>
          <w:p>
            <w:pPr>
              <w:ind w:left="260"/>
              <w:spacing w:after="0" w:line="182" w:lineRule="exact"/>
              <w:rPr>
                <w:sz w:val="20"/>
                <w:szCs w:val="20"/>
                <w:color w:val="auto"/>
              </w:rPr>
            </w:pPr>
            <w:r>
              <w:rPr>
                <w:rFonts w:ascii="Arial" w:cs="Arial" w:eastAsia="Arial" w:hAnsi="Arial"/>
                <w:sz w:val="21"/>
                <w:szCs w:val="21"/>
                <w:color w:val="284993"/>
              </w:rPr>
              <w:t>Compensation Committee Report</w:t>
            </w:r>
          </w:p>
        </w:tc>
        <w:tc>
          <w:tcPr>
            <w:tcW w:w="232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6"/>
              </w:rPr>
              <w:t>Compensation Committee Report</w:t>
            </w:r>
          </w:p>
        </w:tc>
        <w:tc>
          <w:tcPr>
            <w:tcW w:w="1860" w:type="dxa"/>
            <w:vAlign w:val="bottom"/>
            <w:gridSpan w:val="7"/>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180975</wp:posOffset>
            </wp:positionV>
            <wp:extent cx="59207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ectPr>
          <w:pgSz w:w="11900" w:h="16838" w:orient="portrait"/>
          <w:cols w:equalWidth="0" w:num="1">
            <w:col w:w="9320"/>
          </w:cols>
          <w:pgMar w:left="1280" w:top="226" w:right="1299" w:bottom="1440" w:gutter="0" w:footer="0" w:header="0"/>
          <w:type w:val="continuous"/>
        </w:sectPr>
      </w:pPr>
    </w:p>
    <w:p>
      <w:pPr>
        <w:spacing w:after="0" w:line="327" w:lineRule="exact"/>
        <w:rPr>
          <w:sz w:val="20"/>
          <w:szCs w:val="20"/>
          <w:color w:val="auto"/>
        </w:rPr>
      </w:pPr>
    </w:p>
    <w:p>
      <w:pPr>
        <w:ind w:left="260"/>
        <w:spacing w:after="0"/>
        <w:rPr>
          <w:sz w:val="20"/>
          <w:szCs w:val="20"/>
          <w:color w:val="auto"/>
        </w:rPr>
      </w:pPr>
      <w:r>
        <w:rPr>
          <w:rFonts w:ascii="Arial" w:cs="Arial" w:eastAsia="Arial" w:hAnsi="Arial"/>
          <w:sz w:val="24"/>
          <w:szCs w:val="24"/>
          <w:color w:val="284993"/>
        </w:rPr>
        <w:t>Executive Compensation</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740" w:type="dxa"/>
            <w:vAlign w:val="bottom"/>
            <w:gridSpan w:val="5"/>
          </w:tcPr>
          <w:p>
            <w:pPr>
              <w:spacing w:after="0"/>
              <w:rPr>
                <w:sz w:val="20"/>
                <w:szCs w:val="20"/>
                <w:color w:val="auto"/>
              </w:rPr>
            </w:pPr>
            <w:r>
              <w:rPr>
                <w:rFonts w:ascii="Arial" w:cs="Arial" w:eastAsia="Arial" w:hAnsi="Arial"/>
                <w:sz w:val="16"/>
                <w:szCs w:val="16"/>
                <w:color w:val="0000EE"/>
              </w:rPr>
              <w:t>Executive Compensation</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70</w:t>
            </w:r>
          </w:p>
        </w:tc>
        <w:tc>
          <w:tcPr>
            <w:tcW w:w="0" w:type="dxa"/>
            <w:vAlign w:val="bottom"/>
          </w:tcPr>
          <w:p>
            <w:pPr>
              <w:spacing w:after="0" w:line="20" w:lineRule="exact"/>
              <w:rPr>
                <w:sz w:val="1"/>
                <w:szCs w:val="1"/>
                <w:color w:val="auto"/>
              </w:rPr>
            </w:pPr>
          </w:p>
        </w:tc>
      </w:tr>
      <w:tr>
        <w:trPr>
          <w:trHeight w:val="161"/>
        </w:trPr>
        <w:tc>
          <w:tcPr>
            <w:tcW w:w="680" w:type="dxa"/>
            <w:vAlign w:val="bottom"/>
            <w:gridSpan w:val="2"/>
          </w:tcPr>
          <w:p>
            <w:pPr>
              <w:ind w:left="320"/>
              <w:spacing w:after="0" w:line="161" w:lineRule="exact"/>
              <w:rPr>
                <w:sz w:val="20"/>
                <w:szCs w:val="20"/>
                <w:color w:val="auto"/>
              </w:rPr>
            </w:pPr>
            <w:r>
              <w:rPr>
                <w:rFonts w:ascii="Arial" w:cs="Arial" w:eastAsia="Arial" w:hAnsi="Arial"/>
                <w:sz w:val="16"/>
                <w:szCs w:val="16"/>
                <w:color w:val="0000EE"/>
                <w:w w:val="95"/>
              </w:rPr>
              <w:t>2022</w:t>
            </w:r>
          </w:p>
        </w:tc>
        <w:tc>
          <w:tcPr>
            <w:tcW w:w="3200" w:type="dxa"/>
            <w:vAlign w:val="bottom"/>
            <w:gridSpan w:val="6"/>
          </w:tcPr>
          <w:p>
            <w:pPr>
              <w:ind w:left="20"/>
              <w:spacing w:after="0" w:line="161" w:lineRule="exact"/>
              <w:rPr>
                <w:sz w:val="20"/>
                <w:szCs w:val="20"/>
                <w:color w:val="auto"/>
              </w:rPr>
            </w:pPr>
            <w:r>
              <w:rPr>
                <w:rFonts w:ascii="Arial" w:cs="Arial" w:eastAsia="Arial" w:hAnsi="Arial"/>
                <w:sz w:val="16"/>
                <w:szCs w:val="16"/>
                <w:color w:val="0000EE"/>
              </w:rPr>
              <w:t>Summary Compensation Table</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2420" w:type="dxa"/>
            <w:vAlign w:val="bottom"/>
            <w:tcBorders>
              <w:top w:val="single" w:sz="8" w:color="0000EE"/>
            </w:tcBorders>
            <w:gridSpan w:val="4"/>
          </w:tcPr>
          <w:p>
            <w:pPr>
              <w:spacing w:after="0" w:line="161" w:lineRule="exact"/>
              <w:rPr>
                <w:sz w:val="20"/>
                <w:szCs w:val="20"/>
                <w:color w:val="auto"/>
              </w:rPr>
            </w:pPr>
            <w:r>
              <w:rPr>
                <w:rFonts w:ascii="Arial" w:cs="Arial" w:eastAsia="Arial" w:hAnsi="Arial"/>
                <w:sz w:val="16"/>
                <w:szCs w:val="16"/>
                <w:color w:val="0000EE"/>
              </w:rPr>
              <w:t>Other Compensation</w:t>
            </w:r>
          </w:p>
        </w:tc>
        <w:tc>
          <w:tcPr>
            <w:tcW w:w="80" w:type="dxa"/>
            <w:vAlign w:val="bottom"/>
            <w:tcBorders>
              <w:top w:val="single" w:sz="8" w:color="0000EE"/>
            </w:tcBorders>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jc w:val="right"/>
              <w:spacing w:after="0" w:line="161"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72</w:t>
            </w:r>
          </w:p>
        </w:tc>
        <w:tc>
          <w:tcPr>
            <w:tcW w:w="0" w:type="dxa"/>
            <w:vAlign w:val="bottom"/>
          </w:tcPr>
          <w:p>
            <w:pPr>
              <w:spacing w:after="0" w:line="20" w:lineRule="exact"/>
              <w:rPr>
                <w:sz w:val="1"/>
                <w:szCs w:val="1"/>
                <w:color w:val="auto"/>
              </w:rPr>
            </w:pPr>
          </w:p>
        </w:tc>
      </w:tr>
      <w:tr>
        <w:trPr>
          <w:trHeight w:val="161"/>
        </w:trPr>
        <w:tc>
          <w:tcPr>
            <w:tcW w:w="680" w:type="dxa"/>
            <w:vAlign w:val="bottom"/>
            <w:gridSpan w:val="2"/>
          </w:tcPr>
          <w:p>
            <w:pPr>
              <w:ind w:left="320"/>
              <w:spacing w:after="0" w:line="161" w:lineRule="exact"/>
              <w:rPr>
                <w:sz w:val="20"/>
                <w:szCs w:val="20"/>
                <w:color w:val="auto"/>
              </w:rPr>
            </w:pPr>
            <w:r>
              <w:rPr>
                <w:rFonts w:ascii="Arial" w:cs="Arial" w:eastAsia="Arial" w:hAnsi="Arial"/>
                <w:sz w:val="16"/>
                <w:szCs w:val="16"/>
                <w:color w:val="0000EE"/>
                <w:w w:val="95"/>
              </w:rPr>
              <w:t>2022</w:t>
            </w:r>
          </w:p>
        </w:tc>
        <w:tc>
          <w:tcPr>
            <w:tcW w:w="2060" w:type="dxa"/>
            <w:vAlign w:val="bottom"/>
            <w:gridSpan w:val="3"/>
          </w:tcPr>
          <w:p>
            <w:pPr>
              <w:ind w:left="20"/>
              <w:spacing w:after="0" w:line="161" w:lineRule="exact"/>
              <w:rPr>
                <w:sz w:val="20"/>
                <w:szCs w:val="20"/>
                <w:color w:val="auto"/>
              </w:rPr>
            </w:pPr>
            <w:r>
              <w:rPr>
                <w:rFonts w:ascii="Arial" w:cs="Arial" w:eastAsia="Arial" w:hAnsi="Arial"/>
                <w:sz w:val="16"/>
                <w:szCs w:val="16"/>
                <w:color w:val="0000EE"/>
                <w:w w:val="95"/>
              </w:rPr>
              <w:t>Grants of Plan-Based Awards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2420" w:type="dxa"/>
            <w:vAlign w:val="bottom"/>
            <w:tcBorders>
              <w:top w:val="single" w:sz="8" w:color="0000EE"/>
              <w:bottom w:val="single" w:sz="8" w:color="0000EE"/>
            </w:tcBorders>
            <w:gridSpan w:val="4"/>
          </w:tcPr>
          <w:p>
            <w:pPr>
              <w:spacing w:after="0" w:line="161" w:lineRule="exact"/>
              <w:rPr>
                <w:sz w:val="20"/>
                <w:szCs w:val="20"/>
                <w:color w:val="auto"/>
              </w:rPr>
            </w:pPr>
            <w:r>
              <w:rPr>
                <w:rFonts w:ascii="Arial" w:cs="Arial" w:eastAsia="Arial" w:hAnsi="Arial"/>
                <w:sz w:val="16"/>
                <w:szCs w:val="16"/>
                <w:color w:val="0000EE"/>
                <w:w w:val="95"/>
              </w:rPr>
              <w:t>Outstanding Equity Awards at 2022</w:t>
            </w:r>
          </w:p>
        </w:tc>
        <w:tc>
          <w:tcPr>
            <w:tcW w:w="1140" w:type="dxa"/>
            <w:vAlign w:val="bottom"/>
            <w:tcBorders>
              <w:bottom w:val="single" w:sz="8" w:color="0000EE"/>
            </w:tcBorders>
            <w:gridSpan w:val="3"/>
          </w:tcPr>
          <w:p>
            <w:pPr>
              <w:ind w:left="60"/>
              <w:spacing w:after="0" w:line="161" w:lineRule="exact"/>
              <w:rPr>
                <w:sz w:val="20"/>
                <w:szCs w:val="20"/>
                <w:color w:val="auto"/>
              </w:rPr>
            </w:pPr>
            <w:r>
              <w:rPr>
                <w:rFonts w:ascii="Arial" w:cs="Arial" w:eastAsia="Arial" w:hAnsi="Arial"/>
                <w:sz w:val="16"/>
                <w:szCs w:val="16"/>
                <w:color w:val="0000EE"/>
                <w:w w:val="93"/>
              </w:rPr>
              <w:t>Fiscal Year-End</w:t>
            </w:r>
          </w:p>
        </w:tc>
        <w:tc>
          <w:tcPr>
            <w:tcW w:w="1100" w:type="dxa"/>
            <w:vAlign w:val="bottom"/>
          </w:tcPr>
          <w:p>
            <w:pPr>
              <w:jc w:val="right"/>
              <w:spacing w:after="0" w:line="161"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61"/>
        </w:trPr>
        <w:tc>
          <w:tcPr>
            <w:tcW w:w="680" w:type="dxa"/>
            <w:vAlign w:val="bottom"/>
            <w:gridSpan w:val="2"/>
          </w:tcPr>
          <w:p>
            <w:pPr>
              <w:ind w:left="320"/>
              <w:spacing w:after="0" w:line="161" w:lineRule="exact"/>
              <w:rPr>
                <w:sz w:val="20"/>
                <w:szCs w:val="20"/>
                <w:color w:val="auto"/>
              </w:rPr>
            </w:pPr>
            <w:r>
              <w:rPr>
                <w:rFonts w:ascii="Arial" w:cs="Arial" w:eastAsia="Arial" w:hAnsi="Arial"/>
                <w:sz w:val="16"/>
                <w:szCs w:val="16"/>
                <w:color w:val="0000EE"/>
                <w:w w:val="95"/>
              </w:rPr>
              <w:t>2022</w:t>
            </w:r>
          </w:p>
        </w:tc>
        <w:tc>
          <w:tcPr>
            <w:tcW w:w="3200" w:type="dxa"/>
            <w:vAlign w:val="bottom"/>
            <w:gridSpan w:val="6"/>
          </w:tcPr>
          <w:p>
            <w:pPr>
              <w:ind w:left="20"/>
              <w:spacing w:after="0" w:line="161" w:lineRule="exact"/>
              <w:rPr>
                <w:sz w:val="20"/>
                <w:szCs w:val="20"/>
                <w:color w:val="auto"/>
              </w:rPr>
            </w:pPr>
            <w:r>
              <w:rPr>
                <w:rFonts w:ascii="Arial" w:cs="Arial" w:eastAsia="Arial" w:hAnsi="Arial"/>
                <w:sz w:val="16"/>
                <w:szCs w:val="16"/>
                <w:color w:val="0000EE"/>
              </w:rPr>
              <w:t>Nonqualified Deferred Compensation</w:t>
            </w:r>
          </w:p>
        </w:tc>
        <w:tc>
          <w:tcPr>
            <w:tcW w:w="1100" w:type="dxa"/>
            <w:vAlign w:val="bottom"/>
          </w:tcPr>
          <w:p>
            <w:pPr>
              <w:jc w:val="right"/>
              <w:spacing w:after="0" w:line="161"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90170</wp:posOffset>
            </wp:positionV>
            <wp:extent cx="59207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580" w:space="720"/>
            <w:col w:w="5020"/>
          </w:cols>
          <w:pgMar w:left="1280" w:top="226" w:right="1299" w:bottom="1440" w:gutter="0" w:footer="0" w:header="0"/>
          <w:type w:val="continuous"/>
        </w:sectPr>
      </w:pPr>
    </w:p>
    <w:tbl>
      <w:tblPr>
        <w:tblLayout w:type="fixed"/>
        <w:tblInd w:w="0" w:type="dxa"/>
        <w:tblCellMar>
          <w:top w:w="0" w:type="dxa"/>
          <w:left w:w="0" w:type="dxa"/>
          <w:bottom w:w="0" w:type="dxa"/>
          <w:right w:w="0" w:type="dxa"/>
        </w:tblCellMar>
      </w:tblPr>
      <w:tr>
        <w:trPr>
          <w:trHeight w:val="289"/>
        </w:trPr>
        <w:tc>
          <w:tcPr>
            <w:tcW w:w="4060" w:type="dxa"/>
            <w:vAlign w:val="bottom"/>
          </w:tcPr>
          <w:p>
            <w:pPr>
              <w:ind w:left="260"/>
              <w:spacing w:after="0"/>
              <w:rPr>
                <w:sz w:val="20"/>
                <w:szCs w:val="20"/>
                <w:color w:val="auto"/>
              </w:rPr>
            </w:pPr>
            <w:r>
              <w:rPr>
                <w:rFonts w:ascii="Arial" w:cs="Arial" w:eastAsia="Arial" w:hAnsi="Arial"/>
                <w:sz w:val="24"/>
                <w:szCs w:val="24"/>
                <w:color w:val="284993"/>
              </w:rPr>
              <w:t>Potential Payments Upon</w:t>
            </w:r>
          </w:p>
        </w:tc>
        <w:tc>
          <w:tcPr>
            <w:tcW w:w="4320" w:type="dxa"/>
            <w:vAlign w:val="bottom"/>
            <w:gridSpan w:val="11"/>
          </w:tcPr>
          <w:p>
            <w:pPr>
              <w:ind w:left="240"/>
              <w:spacing w:after="0"/>
              <w:rPr>
                <w:sz w:val="20"/>
                <w:szCs w:val="20"/>
                <w:color w:val="auto"/>
              </w:rPr>
            </w:pPr>
            <w:r>
              <w:rPr>
                <w:rFonts w:ascii="Arial" w:cs="Arial" w:eastAsia="Arial" w:hAnsi="Arial"/>
                <w:sz w:val="16"/>
                <w:szCs w:val="16"/>
                <w:color w:val="0000EE"/>
                <w:w w:val="96"/>
              </w:rPr>
              <w:t>Potential Payments Upon Termination or Change in Control</w:t>
            </w:r>
          </w:p>
        </w:tc>
        <w:tc>
          <w:tcPr>
            <w:tcW w:w="94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61"/>
        </w:trPr>
        <w:tc>
          <w:tcPr>
            <w:tcW w:w="4060" w:type="dxa"/>
            <w:vAlign w:val="bottom"/>
            <w:vMerge w:val="restart"/>
          </w:tcPr>
          <w:p>
            <w:pPr>
              <w:ind w:left="260"/>
              <w:spacing w:after="0"/>
              <w:rPr>
                <w:sz w:val="20"/>
                <w:szCs w:val="20"/>
                <w:color w:val="auto"/>
              </w:rPr>
            </w:pPr>
            <w:r>
              <w:rPr>
                <w:rFonts w:ascii="Arial" w:cs="Arial" w:eastAsia="Arial" w:hAnsi="Arial"/>
                <w:sz w:val="24"/>
                <w:szCs w:val="24"/>
                <w:color w:val="284993"/>
              </w:rPr>
              <w:t>Termination or Change in Control</w:t>
            </w:r>
          </w:p>
        </w:tc>
        <w:tc>
          <w:tcPr>
            <w:tcW w:w="240" w:type="dxa"/>
            <w:vAlign w:val="bottom"/>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0" w:type="dxa"/>
            <w:vAlign w:val="bottom"/>
            <w:tcBorders>
              <w:top w:val="single" w:sz="8" w:color="0000EE"/>
              <w:bottom w:val="single" w:sz="8" w:color="0000EE"/>
            </w:tcBorders>
            <w:gridSpan w:val="2"/>
          </w:tcPr>
          <w:p>
            <w:pPr>
              <w:spacing w:after="0" w:line="161" w:lineRule="exact"/>
              <w:rPr>
                <w:sz w:val="20"/>
                <w:szCs w:val="20"/>
                <w:color w:val="auto"/>
              </w:rPr>
            </w:pPr>
            <w:r>
              <w:rPr>
                <w:rFonts w:ascii="Arial" w:cs="Arial" w:eastAsia="Arial" w:hAnsi="Arial"/>
                <w:sz w:val="16"/>
                <w:szCs w:val="16"/>
                <w:color w:val="0000EE"/>
                <w:w w:val="95"/>
              </w:rPr>
              <w:t>Severance Policy</w:t>
            </w:r>
          </w:p>
        </w:tc>
        <w:tc>
          <w:tcPr>
            <w:tcW w:w="2560" w:type="dxa"/>
            <w:vAlign w:val="bottom"/>
            <w:tcBorders>
              <w:top w:val="single" w:sz="8" w:color="0000EE"/>
            </w:tcBorders>
            <w:gridSpan w:val="7"/>
          </w:tcPr>
          <w:p>
            <w:pPr>
              <w:spacing w:after="0"/>
              <w:rPr>
                <w:sz w:val="14"/>
                <w:szCs w:val="14"/>
                <w:color w:val="auto"/>
              </w:rPr>
            </w:pP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61"/>
        </w:trPr>
        <w:tc>
          <w:tcPr>
            <w:tcW w:w="4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gridSpan w:val="9"/>
          </w:tcPr>
          <w:p>
            <w:pPr>
              <w:spacing w:after="0" w:line="161" w:lineRule="exact"/>
              <w:rPr>
                <w:sz w:val="20"/>
                <w:szCs w:val="20"/>
                <w:color w:val="auto"/>
              </w:rPr>
            </w:pPr>
            <w:r>
              <w:rPr>
                <w:rFonts w:ascii="Arial" w:cs="Arial" w:eastAsia="Arial" w:hAnsi="Arial"/>
                <w:sz w:val="16"/>
                <w:szCs w:val="16"/>
                <w:color w:val="0000EE"/>
              </w:rPr>
              <w:t>CEO Severance Agreement</w:t>
            </w: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75</w:t>
            </w:r>
          </w:p>
        </w:tc>
        <w:tc>
          <w:tcPr>
            <w:tcW w:w="0" w:type="dxa"/>
            <w:vAlign w:val="bottom"/>
          </w:tcPr>
          <w:p>
            <w:pPr>
              <w:spacing w:after="0" w:line="20" w:lineRule="exact"/>
              <w:rPr>
                <w:sz w:val="1"/>
                <w:szCs w:val="1"/>
                <w:color w:val="auto"/>
              </w:rPr>
            </w:pPr>
          </w:p>
        </w:tc>
      </w:tr>
      <w:tr>
        <w:trPr>
          <w:trHeight w:val="161"/>
        </w:trPr>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gridSpan w:val="9"/>
          </w:tcPr>
          <w:p>
            <w:pPr>
              <w:spacing w:after="0" w:line="161" w:lineRule="exact"/>
              <w:rPr>
                <w:sz w:val="20"/>
                <w:szCs w:val="20"/>
                <w:color w:val="auto"/>
              </w:rPr>
            </w:pPr>
            <w:r>
              <w:rPr>
                <w:rFonts w:ascii="Arial" w:cs="Arial" w:eastAsia="Arial" w:hAnsi="Arial"/>
                <w:sz w:val="16"/>
                <w:szCs w:val="16"/>
                <w:color w:val="0000EE"/>
              </w:rPr>
              <w:t>Change in Control Agreements</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77</w:t>
            </w:r>
          </w:p>
        </w:tc>
        <w:tc>
          <w:tcPr>
            <w:tcW w:w="0" w:type="dxa"/>
            <w:vAlign w:val="bottom"/>
          </w:tcPr>
          <w:p>
            <w:pPr>
              <w:spacing w:after="0" w:line="20" w:lineRule="exact"/>
              <w:rPr>
                <w:sz w:val="1"/>
                <w:szCs w:val="1"/>
                <w:color w:val="auto"/>
              </w:rPr>
            </w:pPr>
          </w:p>
        </w:tc>
      </w:tr>
      <w:tr>
        <w:trPr>
          <w:trHeight w:val="161"/>
        </w:trPr>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gridSpan w:val="9"/>
          </w:tcPr>
          <w:p>
            <w:pPr>
              <w:spacing w:after="0" w:line="161" w:lineRule="exact"/>
              <w:rPr>
                <w:sz w:val="20"/>
                <w:szCs w:val="20"/>
                <w:color w:val="auto"/>
              </w:rPr>
            </w:pPr>
            <w:r>
              <w:rPr>
                <w:rFonts w:ascii="Arial" w:cs="Arial" w:eastAsia="Arial" w:hAnsi="Arial"/>
                <w:sz w:val="16"/>
                <w:szCs w:val="16"/>
                <w:color w:val="0000EE"/>
              </w:rPr>
              <w:t>Post-Termination Benefits Under Incentive Plans</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20" w:type="dxa"/>
            <w:vAlign w:val="bottom"/>
            <w:tcBorders>
              <w:top w:val="single" w:sz="8" w:color="0000EE"/>
            </w:tcBorders>
            <w:gridSpan w:val="7"/>
          </w:tcPr>
          <w:p>
            <w:pPr>
              <w:spacing w:after="0" w:line="161" w:lineRule="exact"/>
              <w:rPr>
                <w:sz w:val="20"/>
                <w:szCs w:val="20"/>
                <w:color w:val="auto"/>
              </w:rPr>
            </w:pPr>
            <w:r>
              <w:rPr>
                <w:rFonts w:ascii="Arial" w:cs="Arial" w:eastAsia="Arial" w:hAnsi="Arial"/>
                <w:sz w:val="16"/>
                <w:szCs w:val="16"/>
                <w:color w:val="0000EE"/>
              </w:rPr>
              <w:t>Forfeiture and Right of Recoupment</w:t>
            </w:r>
          </w:p>
        </w:tc>
        <w:tc>
          <w:tcPr>
            <w:tcW w:w="440" w:type="dxa"/>
            <w:vAlign w:val="bottom"/>
            <w:gridSpan w:val="2"/>
          </w:tcPr>
          <w:p>
            <w:pPr>
              <w:spacing w:after="0"/>
              <w:rPr>
                <w:sz w:val="14"/>
                <w:szCs w:val="14"/>
                <w:color w:val="auto"/>
              </w:rPr>
            </w:pP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78</w:t>
            </w:r>
          </w:p>
        </w:tc>
        <w:tc>
          <w:tcPr>
            <w:tcW w:w="0" w:type="dxa"/>
            <w:vAlign w:val="bottom"/>
          </w:tcPr>
          <w:p>
            <w:pPr>
              <w:spacing w:after="0" w:line="20" w:lineRule="exact"/>
              <w:rPr>
                <w:sz w:val="1"/>
                <w:szCs w:val="1"/>
                <w:color w:val="auto"/>
              </w:rPr>
            </w:pPr>
          </w:p>
        </w:tc>
      </w:tr>
      <w:tr>
        <w:trPr>
          <w:trHeight w:val="161"/>
        </w:trPr>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gridSpan w:val="9"/>
          </w:tcPr>
          <w:p>
            <w:pPr>
              <w:spacing w:after="0" w:line="161" w:lineRule="exact"/>
              <w:rPr>
                <w:sz w:val="20"/>
                <w:szCs w:val="20"/>
                <w:color w:val="auto"/>
              </w:rPr>
            </w:pPr>
            <w:r>
              <w:rPr>
                <w:rFonts w:ascii="Arial" w:cs="Arial" w:eastAsia="Arial" w:hAnsi="Arial"/>
                <w:sz w:val="16"/>
                <w:szCs w:val="16"/>
                <w:color w:val="0000EE"/>
              </w:rPr>
              <w:t>Potential Post-Termination Benefits Table</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80</w:t>
            </w:r>
          </w:p>
        </w:tc>
        <w:tc>
          <w:tcPr>
            <w:tcW w:w="0" w:type="dxa"/>
            <w:vAlign w:val="bottom"/>
          </w:tcPr>
          <w:p>
            <w:pPr>
              <w:spacing w:after="0" w:line="20" w:lineRule="exact"/>
              <w:rPr>
                <w:sz w:val="1"/>
                <w:szCs w:val="1"/>
                <w:color w:val="auto"/>
              </w:rPr>
            </w:pPr>
          </w:p>
        </w:tc>
      </w:tr>
      <w:tr>
        <w:trPr>
          <w:trHeight w:val="161"/>
        </w:trPr>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gridSpan w:val="9"/>
          </w:tcPr>
          <w:p>
            <w:pPr>
              <w:spacing w:after="0" w:line="161" w:lineRule="exact"/>
              <w:rPr>
                <w:sz w:val="20"/>
                <w:szCs w:val="20"/>
                <w:color w:val="auto"/>
              </w:rPr>
            </w:pPr>
            <w:r>
              <w:rPr>
                <w:rFonts w:ascii="Arial" w:cs="Arial" w:eastAsia="Arial" w:hAnsi="Arial"/>
                <w:sz w:val="16"/>
                <w:szCs w:val="16"/>
                <w:color w:val="0000EE"/>
              </w:rPr>
              <w:t>Actual NEO Departures and Transitions During 2022</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60" w:type="dxa"/>
            <w:vAlign w:val="bottom"/>
            <w:tcBorders>
              <w:bottom w:val="single" w:sz="8" w:color="284993"/>
            </w:tcBorders>
          </w:tcPr>
          <w:p>
            <w:pPr>
              <w:spacing w:after="0"/>
              <w:rPr>
                <w:sz w:val="11"/>
                <w:szCs w:val="11"/>
                <w:color w:val="auto"/>
              </w:rPr>
            </w:pPr>
          </w:p>
        </w:tc>
        <w:tc>
          <w:tcPr>
            <w:tcW w:w="240" w:type="dxa"/>
            <w:vAlign w:val="bottom"/>
            <w:tcBorders>
              <w:bottom w:val="single" w:sz="8" w:color="284993"/>
            </w:tcBorders>
          </w:tcPr>
          <w:p>
            <w:pPr>
              <w:spacing w:after="0"/>
              <w:rPr>
                <w:sz w:val="11"/>
                <w:szCs w:val="11"/>
                <w:color w:val="auto"/>
              </w:rPr>
            </w:pPr>
          </w:p>
        </w:tc>
        <w:tc>
          <w:tcPr>
            <w:tcW w:w="320" w:type="dxa"/>
            <w:vAlign w:val="bottom"/>
            <w:tcBorders>
              <w:bottom w:val="single" w:sz="8" w:color="284993"/>
            </w:tcBorders>
          </w:tcPr>
          <w:p>
            <w:pPr>
              <w:spacing w:after="0"/>
              <w:rPr>
                <w:sz w:val="11"/>
                <w:szCs w:val="11"/>
                <w:color w:val="auto"/>
              </w:rPr>
            </w:pPr>
          </w:p>
        </w:tc>
        <w:tc>
          <w:tcPr>
            <w:tcW w:w="1120" w:type="dxa"/>
            <w:vAlign w:val="bottom"/>
            <w:tcBorders>
              <w:top w:val="single" w:sz="8" w:color="0000EE"/>
              <w:bottom w:val="single" w:sz="8" w:color="284993"/>
            </w:tcBorders>
          </w:tcPr>
          <w:p>
            <w:pPr>
              <w:spacing w:after="0"/>
              <w:rPr>
                <w:sz w:val="11"/>
                <w:szCs w:val="11"/>
                <w:color w:val="auto"/>
              </w:rPr>
            </w:pPr>
          </w:p>
        </w:tc>
        <w:tc>
          <w:tcPr>
            <w:tcW w:w="80" w:type="dxa"/>
            <w:vAlign w:val="bottom"/>
            <w:tcBorders>
              <w:top w:val="single" w:sz="8" w:color="0000EE"/>
              <w:bottom w:val="single" w:sz="8" w:color="284993"/>
            </w:tcBorders>
          </w:tcPr>
          <w:p>
            <w:pPr>
              <w:spacing w:after="0"/>
              <w:rPr>
                <w:sz w:val="11"/>
                <w:szCs w:val="11"/>
                <w:color w:val="auto"/>
              </w:rPr>
            </w:pPr>
          </w:p>
        </w:tc>
        <w:tc>
          <w:tcPr>
            <w:tcW w:w="720" w:type="dxa"/>
            <w:vAlign w:val="bottom"/>
            <w:tcBorders>
              <w:top w:val="single" w:sz="8" w:color="0000EE"/>
              <w:bottom w:val="single" w:sz="8" w:color="284993"/>
            </w:tcBorders>
          </w:tcPr>
          <w:p>
            <w:pPr>
              <w:spacing w:after="0"/>
              <w:rPr>
                <w:sz w:val="11"/>
                <w:szCs w:val="11"/>
                <w:color w:val="auto"/>
              </w:rPr>
            </w:pPr>
          </w:p>
        </w:tc>
        <w:tc>
          <w:tcPr>
            <w:tcW w:w="200" w:type="dxa"/>
            <w:vAlign w:val="bottom"/>
            <w:tcBorders>
              <w:top w:val="single" w:sz="8" w:color="0000EE"/>
              <w:bottom w:val="single" w:sz="8" w:color="284993"/>
            </w:tcBorders>
          </w:tcPr>
          <w:p>
            <w:pPr>
              <w:spacing w:after="0"/>
              <w:rPr>
                <w:sz w:val="11"/>
                <w:szCs w:val="11"/>
                <w:color w:val="auto"/>
              </w:rPr>
            </w:pPr>
          </w:p>
        </w:tc>
        <w:tc>
          <w:tcPr>
            <w:tcW w:w="340" w:type="dxa"/>
            <w:vAlign w:val="bottom"/>
            <w:tcBorders>
              <w:top w:val="single" w:sz="8" w:color="0000EE"/>
              <w:bottom w:val="single" w:sz="8" w:color="284993"/>
            </w:tcBorders>
          </w:tcPr>
          <w:p>
            <w:pPr>
              <w:spacing w:after="0"/>
              <w:rPr>
                <w:sz w:val="11"/>
                <w:szCs w:val="11"/>
                <w:color w:val="auto"/>
              </w:rPr>
            </w:pPr>
          </w:p>
        </w:tc>
        <w:tc>
          <w:tcPr>
            <w:tcW w:w="360" w:type="dxa"/>
            <w:vAlign w:val="bottom"/>
            <w:tcBorders>
              <w:top w:val="single" w:sz="8" w:color="0000EE"/>
              <w:bottom w:val="single" w:sz="8" w:color="284993"/>
            </w:tcBorders>
          </w:tcPr>
          <w:p>
            <w:pPr>
              <w:spacing w:after="0"/>
              <w:rPr>
                <w:sz w:val="11"/>
                <w:szCs w:val="11"/>
                <w:color w:val="auto"/>
              </w:rPr>
            </w:pPr>
          </w:p>
        </w:tc>
        <w:tc>
          <w:tcPr>
            <w:tcW w:w="500" w:type="dxa"/>
            <w:vAlign w:val="bottom"/>
            <w:tcBorders>
              <w:top w:val="single" w:sz="8" w:color="0000EE"/>
              <w:bottom w:val="single" w:sz="8" w:color="284993"/>
            </w:tcBorders>
          </w:tcPr>
          <w:p>
            <w:pPr>
              <w:spacing w:after="0"/>
              <w:rPr>
                <w:sz w:val="11"/>
                <w:szCs w:val="11"/>
                <w:color w:val="auto"/>
              </w:rPr>
            </w:pPr>
          </w:p>
        </w:tc>
        <w:tc>
          <w:tcPr>
            <w:tcW w:w="280" w:type="dxa"/>
            <w:vAlign w:val="bottom"/>
            <w:tcBorders>
              <w:top w:val="single" w:sz="8" w:color="0000EE"/>
              <w:bottom w:val="single" w:sz="8" w:color="284993"/>
            </w:tcBorders>
          </w:tcPr>
          <w:p>
            <w:pPr>
              <w:spacing w:after="0"/>
              <w:rPr>
                <w:sz w:val="11"/>
                <w:szCs w:val="11"/>
                <w:color w:val="auto"/>
              </w:rPr>
            </w:pPr>
          </w:p>
        </w:tc>
        <w:tc>
          <w:tcPr>
            <w:tcW w:w="160" w:type="dxa"/>
            <w:vAlign w:val="bottom"/>
            <w:tcBorders>
              <w:bottom w:val="single" w:sz="8" w:color="284993"/>
            </w:tcBorders>
          </w:tcPr>
          <w:p>
            <w:pPr>
              <w:spacing w:after="0"/>
              <w:rPr>
                <w:sz w:val="11"/>
                <w:szCs w:val="11"/>
                <w:color w:val="auto"/>
              </w:rPr>
            </w:pPr>
          </w:p>
        </w:tc>
        <w:tc>
          <w:tcPr>
            <w:tcW w:w="940" w:type="dxa"/>
            <w:vAlign w:val="bottom"/>
            <w:tcBorders>
              <w:bottom w:val="single" w:sz="8" w:color="284993"/>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4060" w:type="dxa"/>
            <w:vAlign w:val="bottom"/>
          </w:tcPr>
          <w:p>
            <w:pPr>
              <w:ind w:left="260"/>
              <w:spacing w:after="0"/>
              <w:rPr>
                <w:sz w:val="20"/>
                <w:szCs w:val="20"/>
                <w:color w:val="auto"/>
              </w:rPr>
            </w:pPr>
            <w:r>
              <w:rPr>
                <w:rFonts w:ascii="Arial" w:cs="Arial" w:eastAsia="Arial" w:hAnsi="Arial"/>
                <w:sz w:val="24"/>
                <w:szCs w:val="24"/>
                <w:color w:val="284993"/>
              </w:rPr>
              <w:t>Pay Ratio Disclosure</w:t>
            </w:r>
          </w:p>
        </w:tc>
        <w:tc>
          <w:tcPr>
            <w:tcW w:w="4320" w:type="dxa"/>
            <w:vAlign w:val="bottom"/>
            <w:gridSpan w:val="11"/>
          </w:tcPr>
          <w:p>
            <w:pPr>
              <w:ind w:left="240"/>
              <w:spacing w:after="0"/>
              <w:rPr>
                <w:sz w:val="20"/>
                <w:szCs w:val="20"/>
                <w:color w:val="auto"/>
              </w:rPr>
            </w:pPr>
            <w:r>
              <w:rPr>
                <w:rFonts w:ascii="Arial" w:cs="Arial" w:eastAsia="Arial" w:hAnsi="Arial"/>
                <w:sz w:val="16"/>
                <w:szCs w:val="16"/>
                <w:color w:val="0000EE"/>
              </w:rPr>
              <w:t>Pay Ratio Disclosure</w:t>
            </w: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35"/>
        </w:trPr>
        <w:tc>
          <w:tcPr>
            <w:tcW w:w="4060" w:type="dxa"/>
            <w:vAlign w:val="bottom"/>
            <w:tcBorders>
              <w:bottom w:val="single" w:sz="8" w:color="284993"/>
            </w:tcBorders>
          </w:tcPr>
          <w:p>
            <w:pPr>
              <w:spacing w:after="0"/>
              <w:rPr>
                <w:sz w:val="11"/>
                <w:szCs w:val="11"/>
                <w:color w:val="auto"/>
              </w:rPr>
            </w:pPr>
          </w:p>
        </w:tc>
        <w:tc>
          <w:tcPr>
            <w:tcW w:w="240" w:type="dxa"/>
            <w:vAlign w:val="bottom"/>
            <w:tcBorders>
              <w:bottom w:val="single" w:sz="8" w:color="284993"/>
            </w:tcBorders>
          </w:tcPr>
          <w:p>
            <w:pPr>
              <w:spacing w:after="0"/>
              <w:rPr>
                <w:sz w:val="11"/>
                <w:szCs w:val="11"/>
                <w:color w:val="auto"/>
              </w:rPr>
            </w:pPr>
          </w:p>
        </w:tc>
        <w:tc>
          <w:tcPr>
            <w:tcW w:w="320" w:type="dxa"/>
            <w:vAlign w:val="bottom"/>
            <w:tcBorders>
              <w:top w:val="single" w:sz="8" w:color="0000EE"/>
              <w:bottom w:val="single" w:sz="8" w:color="284993"/>
            </w:tcBorders>
          </w:tcPr>
          <w:p>
            <w:pPr>
              <w:spacing w:after="0"/>
              <w:rPr>
                <w:sz w:val="11"/>
                <w:szCs w:val="11"/>
                <w:color w:val="auto"/>
              </w:rPr>
            </w:pPr>
          </w:p>
        </w:tc>
        <w:tc>
          <w:tcPr>
            <w:tcW w:w="1120" w:type="dxa"/>
            <w:vAlign w:val="bottom"/>
            <w:tcBorders>
              <w:top w:val="single" w:sz="8" w:color="0000EE"/>
              <w:bottom w:val="single" w:sz="8" w:color="284993"/>
            </w:tcBorders>
          </w:tcPr>
          <w:p>
            <w:pPr>
              <w:spacing w:after="0"/>
              <w:rPr>
                <w:sz w:val="11"/>
                <w:szCs w:val="11"/>
                <w:color w:val="auto"/>
              </w:rPr>
            </w:pPr>
          </w:p>
        </w:tc>
        <w:tc>
          <w:tcPr>
            <w:tcW w:w="80" w:type="dxa"/>
            <w:vAlign w:val="bottom"/>
            <w:tcBorders>
              <w:bottom w:val="single" w:sz="8" w:color="284993"/>
            </w:tcBorders>
          </w:tcPr>
          <w:p>
            <w:pPr>
              <w:spacing w:after="0"/>
              <w:rPr>
                <w:sz w:val="11"/>
                <w:szCs w:val="11"/>
                <w:color w:val="auto"/>
              </w:rPr>
            </w:pPr>
          </w:p>
        </w:tc>
        <w:tc>
          <w:tcPr>
            <w:tcW w:w="720" w:type="dxa"/>
            <w:vAlign w:val="bottom"/>
            <w:tcBorders>
              <w:bottom w:val="single" w:sz="8" w:color="284993"/>
            </w:tcBorders>
          </w:tcPr>
          <w:p>
            <w:pPr>
              <w:spacing w:after="0"/>
              <w:rPr>
                <w:sz w:val="11"/>
                <w:szCs w:val="11"/>
                <w:color w:val="auto"/>
              </w:rPr>
            </w:pPr>
          </w:p>
        </w:tc>
        <w:tc>
          <w:tcPr>
            <w:tcW w:w="200" w:type="dxa"/>
            <w:vAlign w:val="bottom"/>
            <w:tcBorders>
              <w:bottom w:val="single" w:sz="8" w:color="284993"/>
            </w:tcBorders>
          </w:tcPr>
          <w:p>
            <w:pPr>
              <w:spacing w:after="0"/>
              <w:rPr>
                <w:sz w:val="11"/>
                <w:szCs w:val="11"/>
                <w:color w:val="auto"/>
              </w:rPr>
            </w:pPr>
          </w:p>
        </w:tc>
        <w:tc>
          <w:tcPr>
            <w:tcW w:w="340" w:type="dxa"/>
            <w:vAlign w:val="bottom"/>
            <w:tcBorders>
              <w:bottom w:val="single" w:sz="8" w:color="284993"/>
            </w:tcBorders>
          </w:tcPr>
          <w:p>
            <w:pPr>
              <w:spacing w:after="0"/>
              <w:rPr>
                <w:sz w:val="11"/>
                <w:szCs w:val="11"/>
                <w:color w:val="auto"/>
              </w:rPr>
            </w:pPr>
          </w:p>
        </w:tc>
        <w:tc>
          <w:tcPr>
            <w:tcW w:w="360" w:type="dxa"/>
            <w:vAlign w:val="bottom"/>
            <w:tcBorders>
              <w:bottom w:val="single" w:sz="8" w:color="284993"/>
            </w:tcBorders>
          </w:tcPr>
          <w:p>
            <w:pPr>
              <w:spacing w:after="0"/>
              <w:rPr>
                <w:sz w:val="11"/>
                <w:szCs w:val="11"/>
                <w:color w:val="auto"/>
              </w:rPr>
            </w:pPr>
          </w:p>
        </w:tc>
        <w:tc>
          <w:tcPr>
            <w:tcW w:w="500" w:type="dxa"/>
            <w:vAlign w:val="bottom"/>
            <w:tcBorders>
              <w:bottom w:val="single" w:sz="8" w:color="284993"/>
            </w:tcBorders>
          </w:tcPr>
          <w:p>
            <w:pPr>
              <w:spacing w:after="0"/>
              <w:rPr>
                <w:sz w:val="11"/>
                <w:szCs w:val="11"/>
                <w:color w:val="auto"/>
              </w:rPr>
            </w:pPr>
          </w:p>
        </w:tc>
        <w:tc>
          <w:tcPr>
            <w:tcW w:w="280" w:type="dxa"/>
            <w:vAlign w:val="bottom"/>
            <w:tcBorders>
              <w:bottom w:val="single" w:sz="8" w:color="284993"/>
            </w:tcBorders>
          </w:tcPr>
          <w:p>
            <w:pPr>
              <w:spacing w:after="0"/>
              <w:rPr>
                <w:sz w:val="11"/>
                <w:szCs w:val="11"/>
                <w:color w:val="auto"/>
              </w:rPr>
            </w:pPr>
          </w:p>
        </w:tc>
        <w:tc>
          <w:tcPr>
            <w:tcW w:w="160" w:type="dxa"/>
            <w:vAlign w:val="bottom"/>
            <w:tcBorders>
              <w:bottom w:val="single" w:sz="8" w:color="284993"/>
            </w:tcBorders>
          </w:tcPr>
          <w:p>
            <w:pPr>
              <w:spacing w:after="0"/>
              <w:rPr>
                <w:sz w:val="11"/>
                <w:szCs w:val="11"/>
                <w:color w:val="auto"/>
              </w:rPr>
            </w:pPr>
          </w:p>
        </w:tc>
        <w:tc>
          <w:tcPr>
            <w:tcW w:w="940" w:type="dxa"/>
            <w:vAlign w:val="bottom"/>
            <w:tcBorders>
              <w:bottom w:val="single" w:sz="8" w:color="284993"/>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90170</wp:posOffset>
            </wp:positionV>
            <wp:extent cx="699135" cy="131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ii</w:t>
      </w:r>
    </w:p>
    <w:p>
      <w:pPr>
        <w:sectPr>
          <w:pgSz w:w="11900" w:h="16838" w:orient="portrait"/>
          <w:cols w:equalWidth="0" w:num="1">
            <w:col w:w="9320"/>
          </w:cols>
          <w:pgMar w:left="1280" w:top="226" w:right="12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9"/>
        </w:trPr>
        <w:tc>
          <w:tcPr>
            <w:tcW w:w="4120" w:type="dxa"/>
            <w:vAlign w:val="bottom"/>
          </w:tcPr>
          <w:p>
            <w:pPr>
              <w:ind w:left="260"/>
              <w:spacing w:after="0"/>
              <w:rPr>
                <w:sz w:val="20"/>
                <w:szCs w:val="20"/>
                <w:color w:val="auto"/>
              </w:rPr>
            </w:pPr>
            <w:r>
              <w:rPr>
                <w:rFonts w:ascii="Arial" w:cs="Arial" w:eastAsia="Arial" w:hAnsi="Arial"/>
                <w:sz w:val="24"/>
                <w:szCs w:val="24"/>
                <w:color w:val="284993"/>
              </w:rPr>
              <w:t>Pay Versus Performance</w:t>
            </w:r>
          </w:p>
        </w:tc>
        <w:tc>
          <w:tcPr>
            <w:tcW w:w="180" w:type="dxa"/>
            <w:vAlign w:val="bottom"/>
          </w:tcPr>
          <w:p>
            <w:pPr>
              <w:spacing w:after="0"/>
              <w:rPr>
                <w:sz w:val="24"/>
                <w:szCs w:val="24"/>
                <w:color w:val="auto"/>
              </w:rPr>
            </w:pPr>
          </w:p>
        </w:tc>
        <w:tc>
          <w:tcPr>
            <w:tcW w:w="25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Pay Versus Performance Disclosure</w:t>
            </w:r>
          </w:p>
        </w:tc>
        <w:tc>
          <w:tcPr>
            <w:tcW w:w="150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74"/>
        </w:trPr>
        <w:tc>
          <w:tcPr>
            <w:tcW w:w="4120" w:type="dxa"/>
            <w:vAlign w:val="bottom"/>
            <w:vMerge w:val="restart"/>
          </w:tcPr>
          <w:p>
            <w:pPr>
              <w:ind w:left="260"/>
              <w:spacing w:after="0"/>
              <w:rPr>
                <w:sz w:val="20"/>
                <w:szCs w:val="20"/>
                <w:color w:val="auto"/>
              </w:rPr>
            </w:pPr>
            <w:r>
              <w:rPr>
                <w:rFonts w:ascii="Arial" w:cs="Arial" w:eastAsia="Arial" w:hAnsi="Arial"/>
                <w:sz w:val="24"/>
                <w:szCs w:val="24"/>
                <w:color w:val="284993"/>
              </w:rPr>
              <w:t>Disclosure</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80" w:type="dxa"/>
            <w:vAlign w:val="bottom"/>
            <w:gridSpan w:val="4"/>
          </w:tcPr>
          <w:p>
            <w:pPr>
              <w:spacing w:after="0" w:line="175" w:lineRule="exact"/>
              <w:rPr>
                <w:sz w:val="20"/>
                <w:szCs w:val="20"/>
                <w:color w:val="auto"/>
              </w:rPr>
            </w:pPr>
            <w:r>
              <w:rPr>
                <w:rFonts w:ascii="Arial" w:cs="Arial" w:eastAsia="Arial" w:hAnsi="Arial"/>
                <w:sz w:val="16"/>
                <w:szCs w:val="16"/>
                <w:color w:val="0000EE"/>
              </w:rPr>
              <w:t>Relationship Between Pay and Performance</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80" w:type="dxa"/>
            <w:vAlign w:val="bottom"/>
            <w:gridSpan w:val="4"/>
          </w:tcPr>
          <w:p>
            <w:pPr>
              <w:spacing w:after="0" w:line="175" w:lineRule="exact"/>
              <w:rPr>
                <w:sz w:val="20"/>
                <w:szCs w:val="20"/>
                <w:color w:val="auto"/>
              </w:rPr>
            </w:pPr>
            <w:r>
              <w:rPr>
                <w:rFonts w:ascii="Arial" w:cs="Arial" w:eastAsia="Arial" w:hAnsi="Arial"/>
                <w:sz w:val="16"/>
                <w:szCs w:val="16"/>
                <w:color w:val="0000EE"/>
              </w:rPr>
              <w:t>Tabular List of Financial Performance Measures</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35"/>
        </w:trPr>
        <w:tc>
          <w:tcPr>
            <w:tcW w:w="4120" w:type="dxa"/>
            <w:vAlign w:val="bottom"/>
            <w:tcBorders>
              <w:bottom w:val="single" w:sz="8" w:color="284993"/>
            </w:tcBorders>
          </w:tcPr>
          <w:p>
            <w:pPr>
              <w:spacing w:after="0"/>
              <w:rPr>
                <w:sz w:val="11"/>
                <w:szCs w:val="11"/>
                <w:color w:val="auto"/>
              </w:rPr>
            </w:pPr>
          </w:p>
        </w:tc>
        <w:tc>
          <w:tcPr>
            <w:tcW w:w="180" w:type="dxa"/>
            <w:vAlign w:val="bottom"/>
            <w:tcBorders>
              <w:bottom w:val="single" w:sz="8" w:color="284993"/>
            </w:tcBorders>
          </w:tcPr>
          <w:p>
            <w:pPr>
              <w:spacing w:after="0"/>
              <w:rPr>
                <w:sz w:val="11"/>
                <w:szCs w:val="11"/>
                <w:color w:val="auto"/>
              </w:rPr>
            </w:pPr>
          </w:p>
        </w:tc>
        <w:tc>
          <w:tcPr>
            <w:tcW w:w="320" w:type="dxa"/>
            <w:vAlign w:val="bottom"/>
            <w:tcBorders>
              <w:bottom w:val="single" w:sz="8" w:color="284993"/>
            </w:tcBorders>
          </w:tcPr>
          <w:p>
            <w:pPr>
              <w:spacing w:after="0"/>
              <w:rPr>
                <w:sz w:val="11"/>
                <w:szCs w:val="11"/>
                <w:color w:val="auto"/>
              </w:rPr>
            </w:pPr>
          </w:p>
        </w:tc>
        <w:tc>
          <w:tcPr>
            <w:tcW w:w="2180" w:type="dxa"/>
            <w:vAlign w:val="bottom"/>
            <w:tcBorders>
              <w:top w:val="single" w:sz="8" w:color="0000EE"/>
              <w:bottom w:val="single" w:sz="8" w:color="284993"/>
            </w:tcBorders>
          </w:tcPr>
          <w:p>
            <w:pPr>
              <w:spacing w:after="0"/>
              <w:rPr>
                <w:sz w:val="11"/>
                <w:szCs w:val="11"/>
                <w:color w:val="auto"/>
              </w:rPr>
            </w:pPr>
          </w:p>
        </w:tc>
        <w:tc>
          <w:tcPr>
            <w:tcW w:w="860" w:type="dxa"/>
            <w:vAlign w:val="bottom"/>
            <w:tcBorders>
              <w:top w:val="single" w:sz="8" w:color="0000EE"/>
              <w:bottom w:val="single" w:sz="8" w:color="284993"/>
            </w:tcBorders>
          </w:tcPr>
          <w:p>
            <w:pPr>
              <w:spacing w:after="0"/>
              <w:rPr>
                <w:sz w:val="11"/>
                <w:szCs w:val="11"/>
                <w:color w:val="auto"/>
              </w:rPr>
            </w:pPr>
          </w:p>
        </w:tc>
        <w:tc>
          <w:tcPr>
            <w:tcW w:w="240" w:type="dxa"/>
            <w:vAlign w:val="bottom"/>
            <w:tcBorders>
              <w:top w:val="single" w:sz="8" w:color="0000EE"/>
              <w:bottom w:val="single" w:sz="8" w:color="284993"/>
            </w:tcBorders>
          </w:tcPr>
          <w:p>
            <w:pPr>
              <w:spacing w:after="0"/>
              <w:rPr>
                <w:sz w:val="11"/>
                <w:szCs w:val="11"/>
                <w:color w:val="auto"/>
              </w:rPr>
            </w:pPr>
          </w:p>
        </w:tc>
        <w:tc>
          <w:tcPr>
            <w:tcW w:w="400" w:type="dxa"/>
            <w:vAlign w:val="bottom"/>
            <w:tcBorders>
              <w:bottom w:val="single" w:sz="8" w:color="284993"/>
            </w:tcBorders>
          </w:tcPr>
          <w:p>
            <w:pPr>
              <w:spacing w:after="0"/>
              <w:rPr>
                <w:sz w:val="11"/>
                <w:szCs w:val="11"/>
                <w:color w:val="auto"/>
              </w:rPr>
            </w:pPr>
          </w:p>
        </w:tc>
        <w:tc>
          <w:tcPr>
            <w:tcW w:w="1020" w:type="dxa"/>
            <w:vAlign w:val="bottom"/>
            <w:tcBorders>
              <w:bottom w:val="single" w:sz="8" w:color="284993"/>
            </w:tcBorders>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4120" w:type="dxa"/>
            <w:vAlign w:val="bottom"/>
          </w:tcPr>
          <w:p>
            <w:pPr>
              <w:ind w:left="260"/>
              <w:spacing w:after="0" w:line="239" w:lineRule="exact"/>
              <w:rPr>
                <w:sz w:val="20"/>
                <w:szCs w:val="20"/>
                <w:color w:val="auto"/>
              </w:rPr>
            </w:pPr>
            <w:r>
              <w:rPr>
                <w:rFonts w:ascii="Arial" w:cs="Arial" w:eastAsia="Arial" w:hAnsi="Arial"/>
                <w:sz w:val="24"/>
                <w:szCs w:val="24"/>
                <w:color w:val="284993"/>
              </w:rPr>
              <w:t>Certain Relationships and Related</w:t>
            </w:r>
          </w:p>
        </w:tc>
        <w:tc>
          <w:tcPr>
            <w:tcW w:w="180" w:type="dxa"/>
            <w:vAlign w:val="bottom"/>
          </w:tcPr>
          <w:p>
            <w:pPr>
              <w:spacing w:after="0"/>
              <w:rPr>
                <w:sz w:val="20"/>
                <w:szCs w:val="20"/>
                <w:color w:val="auto"/>
              </w:rPr>
            </w:pPr>
          </w:p>
        </w:tc>
        <w:tc>
          <w:tcPr>
            <w:tcW w:w="33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7"/>
              </w:rPr>
              <w:t>Certain Relationships and Related Transactions</w:t>
            </w:r>
          </w:p>
        </w:tc>
        <w:tc>
          <w:tcPr>
            <w:tcW w:w="640" w:type="dxa"/>
            <w:vAlign w:val="bottom"/>
            <w:gridSpan w:val="2"/>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4120" w:type="dxa"/>
            <w:vAlign w:val="bottom"/>
          </w:tcPr>
          <w:p>
            <w:pPr>
              <w:ind w:left="260"/>
              <w:spacing w:after="0" w:line="207" w:lineRule="exact"/>
              <w:rPr>
                <w:sz w:val="20"/>
                <w:szCs w:val="20"/>
                <w:color w:val="auto"/>
              </w:rPr>
            </w:pPr>
            <w:r>
              <w:rPr>
                <w:rFonts w:ascii="Arial" w:cs="Arial" w:eastAsia="Arial" w:hAnsi="Arial"/>
                <w:sz w:val="24"/>
                <w:szCs w:val="24"/>
                <w:color w:val="284993"/>
              </w:rPr>
              <w:t>Transactions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8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6"/>
              </w:rPr>
              <w:t>Review and Approval of Related Person Transactions</w:t>
            </w:r>
          </w:p>
        </w:tc>
        <w:tc>
          <w:tcPr>
            <w:tcW w:w="102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945" cy="53975"/>
                    </a:xfrm>
                    <a:prstGeom prst="rect">
                      <a:avLst/>
                    </a:prstGeom>
                    <a:noFill/>
                  </pic:spPr>
                </pic:pic>
              </a:graphicData>
            </a:graphic>
          </wp:anchor>
        </w:drawing>
        <w:drawing>
          <wp:anchor simplePos="0" relativeHeight="251657728" behindDoc="1" locked="0" layoutInCell="0" allowOverlap="1">
            <wp:simplePos x="0" y="0"/>
            <wp:positionH relativeFrom="page">
              <wp:posOffset>814070</wp:posOffset>
            </wp:positionH>
            <wp:positionV relativeFrom="page">
              <wp:posOffset>195580</wp:posOffset>
            </wp:positionV>
            <wp:extent cx="59207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207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156210</wp:posOffset>
            </wp:positionV>
            <wp:extent cx="59207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ectPr>
          <w:pgSz w:w="11900" w:h="16838" w:orient="portrait"/>
          <w:cols w:equalWidth="0" w:num="1">
            <w:col w:w="9320"/>
          </w:cols>
          <w:pgMar w:left="1280" w:top="239" w:right="1299" w:bottom="1440" w:gutter="0" w:footer="0" w:header="0"/>
        </w:sectPr>
      </w:pPr>
    </w:p>
    <w:p>
      <w:pPr>
        <w:spacing w:after="0" w:line="268" w:lineRule="exact"/>
        <w:rPr>
          <w:sz w:val="20"/>
          <w:szCs w:val="20"/>
          <w:color w:val="auto"/>
        </w:rPr>
      </w:pPr>
    </w:p>
    <w:p>
      <w:pPr>
        <w:ind w:left="260" w:right="120"/>
        <w:spacing w:after="0" w:line="256" w:lineRule="auto"/>
        <w:rPr>
          <w:sz w:val="20"/>
          <w:szCs w:val="20"/>
          <w:color w:val="auto"/>
        </w:rPr>
      </w:pPr>
      <w:r>
        <w:rPr>
          <w:rFonts w:ascii="Arial" w:cs="Arial" w:eastAsia="Arial" w:hAnsi="Arial"/>
          <w:sz w:val="28"/>
          <w:szCs w:val="28"/>
          <w:color w:val="284993"/>
        </w:rPr>
        <w:t>Compensation Committee Interlocks and Insider Participation</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6"/>
              </w:rPr>
              <w:t>Compensation Committee Interlocks and Insider Participation</w:t>
            </w: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591820</wp:posOffset>
            </wp:positionV>
            <wp:extent cx="59207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954" w:lineRule="exact"/>
        <w:rPr>
          <w:sz w:val="20"/>
          <w:szCs w:val="20"/>
          <w:color w:val="auto"/>
        </w:rPr>
      </w:pPr>
    </w:p>
    <w:p>
      <w:pPr>
        <w:sectPr>
          <w:pgSz w:w="11900" w:h="16838" w:orient="portrait"/>
          <w:cols w:equalWidth="0" w:num="2">
            <w:col w:w="3580" w:space="720"/>
            <w:col w:w="5020"/>
          </w:cols>
          <w:pgMar w:left="1280" w:top="239" w:right="1299" w:bottom="1440" w:gutter="0" w:footer="0" w:header="0"/>
          <w:type w:val="continuous"/>
        </w:sectPr>
      </w:pPr>
    </w:p>
    <w:p>
      <w:pPr>
        <w:jc w:val="both"/>
        <w:ind w:left="260" w:right="240"/>
        <w:spacing w:after="0" w:line="256" w:lineRule="auto"/>
        <w:rPr>
          <w:sz w:val="20"/>
          <w:szCs w:val="20"/>
          <w:color w:val="auto"/>
        </w:rPr>
      </w:pPr>
      <w:r>
        <w:rPr>
          <w:rFonts w:ascii="Arial" w:cs="Arial" w:eastAsia="Arial" w:hAnsi="Arial"/>
          <w:sz w:val="28"/>
          <w:szCs w:val="28"/>
          <w:color w:val="284993"/>
        </w:rPr>
        <w:t>Delivery of Documents to Stockholders Sharing an Address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6"/>
              </w:rPr>
              <w:t>Delivery of Documents to Stockholders Sharing an Address</w:t>
            </w:r>
          </w:p>
        </w:tc>
        <w:tc>
          <w:tcPr>
            <w:tcW w:w="880" w:type="dxa"/>
            <w:vAlign w:val="bottom"/>
          </w:tcPr>
          <w:p>
            <w:pPr>
              <w:jc w:val="right"/>
              <w:spacing w:after="0"/>
              <w:rPr>
                <w:sz w:val="20"/>
                <w:szCs w:val="20"/>
                <w:color w:val="auto"/>
              </w:rPr>
            </w:pPr>
            <w:r>
              <w:rPr>
                <w:rFonts w:ascii="Arial" w:cs="Arial" w:eastAsia="Arial" w:hAnsi="Arial"/>
                <w:sz w:val="16"/>
                <w:szCs w:val="16"/>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591820</wp:posOffset>
            </wp:positionV>
            <wp:extent cx="59207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833" w:lineRule="exact"/>
        <w:rPr>
          <w:sz w:val="20"/>
          <w:szCs w:val="20"/>
          <w:color w:val="auto"/>
        </w:rPr>
      </w:pPr>
    </w:p>
    <w:p>
      <w:pPr>
        <w:sectPr>
          <w:pgSz w:w="11900" w:h="16838" w:orient="portrait"/>
          <w:cols w:equalWidth="0" w:num="2">
            <w:col w:w="3580" w:space="720"/>
            <w:col w:w="5020"/>
          </w:cols>
          <w:pgMar w:left="1280" w:top="239" w:right="1299" w:bottom="1440" w:gutter="0" w:footer="0" w:header="0"/>
          <w:type w:val="continuous"/>
        </w:sectPr>
      </w:pPr>
    </w:p>
    <w:tbl>
      <w:tblPr>
        <w:tblLayout w:type="fixed"/>
        <w:tblInd w:w="0" w:type="dxa"/>
        <w:tblCellMar>
          <w:top w:w="0" w:type="dxa"/>
          <w:left w:w="0" w:type="dxa"/>
          <w:bottom w:w="0" w:type="dxa"/>
          <w:right w:w="0" w:type="dxa"/>
        </w:tblCellMar>
      </w:tblPr>
      <w:tr>
        <w:trPr>
          <w:trHeight w:val="154"/>
        </w:trPr>
        <w:tc>
          <w:tcPr>
            <w:tcW w:w="180" w:type="dxa"/>
            <w:vAlign w:val="bottom"/>
          </w:tcPr>
          <w:p>
            <w:pPr>
              <w:spacing w:after="0"/>
              <w:rPr>
                <w:sz w:val="13"/>
                <w:szCs w:val="13"/>
                <w:color w:val="auto"/>
              </w:rPr>
            </w:pPr>
          </w:p>
        </w:tc>
        <w:tc>
          <w:tcPr>
            <w:tcW w:w="2980" w:type="dxa"/>
            <w:vAlign w:val="bottom"/>
          </w:tcPr>
          <w:p>
            <w:pPr>
              <w:ind w:left="80"/>
              <w:spacing w:after="0" w:line="154" w:lineRule="exact"/>
              <w:rPr>
                <w:sz w:val="20"/>
                <w:szCs w:val="20"/>
                <w:color w:val="auto"/>
              </w:rPr>
            </w:pPr>
            <w:r>
              <w:rPr>
                <w:rFonts w:ascii="Arial" w:cs="Arial" w:eastAsia="Arial" w:hAnsi="Arial"/>
                <w:sz w:val="17"/>
                <w:szCs w:val="17"/>
                <w:color w:val="284993"/>
              </w:rPr>
              <w:t>Annual Report</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gridSpan w:val="5"/>
          </w:tcPr>
          <w:p>
            <w:pPr>
              <w:ind w:left="300"/>
              <w:spacing w:after="0" w:line="154" w:lineRule="exact"/>
              <w:rPr>
                <w:sz w:val="20"/>
                <w:szCs w:val="20"/>
                <w:color w:val="auto"/>
              </w:rPr>
            </w:pPr>
            <w:r>
              <w:rPr>
                <w:rFonts w:ascii="Arial" w:cs="Arial" w:eastAsia="Arial" w:hAnsi="Arial"/>
                <w:sz w:val="16"/>
                <w:szCs w:val="16"/>
                <w:color w:val="0000EE"/>
                <w:w w:val="96"/>
              </w:rPr>
              <w:t>Stockholder Communications with our Board</w:t>
            </w:r>
          </w:p>
        </w:tc>
        <w:tc>
          <w:tcPr>
            <w:tcW w:w="1640" w:type="dxa"/>
            <w:vAlign w:val="bottom"/>
          </w:tcPr>
          <w:p>
            <w:pPr>
              <w:jc w:val="right"/>
              <w:spacing w:after="0" w:line="154"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520" w:type="dxa"/>
            <w:vAlign w:val="bottom"/>
            <w:gridSpan w:val="7"/>
          </w:tcPr>
          <w:p>
            <w:pPr>
              <w:ind w:left="1140"/>
              <w:spacing w:after="0" w:line="154" w:lineRule="exact"/>
              <w:rPr>
                <w:sz w:val="20"/>
                <w:szCs w:val="20"/>
                <w:color w:val="auto"/>
              </w:rPr>
            </w:pPr>
            <w:r>
              <w:rPr>
                <w:rFonts w:ascii="Arial" w:cs="Arial" w:eastAsia="Arial" w:hAnsi="Arial"/>
                <w:sz w:val="16"/>
                <w:szCs w:val="16"/>
                <w:color w:val="0000EE"/>
              </w:rPr>
              <w:t>Annual Report</w:t>
            </w:r>
          </w:p>
        </w:tc>
        <w:tc>
          <w:tcPr>
            <w:tcW w:w="1640" w:type="dxa"/>
            <w:vAlign w:val="bottom"/>
          </w:tcPr>
          <w:p>
            <w:pPr>
              <w:jc w:val="right"/>
              <w:spacing w:after="0" w:line="154"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0" w:type="dxa"/>
            <w:vAlign w:val="bottom"/>
            <w:tcBorders>
              <w:top w:val="single" w:sz="8" w:color="0000EE"/>
              <w:bottom w:val="single" w:sz="8" w:color="0000EE"/>
            </w:tcBorders>
          </w:tcPr>
          <w:p>
            <w:pPr>
              <w:spacing w:after="0"/>
              <w:rPr>
                <w:sz w:val="14"/>
                <w:szCs w:val="14"/>
                <w:color w:val="auto"/>
              </w:rPr>
            </w:pPr>
          </w:p>
        </w:tc>
        <w:tc>
          <w:tcPr>
            <w:tcW w:w="240" w:type="dxa"/>
            <w:vAlign w:val="bottom"/>
            <w:tcBorders>
              <w:top w:val="single" w:sz="8" w:color="0000EE"/>
              <w:bottom w:val="single" w:sz="8" w:color="0000EE"/>
            </w:tcBorders>
          </w:tcPr>
          <w:p>
            <w:pPr>
              <w:spacing w:after="0"/>
              <w:rPr>
                <w:sz w:val="14"/>
                <w:szCs w:val="14"/>
                <w:color w:val="auto"/>
              </w:rPr>
            </w:pPr>
          </w:p>
        </w:tc>
        <w:tc>
          <w:tcPr>
            <w:tcW w:w="40" w:type="dxa"/>
            <w:vAlign w:val="bottom"/>
            <w:tcBorders>
              <w:top w:val="single" w:sz="8" w:color="0000EE"/>
              <w:bottom w:val="single" w:sz="8" w:color="0000EE"/>
            </w:tcBorders>
          </w:tcPr>
          <w:p>
            <w:pPr>
              <w:spacing w:after="0"/>
              <w:rPr>
                <w:sz w:val="14"/>
                <w:szCs w:val="14"/>
                <w:color w:val="auto"/>
              </w:rPr>
            </w:pPr>
          </w:p>
        </w:tc>
        <w:tc>
          <w:tcPr>
            <w:tcW w:w="2380" w:type="dxa"/>
            <w:vAlign w:val="bottom"/>
            <w:tcBorders>
              <w:bottom w:val="single" w:sz="8" w:color="0000EE"/>
            </w:tcBorders>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980" w:type="dxa"/>
            <w:vAlign w:val="bottom"/>
            <w:tcBorders>
              <w:bottom w:val="single" w:sz="8" w:color="284993"/>
            </w:tcBorders>
          </w:tcPr>
          <w:p>
            <w:pPr>
              <w:spacing w:after="0"/>
              <w:rPr>
                <w:sz w:val="11"/>
                <w:szCs w:val="11"/>
                <w:color w:val="auto"/>
              </w:rPr>
            </w:pPr>
          </w:p>
        </w:tc>
        <w:tc>
          <w:tcPr>
            <w:tcW w:w="1140" w:type="dxa"/>
            <w:vAlign w:val="bottom"/>
            <w:tcBorders>
              <w:bottom w:val="single" w:sz="8" w:color="284993"/>
            </w:tcBorders>
          </w:tcPr>
          <w:p>
            <w:pPr>
              <w:spacing w:after="0"/>
              <w:rPr>
                <w:sz w:val="11"/>
                <w:szCs w:val="11"/>
                <w:color w:val="auto"/>
              </w:rPr>
            </w:pPr>
          </w:p>
        </w:tc>
        <w:tc>
          <w:tcPr>
            <w:tcW w:w="20" w:type="dxa"/>
            <w:vAlign w:val="bottom"/>
            <w:tcBorders>
              <w:bottom w:val="single" w:sz="8" w:color="284993"/>
            </w:tcBorders>
          </w:tcPr>
          <w:p>
            <w:pPr>
              <w:spacing w:after="0"/>
              <w:rPr>
                <w:sz w:val="11"/>
                <w:szCs w:val="11"/>
                <w:color w:val="auto"/>
              </w:rPr>
            </w:pPr>
          </w:p>
        </w:tc>
        <w:tc>
          <w:tcPr>
            <w:tcW w:w="300" w:type="dxa"/>
            <w:vAlign w:val="bottom"/>
            <w:tcBorders>
              <w:bottom w:val="single" w:sz="8" w:color="284993"/>
            </w:tcBorders>
          </w:tcPr>
          <w:p>
            <w:pPr>
              <w:spacing w:after="0"/>
              <w:rPr>
                <w:sz w:val="11"/>
                <w:szCs w:val="11"/>
                <w:color w:val="auto"/>
              </w:rPr>
            </w:pPr>
          </w:p>
        </w:tc>
        <w:tc>
          <w:tcPr>
            <w:tcW w:w="400" w:type="dxa"/>
            <w:vAlign w:val="bottom"/>
            <w:tcBorders>
              <w:bottom w:val="single" w:sz="8" w:color="284993"/>
            </w:tcBorders>
          </w:tcPr>
          <w:p>
            <w:pPr>
              <w:spacing w:after="0"/>
              <w:rPr>
                <w:sz w:val="11"/>
                <w:szCs w:val="11"/>
                <w:color w:val="auto"/>
              </w:rPr>
            </w:pPr>
          </w:p>
        </w:tc>
        <w:tc>
          <w:tcPr>
            <w:tcW w:w="240" w:type="dxa"/>
            <w:vAlign w:val="bottom"/>
            <w:tcBorders>
              <w:bottom w:val="single" w:sz="8" w:color="284993"/>
            </w:tcBorders>
          </w:tcPr>
          <w:p>
            <w:pPr>
              <w:spacing w:after="0"/>
              <w:rPr>
                <w:sz w:val="11"/>
                <w:szCs w:val="11"/>
                <w:color w:val="auto"/>
              </w:rPr>
            </w:pPr>
          </w:p>
        </w:tc>
        <w:tc>
          <w:tcPr>
            <w:tcW w:w="40" w:type="dxa"/>
            <w:vAlign w:val="bottom"/>
            <w:tcBorders>
              <w:bottom w:val="single" w:sz="8" w:color="284993"/>
            </w:tcBorders>
          </w:tcPr>
          <w:p>
            <w:pPr>
              <w:spacing w:after="0"/>
              <w:rPr>
                <w:sz w:val="11"/>
                <w:szCs w:val="11"/>
                <w:color w:val="auto"/>
              </w:rPr>
            </w:pPr>
          </w:p>
        </w:tc>
        <w:tc>
          <w:tcPr>
            <w:tcW w:w="2380" w:type="dxa"/>
            <w:vAlign w:val="bottom"/>
            <w:tcBorders>
              <w:bottom w:val="single" w:sz="8" w:color="284993"/>
            </w:tcBorders>
          </w:tcPr>
          <w:p>
            <w:pPr>
              <w:spacing w:after="0"/>
              <w:rPr>
                <w:sz w:val="11"/>
                <w:szCs w:val="11"/>
                <w:color w:val="auto"/>
              </w:rPr>
            </w:pPr>
          </w:p>
        </w:tc>
        <w:tc>
          <w:tcPr>
            <w:tcW w:w="1640" w:type="dxa"/>
            <w:vAlign w:val="bottom"/>
            <w:tcBorders>
              <w:bottom w:val="single" w:sz="8" w:color="284993"/>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980" w:type="dxa"/>
            <w:vAlign w:val="bottom"/>
          </w:tcPr>
          <w:p>
            <w:pPr>
              <w:ind w:left="80"/>
              <w:spacing w:after="0" w:line="142" w:lineRule="exact"/>
              <w:rPr>
                <w:sz w:val="20"/>
                <w:szCs w:val="20"/>
                <w:color w:val="auto"/>
              </w:rPr>
            </w:pPr>
            <w:r>
              <w:rPr>
                <w:rFonts w:ascii="Arial" w:cs="Arial" w:eastAsia="Arial" w:hAnsi="Arial"/>
                <w:sz w:val="16"/>
                <w:szCs w:val="16"/>
                <w:color w:val="284993"/>
              </w:rPr>
              <w:t>Other Matters</w:t>
            </w:r>
          </w:p>
        </w:tc>
        <w:tc>
          <w:tcPr>
            <w:tcW w:w="4520" w:type="dxa"/>
            <w:vAlign w:val="bottom"/>
            <w:gridSpan w:val="7"/>
          </w:tcPr>
          <w:p>
            <w:pPr>
              <w:ind w:left="1140"/>
              <w:spacing w:after="0" w:line="148" w:lineRule="exact"/>
              <w:rPr>
                <w:sz w:val="20"/>
                <w:szCs w:val="20"/>
                <w:color w:val="auto"/>
              </w:rPr>
            </w:pPr>
            <w:r>
              <w:rPr>
                <w:rFonts w:ascii="Arial" w:cs="Arial" w:eastAsia="Arial" w:hAnsi="Arial"/>
                <w:sz w:val="16"/>
                <w:szCs w:val="16"/>
                <w:color w:val="0000EE"/>
              </w:rPr>
              <w:t>Other Matters</w:t>
            </w:r>
          </w:p>
        </w:tc>
        <w:tc>
          <w:tcPr>
            <w:tcW w:w="1640" w:type="dxa"/>
            <w:vAlign w:val="bottom"/>
          </w:tcPr>
          <w:p>
            <w:pPr>
              <w:jc w:val="right"/>
              <w:spacing w:after="0" w:line="148" w:lineRule="exact"/>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78"/>
        </w:trPr>
        <w:tc>
          <w:tcPr>
            <w:tcW w:w="180" w:type="dxa"/>
            <w:vAlign w:val="bottom"/>
            <w:tcBorders>
              <w:bottom w:val="single" w:sz="8" w:color="284993"/>
            </w:tcBorders>
          </w:tcPr>
          <w:p>
            <w:pPr>
              <w:spacing w:after="0"/>
              <w:rPr>
                <w:sz w:val="24"/>
                <w:szCs w:val="24"/>
                <w:color w:val="auto"/>
              </w:rPr>
            </w:pPr>
          </w:p>
        </w:tc>
        <w:tc>
          <w:tcPr>
            <w:tcW w:w="2980" w:type="dxa"/>
            <w:vAlign w:val="bottom"/>
            <w:tcBorders>
              <w:bottom w:val="single" w:sz="8" w:color="284993"/>
            </w:tcBorders>
          </w:tcPr>
          <w:p>
            <w:pPr>
              <w:spacing w:after="0"/>
              <w:rPr>
                <w:sz w:val="24"/>
                <w:szCs w:val="24"/>
                <w:color w:val="auto"/>
              </w:rPr>
            </w:pPr>
          </w:p>
        </w:tc>
        <w:tc>
          <w:tcPr>
            <w:tcW w:w="1140" w:type="dxa"/>
            <w:vAlign w:val="bottom"/>
            <w:tcBorders>
              <w:bottom w:val="single" w:sz="8" w:color="284993"/>
            </w:tcBorders>
          </w:tcPr>
          <w:p>
            <w:pPr>
              <w:spacing w:after="0"/>
              <w:rPr>
                <w:sz w:val="24"/>
                <w:szCs w:val="24"/>
                <w:color w:val="auto"/>
              </w:rPr>
            </w:pPr>
          </w:p>
        </w:tc>
        <w:tc>
          <w:tcPr>
            <w:tcW w:w="20" w:type="dxa"/>
            <w:vAlign w:val="bottom"/>
            <w:tcBorders>
              <w:top w:val="single" w:sz="8" w:color="0000EE"/>
              <w:bottom w:val="single" w:sz="8" w:color="284993"/>
            </w:tcBorders>
          </w:tcPr>
          <w:p>
            <w:pPr>
              <w:spacing w:after="0"/>
              <w:rPr>
                <w:sz w:val="24"/>
                <w:szCs w:val="24"/>
                <w:color w:val="auto"/>
              </w:rPr>
            </w:pPr>
          </w:p>
        </w:tc>
        <w:tc>
          <w:tcPr>
            <w:tcW w:w="300" w:type="dxa"/>
            <w:vAlign w:val="bottom"/>
            <w:tcBorders>
              <w:top w:val="single" w:sz="8" w:color="0000EE"/>
              <w:bottom w:val="single" w:sz="8" w:color="284993"/>
            </w:tcBorders>
          </w:tcPr>
          <w:p>
            <w:pPr>
              <w:spacing w:after="0"/>
              <w:rPr>
                <w:sz w:val="24"/>
                <w:szCs w:val="24"/>
                <w:color w:val="auto"/>
              </w:rPr>
            </w:pPr>
          </w:p>
        </w:tc>
        <w:tc>
          <w:tcPr>
            <w:tcW w:w="400" w:type="dxa"/>
            <w:vAlign w:val="bottom"/>
            <w:tcBorders>
              <w:top w:val="single" w:sz="8" w:color="0000EE"/>
              <w:bottom w:val="single" w:sz="8" w:color="284993"/>
            </w:tcBorders>
          </w:tcPr>
          <w:p>
            <w:pPr>
              <w:spacing w:after="0"/>
              <w:rPr>
                <w:sz w:val="24"/>
                <w:szCs w:val="24"/>
                <w:color w:val="auto"/>
              </w:rPr>
            </w:pPr>
          </w:p>
        </w:tc>
        <w:tc>
          <w:tcPr>
            <w:tcW w:w="240" w:type="dxa"/>
            <w:vAlign w:val="bottom"/>
            <w:tcBorders>
              <w:top w:val="single" w:sz="8" w:color="0000EE"/>
              <w:bottom w:val="single" w:sz="8" w:color="284993"/>
            </w:tcBorders>
          </w:tcPr>
          <w:p>
            <w:pPr>
              <w:spacing w:after="0"/>
              <w:rPr>
                <w:sz w:val="24"/>
                <w:szCs w:val="24"/>
                <w:color w:val="auto"/>
              </w:rPr>
            </w:pPr>
          </w:p>
        </w:tc>
        <w:tc>
          <w:tcPr>
            <w:tcW w:w="40" w:type="dxa"/>
            <w:vAlign w:val="bottom"/>
            <w:tcBorders>
              <w:bottom w:val="single" w:sz="8" w:color="284993"/>
            </w:tcBorders>
          </w:tcPr>
          <w:p>
            <w:pPr>
              <w:spacing w:after="0"/>
              <w:rPr>
                <w:sz w:val="24"/>
                <w:szCs w:val="24"/>
                <w:color w:val="auto"/>
              </w:rPr>
            </w:pPr>
          </w:p>
        </w:tc>
        <w:tc>
          <w:tcPr>
            <w:tcW w:w="2380" w:type="dxa"/>
            <w:vAlign w:val="bottom"/>
            <w:tcBorders>
              <w:bottom w:val="single" w:sz="8" w:color="284993"/>
            </w:tcBorders>
          </w:tcPr>
          <w:p>
            <w:pPr>
              <w:spacing w:after="0"/>
              <w:rPr>
                <w:sz w:val="24"/>
                <w:szCs w:val="24"/>
                <w:color w:val="auto"/>
              </w:rPr>
            </w:pPr>
          </w:p>
        </w:tc>
        <w:tc>
          <w:tcPr>
            <w:tcW w:w="1640" w:type="dxa"/>
            <w:vAlign w:val="bottom"/>
            <w:tcBorders>
              <w:bottom w:val="single" w:sz="8" w:color="284993"/>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2980" w:type="dxa"/>
            <w:vAlign w:val="bottom"/>
            <w:vMerge w:val="restart"/>
          </w:tcPr>
          <w:p>
            <w:pPr>
              <w:ind w:left="80"/>
              <w:spacing w:after="0"/>
              <w:rPr>
                <w:sz w:val="20"/>
                <w:szCs w:val="20"/>
                <w:color w:val="auto"/>
              </w:rPr>
            </w:pPr>
            <w:r>
              <w:rPr>
                <w:rFonts w:ascii="Arial" w:cs="Arial" w:eastAsia="Arial" w:hAnsi="Arial"/>
                <w:sz w:val="24"/>
                <w:szCs w:val="24"/>
                <w:color w:val="284993"/>
              </w:rPr>
              <w:t>Appendix A</w:t>
            </w:r>
          </w:p>
        </w:tc>
        <w:tc>
          <w:tcPr>
            <w:tcW w:w="11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70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w w:val="94"/>
              </w:rPr>
              <w:t>Appendix A</w:t>
            </w:r>
          </w:p>
        </w:tc>
        <w:tc>
          <w:tcPr>
            <w:tcW w:w="2660" w:type="dxa"/>
            <w:vAlign w:val="bottom"/>
            <w:gridSpan w:val="3"/>
            <w:vMerge w:val="restart"/>
          </w:tcPr>
          <w:p>
            <w:pPr>
              <w:spacing w:after="0"/>
              <w:rPr>
                <w:sz w:val="19"/>
                <w:szCs w:val="19"/>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A-1</w:t>
            </w: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700" w:type="dxa"/>
            <w:vAlign w:val="bottom"/>
            <w:gridSpan w:val="2"/>
          </w:tcPr>
          <w:p>
            <w:pPr>
              <w:spacing w:after="0"/>
              <w:rPr>
                <w:sz w:val="5"/>
                <w:szCs w:val="5"/>
                <w:color w:val="auto"/>
              </w:rPr>
            </w:pPr>
          </w:p>
        </w:tc>
        <w:tc>
          <w:tcPr>
            <w:tcW w:w="2660" w:type="dxa"/>
            <w:vAlign w:val="bottom"/>
            <w:gridSpan w:val="3"/>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80" w:type="dxa"/>
            <w:vAlign w:val="bottom"/>
            <w:tcBorders>
              <w:bottom w:val="single" w:sz="8" w:color="284993"/>
            </w:tcBorders>
          </w:tcPr>
          <w:p>
            <w:pPr>
              <w:spacing w:after="0"/>
              <w:rPr>
                <w:sz w:val="8"/>
                <w:szCs w:val="8"/>
                <w:color w:val="auto"/>
              </w:rPr>
            </w:pPr>
          </w:p>
        </w:tc>
        <w:tc>
          <w:tcPr>
            <w:tcW w:w="2980" w:type="dxa"/>
            <w:vAlign w:val="bottom"/>
            <w:tcBorders>
              <w:bottom w:val="single" w:sz="8" w:color="284993"/>
            </w:tcBorders>
          </w:tcPr>
          <w:p>
            <w:pPr>
              <w:spacing w:after="0"/>
              <w:rPr>
                <w:sz w:val="8"/>
                <w:szCs w:val="8"/>
                <w:color w:val="auto"/>
              </w:rPr>
            </w:pPr>
          </w:p>
        </w:tc>
        <w:tc>
          <w:tcPr>
            <w:tcW w:w="1140" w:type="dxa"/>
            <w:vAlign w:val="bottom"/>
            <w:tcBorders>
              <w:bottom w:val="single" w:sz="8" w:color="284993"/>
            </w:tcBorders>
          </w:tcPr>
          <w:p>
            <w:pPr>
              <w:spacing w:after="0"/>
              <w:rPr>
                <w:sz w:val="8"/>
                <w:szCs w:val="8"/>
                <w:color w:val="auto"/>
              </w:rPr>
            </w:pPr>
          </w:p>
        </w:tc>
        <w:tc>
          <w:tcPr>
            <w:tcW w:w="20" w:type="dxa"/>
            <w:vAlign w:val="bottom"/>
            <w:tcBorders>
              <w:bottom w:val="single" w:sz="8" w:color="284993"/>
            </w:tcBorders>
          </w:tcPr>
          <w:p>
            <w:pPr>
              <w:spacing w:after="0"/>
              <w:rPr>
                <w:sz w:val="8"/>
                <w:szCs w:val="8"/>
                <w:color w:val="auto"/>
              </w:rPr>
            </w:pPr>
          </w:p>
        </w:tc>
        <w:tc>
          <w:tcPr>
            <w:tcW w:w="300" w:type="dxa"/>
            <w:vAlign w:val="bottom"/>
            <w:tcBorders>
              <w:bottom w:val="single" w:sz="8" w:color="284993"/>
            </w:tcBorders>
          </w:tcPr>
          <w:p>
            <w:pPr>
              <w:spacing w:after="0"/>
              <w:rPr>
                <w:sz w:val="8"/>
                <w:szCs w:val="8"/>
                <w:color w:val="auto"/>
              </w:rPr>
            </w:pPr>
          </w:p>
        </w:tc>
        <w:tc>
          <w:tcPr>
            <w:tcW w:w="400" w:type="dxa"/>
            <w:vAlign w:val="bottom"/>
            <w:tcBorders>
              <w:bottom w:val="single" w:sz="8" w:color="284993"/>
            </w:tcBorders>
          </w:tcPr>
          <w:p>
            <w:pPr>
              <w:spacing w:after="0"/>
              <w:rPr>
                <w:sz w:val="8"/>
                <w:szCs w:val="8"/>
                <w:color w:val="auto"/>
              </w:rPr>
            </w:pPr>
          </w:p>
        </w:tc>
        <w:tc>
          <w:tcPr>
            <w:tcW w:w="240" w:type="dxa"/>
            <w:vAlign w:val="bottom"/>
            <w:tcBorders>
              <w:bottom w:val="single" w:sz="8" w:color="284993"/>
            </w:tcBorders>
          </w:tcPr>
          <w:p>
            <w:pPr>
              <w:spacing w:after="0"/>
              <w:rPr>
                <w:sz w:val="8"/>
                <w:szCs w:val="8"/>
                <w:color w:val="auto"/>
              </w:rPr>
            </w:pPr>
          </w:p>
        </w:tc>
        <w:tc>
          <w:tcPr>
            <w:tcW w:w="40" w:type="dxa"/>
            <w:vAlign w:val="bottom"/>
            <w:tcBorders>
              <w:bottom w:val="single" w:sz="8" w:color="284993"/>
            </w:tcBorders>
          </w:tcPr>
          <w:p>
            <w:pPr>
              <w:spacing w:after="0"/>
              <w:rPr>
                <w:sz w:val="8"/>
                <w:szCs w:val="8"/>
                <w:color w:val="auto"/>
              </w:rPr>
            </w:pPr>
          </w:p>
        </w:tc>
        <w:tc>
          <w:tcPr>
            <w:tcW w:w="2380" w:type="dxa"/>
            <w:vAlign w:val="bottom"/>
            <w:tcBorders>
              <w:bottom w:val="single" w:sz="8" w:color="284993"/>
            </w:tcBorders>
          </w:tcPr>
          <w:p>
            <w:pPr>
              <w:spacing w:after="0"/>
              <w:rPr>
                <w:sz w:val="8"/>
                <w:szCs w:val="8"/>
                <w:color w:val="auto"/>
              </w:rPr>
            </w:pPr>
          </w:p>
        </w:tc>
        <w:tc>
          <w:tcPr>
            <w:tcW w:w="1640" w:type="dxa"/>
            <w:vAlign w:val="bottom"/>
            <w:tcBorders>
              <w:bottom w:val="single" w:sz="8" w:color="284993"/>
            </w:tcBorders>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2980" w:type="dxa"/>
            <w:vAlign w:val="bottom"/>
            <w:vMerge w:val="restart"/>
          </w:tcPr>
          <w:p>
            <w:pPr>
              <w:ind w:left="80"/>
              <w:spacing w:after="0"/>
              <w:rPr>
                <w:sz w:val="20"/>
                <w:szCs w:val="20"/>
                <w:color w:val="auto"/>
              </w:rPr>
            </w:pPr>
            <w:r>
              <w:rPr>
                <w:rFonts w:ascii="Arial" w:cs="Arial" w:eastAsia="Arial" w:hAnsi="Arial"/>
                <w:sz w:val="24"/>
                <w:szCs w:val="24"/>
                <w:color w:val="284993"/>
              </w:rPr>
              <w:t>Appendix B</w:t>
            </w:r>
          </w:p>
        </w:tc>
        <w:tc>
          <w:tcPr>
            <w:tcW w:w="11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70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w w:val="94"/>
              </w:rPr>
              <w:t>Appendix B</w:t>
            </w:r>
          </w:p>
        </w:tc>
        <w:tc>
          <w:tcPr>
            <w:tcW w:w="2660" w:type="dxa"/>
            <w:vAlign w:val="bottom"/>
            <w:gridSpan w:val="3"/>
            <w:vMerge w:val="restart"/>
          </w:tcPr>
          <w:p>
            <w:pPr>
              <w:spacing w:after="0"/>
              <w:rPr>
                <w:sz w:val="19"/>
                <w:szCs w:val="19"/>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B-1</w:t>
            </w: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700" w:type="dxa"/>
            <w:vAlign w:val="bottom"/>
            <w:gridSpan w:val="2"/>
          </w:tcPr>
          <w:p>
            <w:pPr>
              <w:spacing w:after="0"/>
              <w:rPr>
                <w:sz w:val="5"/>
                <w:szCs w:val="5"/>
                <w:color w:val="auto"/>
              </w:rPr>
            </w:pPr>
          </w:p>
        </w:tc>
        <w:tc>
          <w:tcPr>
            <w:tcW w:w="2660" w:type="dxa"/>
            <w:vAlign w:val="bottom"/>
            <w:gridSpan w:val="3"/>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80" w:type="dxa"/>
            <w:vAlign w:val="bottom"/>
            <w:tcBorders>
              <w:bottom w:val="single" w:sz="8" w:color="284993"/>
            </w:tcBorders>
          </w:tcPr>
          <w:p>
            <w:pPr>
              <w:spacing w:after="0"/>
              <w:rPr>
                <w:sz w:val="8"/>
                <w:szCs w:val="8"/>
                <w:color w:val="auto"/>
              </w:rPr>
            </w:pPr>
          </w:p>
        </w:tc>
        <w:tc>
          <w:tcPr>
            <w:tcW w:w="2980" w:type="dxa"/>
            <w:vAlign w:val="bottom"/>
            <w:tcBorders>
              <w:bottom w:val="single" w:sz="8" w:color="284993"/>
            </w:tcBorders>
          </w:tcPr>
          <w:p>
            <w:pPr>
              <w:spacing w:after="0"/>
              <w:rPr>
                <w:sz w:val="8"/>
                <w:szCs w:val="8"/>
                <w:color w:val="auto"/>
              </w:rPr>
            </w:pPr>
          </w:p>
        </w:tc>
        <w:tc>
          <w:tcPr>
            <w:tcW w:w="1140" w:type="dxa"/>
            <w:vAlign w:val="bottom"/>
            <w:tcBorders>
              <w:bottom w:val="single" w:sz="8" w:color="284993"/>
            </w:tcBorders>
          </w:tcPr>
          <w:p>
            <w:pPr>
              <w:spacing w:after="0"/>
              <w:rPr>
                <w:sz w:val="8"/>
                <w:szCs w:val="8"/>
                <w:color w:val="auto"/>
              </w:rPr>
            </w:pPr>
          </w:p>
        </w:tc>
        <w:tc>
          <w:tcPr>
            <w:tcW w:w="20" w:type="dxa"/>
            <w:vAlign w:val="bottom"/>
            <w:tcBorders>
              <w:bottom w:val="single" w:sz="8" w:color="284993"/>
            </w:tcBorders>
          </w:tcPr>
          <w:p>
            <w:pPr>
              <w:spacing w:after="0"/>
              <w:rPr>
                <w:sz w:val="8"/>
                <w:szCs w:val="8"/>
                <w:color w:val="auto"/>
              </w:rPr>
            </w:pPr>
          </w:p>
        </w:tc>
        <w:tc>
          <w:tcPr>
            <w:tcW w:w="300" w:type="dxa"/>
            <w:vAlign w:val="bottom"/>
            <w:tcBorders>
              <w:bottom w:val="single" w:sz="8" w:color="284993"/>
            </w:tcBorders>
          </w:tcPr>
          <w:p>
            <w:pPr>
              <w:spacing w:after="0"/>
              <w:rPr>
                <w:sz w:val="8"/>
                <w:szCs w:val="8"/>
                <w:color w:val="auto"/>
              </w:rPr>
            </w:pPr>
          </w:p>
        </w:tc>
        <w:tc>
          <w:tcPr>
            <w:tcW w:w="400" w:type="dxa"/>
            <w:vAlign w:val="bottom"/>
            <w:tcBorders>
              <w:bottom w:val="single" w:sz="8" w:color="284993"/>
            </w:tcBorders>
          </w:tcPr>
          <w:p>
            <w:pPr>
              <w:spacing w:after="0"/>
              <w:rPr>
                <w:sz w:val="8"/>
                <w:szCs w:val="8"/>
                <w:color w:val="auto"/>
              </w:rPr>
            </w:pPr>
          </w:p>
        </w:tc>
        <w:tc>
          <w:tcPr>
            <w:tcW w:w="240" w:type="dxa"/>
            <w:vAlign w:val="bottom"/>
            <w:tcBorders>
              <w:bottom w:val="single" w:sz="8" w:color="284993"/>
            </w:tcBorders>
          </w:tcPr>
          <w:p>
            <w:pPr>
              <w:spacing w:after="0"/>
              <w:rPr>
                <w:sz w:val="8"/>
                <w:szCs w:val="8"/>
                <w:color w:val="auto"/>
              </w:rPr>
            </w:pPr>
          </w:p>
        </w:tc>
        <w:tc>
          <w:tcPr>
            <w:tcW w:w="40" w:type="dxa"/>
            <w:vAlign w:val="bottom"/>
            <w:tcBorders>
              <w:bottom w:val="single" w:sz="8" w:color="284993"/>
            </w:tcBorders>
          </w:tcPr>
          <w:p>
            <w:pPr>
              <w:spacing w:after="0"/>
              <w:rPr>
                <w:sz w:val="8"/>
                <w:szCs w:val="8"/>
                <w:color w:val="auto"/>
              </w:rPr>
            </w:pPr>
          </w:p>
        </w:tc>
        <w:tc>
          <w:tcPr>
            <w:tcW w:w="2380" w:type="dxa"/>
            <w:vAlign w:val="bottom"/>
            <w:tcBorders>
              <w:bottom w:val="single" w:sz="8" w:color="284993"/>
            </w:tcBorders>
          </w:tcPr>
          <w:p>
            <w:pPr>
              <w:spacing w:after="0"/>
              <w:rPr>
                <w:sz w:val="8"/>
                <w:szCs w:val="8"/>
                <w:color w:val="auto"/>
              </w:rPr>
            </w:pPr>
          </w:p>
        </w:tc>
        <w:tc>
          <w:tcPr>
            <w:tcW w:w="1640" w:type="dxa"/>
            <w:vAlign w:val="bottom"/>
            <w:tcBorders>
              <w:bottom w:val="single" w:sz="8" w:color="284993"/>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iii</w:t>
      </w:r>
    </w:p>
    <w:p>
      <w:pPr>
        <w:sectPr>
          <w:pgSz w:w="11900" w:h="16838" w:orient="portrait"/>
          <w:cols w:equalWidth="0" w:num="1">
            <w:col w:w="9320"/>
          </w:cols>
          <w:pgMar w:left="1280" w:top="239" w:right="1299" w:bottom="1440" w:gutter="0" w:footer="0" w:header="0"/>
          <w:type w:val="continuous"/>
        </w:sectPr>
      </w:pPr>
    </w:p>
    <w:bookmarkStart w:id="6" w:name="page7"/>
    <w:bookmarkEnd w:id="6"/>
    <w:p>
      <w:pPr>
        <w:ind w:right="1580"/>
        <w:spacing w:after="0" w:line="281" w:lineRule="auto"/>
        <w:rPr>
          <w:sz w:val="20"/>
          <w:szCs w:val="20"/>
          <w:color w:val="auto"/>
        </w:rPr>
      </w:pPr>
      <w:r>
        <w:rPr>
          <w:rFonts w:ascii="Arial" w:cs="Arial" w:eastAsia="Arial" w:hAnsi="Arial"/>
          <w:sz w:val="31"/>
          <w:szCs w:val="3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Proxy Statement for the Annual Meeting of Stockholders to be held on June 1, 2023</w:t>
      </w:r>
    </w:p>
    <w:p>
      <w:pPr>
        <w:spacing w:after="0" w:line="10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About ACI</w:t>
      </w:r>
    </w:p>
    <w:p>
      <w:pPr>
        <w:spacing w:after="0" w:line="123" w:lineRule="exact"/>
        <w:rPr>
          <w:sz w:val="20"/>
          <w:szCs w:val="20"/>
          <w:color w:val="auto"/>
        </w:rPr>
      </w:pPr>
    </w:p>
    <w:p>
      <w:pPr>
        <w:ind w:right="180"/>
        <w:spacing w:after="0" w:line="245" w:lineRule="auto"/>
        <w:rPr>
          <w:sz w:val="20"/>
          <w:szCs w:val="20"/>
          <w:color w:val="auto"/>
        </w:rPr>
      </w:pPr>
      <w:r>
        <w:rPr>
          <w:rFonts w:ascii="Arial" w:cs="Arial" w:eastAsia="Arial" w:hAnsi="Arial"/>
          <w:sz w:val="16"/>
          <w:szCs w:val="16"/>
          <w:color w:val="auto"/>
        </w:rPr>
        <w:t>ACI is a global software company that provides mission-critical real-time payment solutions. Customers use our proven, scalable and secure solutions to process and manage digital payments, enable omni-commerce payments, present and process bill payments and manage fraud and risk. We combine our global footprint with local presence to drive the real-time digital transformation of payments and commerce.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this Proxy Statement, the terms “ACI,” the “Company,” “we,” and “our” refer to ACI Worldwide, Inc.</w:t>
      </w:r>
    </w:p>
    <w:p>
      <w:pPr>
        <w:spacing w:after="0" w:line="20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This Proxy Statement contains a report issued by the Audit Committee relating to certain of its activities during 2022 and a report issued by the Compensation and Leadership Development Committee relating to executive compensation during 2022. Stockholders should be aware that under Securities and Exchange Commission rules, these committee reports are not considered “filed” with the Securities and Exchange Commission under the Securities Exchange Act of 1934 and are not incorporated by reference in any past or future filing by ACI Worldwide, Inc. under the Securities Exchange Act of 1934 or the Securities Act of 1933, unless specifically referenced. Additionally, the information contained on aciworldwide.com is not incorporated by reference into this Proxy Statement.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These materials were first made available to stockholders on April 18, 2023.</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24"/>
          <w:szCs w:val="24"/>
          <w:b w:val="1"/>
          <w:bCs w:val="1"/>
          <w:color w:val="284993"/>
        </w:rPr>
        <w:t>Date, Time and Place of Meeting</w:t>
      </w:r>
    </w:p>
    <w:p>
      <w:pPr>
        <w:sectPr>
          <w:pgSz w:w="11900" w:h="16838" w:orient="portrait"/>
          <w:cols w:equalWidth="0" w:num="1">
            <w:col w:w="9320"/>
          </w:cols>
          <w:pgMar w:left="1280" w:top="281" w:right="1299" w:bottom="1440" w:gutter="0" w:footer="0" w:header="0"/>
        </w:sectPr>
      </w:pP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When: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1, 2023</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10:00 a.m. Eastern Time</w:t>
      </w:r>
    </w:p>
    <w:p>
      <w:pPr>
        <w:spacing w:after="0" w:line="69" w:lineRule="exact"/>
        <w:rPr>
          <w:sz w:val="20"/>
          <w:szCs w:val="20"/>
          <w:color w:val="auto"/>
        </w:rPr>
      </w:pPr>
    </w:p>
    <w:p>
      <w:pPr>
        <w:sectPr>
          <w:pgSz w:w="11900" w:h="16838" w:orient="portrait"/>
          <w:cols w:equalWidth="0" w:num="2">
            <w:col w:w="2160" w:space="720"/>
            <w:col w:w="6440"/>
          </w:cols>
          <w:pgMar w:left="1280" w:top="281" w:right="129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Where:</w:t>
      </w:r>
    </w:p>
    <w:p>
      <w:pPr>
        <w:spacing w:after="0" w:line="20" w:lineRule="exact"/>
        <w:rPr>
          <w:sz w:val="20"/>
          <w:szCs w:val="20"/>
          <w:color w:val="auto"/>
        </w:rPr>
      </w:pPr>
      <w:r>
        <w:rPr>
          <w:sz w:val="20"/>
          <w:szCs w:val="20"/>
          <w:color w:val="auto"/>
        </w:rPr>
        <w:br w:type="column"/>
      </w:r>
    </w:p>
    <w:p>
      <w:pPr>
        <w:ind w:right="1160"/>
        <w:spacing w:after="0" w:line="276" w:lineRule="auto"/>
        <w:rPr>
          <w:sz w:val="20"/>
          <w:szCs w:val="20"/>
          <w:color w:val="auto"/>
        </w:rPr>
      </w:pPr>
      <w:r>
        <w:rPr>
          <w:rFonts w:ascii="Arial" w:cs="Arial" w:eastAsia="Arial" w:hAnsi="Arial"/>
          <w:sz w:val="16"/>
          <w:szCs w:val="16"/>
          <w:b w:val="1"/>
          <w:bCs w:val="1"/>
          <w:color w:val="auto"/>
        </w:rPr>
        <w:t>Via a live audio-only webcast at www.proxydocs.com/ACIW. There is no physical location for the 2023 Annual Meeting.</w:t>
      </w:r>
    </w:p>
    <w:p>
      <w:pPr>
        <w:spacing w:after="0" w:line="4" w:lineRule="exact"/>
        <w:rPr>
          <w:sz w:val="20"/>
          <w:szCs w:val="20"/>
          <w:color w:val="auto"/>
        </w:rPr>
      </w:pPr>
    </w:p>
    <w:p>
      <w:pPr>
        <w:sectPr>
          <w:pgSz w:w="11900" w:h="16838" w:orient="portrait"/>
          <w:cols w:equalWidth="0" w:num="2">
            <w:col w:w="2160" w:space="720"/>
            <w:col w:w="6440"/>
          </w:cols>
          <w:pgMar w:left="1280" w:top="281" w:right="129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April 6, 2023</w:t>
      </w:r>
    </w:p>
    <w:p>
      <w:pPr>
        <w:spacing w:after="0" w:line="200" w:lineRule="exact"/>
        <w:rPr>
          <w:sz w:val="20"/>
          <w:szCs w:val="20"/>
          <w:color w:val="auto"/>
        </w:rPr>
      </w:pPr>
    </w:p>
    <w:p>
      <w:pPr>
        <w:sectPr>
          <w:pgSz w:w="11900" w:h="16838" w:orient="portrait"/>
          <w:cols w:equalWidth="0" w:num="2">
            <w:col w:w="2160" w:space="720"/>
            <w:col w:w="6440"/>
          </w:cols>
          <w:pgMar w:left="1280" w:top="281" w:right="1299" w:bottom="1440" w:gutter="0" w:footer="0" w:header="0"/>
          <w:type w:val="continuous"/>
        </w:sectPr>
      </w:pPr>
    </w:p>
    <w:p>
      <w:pPr>
        <w:spacing w:after="0" w:line="8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This Proxy Statement is being furnished in connection with the solicitation by and on behalf of the Board of proxies to be used at our 2023 Annual Meeting of Stockholders, and any postponement or adjournment thereof. A copy of our annual report on Form 10-K for the fiscal year ended December 31, 2022 (the “Annual Report”), accompanies this Proxy Statement.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1</w:t>
      </w:r>
    </w:p>
    <w:p>
      <w:pPr>
        <w:sectPr>
          <w:pgSz w:w="11900" w:h="16838" w:orient="portrait"/>
          <w:cols w:equalWidth="0" w:num="1">
            <w:col w:w="9320"/>
          </w:cols>
          <w:pgMar w:left="1280" w:top="281" w:right="12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5920740" cy="230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20740" cy="230505"/>
                    </a:xfrm>
                    <a:prstGeom prst="rect">
                      <a:avLst/>
                    </a:prstGeom>
                    <a:noFill/>
                  </pic:spPr>
                </pic:pic>
              </a:graphicData>
            </a:graphic>
          </wp:anchor>
        </w:drawing>
      </w:r>
    </w:p>
    <w:p>
      <w:pPr>
        <w:spacing w:after="0" w:line="179" w:lineRule="exact"/>
        <w:rPr>
          <w:sz w:val="20"/>
          <w:szCs w:val="20"/>
          <w:color w:val="auto"/>
        </w:rPr>
      </w:pPr>
    </w:p>
    <w:p>
      <w:pPr>
        <w:jc w:val="center"/>
        <w:ind w:left="480"/>
        <w:spacing w:after="0"/>
        <w:rPr>
          <w:sz w:val="20"/>
          <w:szCs w:val="20"/>
          <w:color w:val="auto"/>
        </w:rPr>
      </w:pPr>
      <w:r>
        <w:rPr>
          <w:rFonts w:ascii="Arial" w:cs="Arial" w:eastAsia="Arial" w:hAnsi="Arial"/>
          <w:sz w:val="16"/>
          <w:szCs w:val="16"/>
          <w:b w:val="1"/>
          <w:bCs w:val="1"/>
          <w:color w:val="FFFFFF"/>
        </w:rPr>
        <w:t>Proposal</w:t>
      </w:r>
    </w:p>
    <w:p>
      <w:pPr>
        <w:spacing w:after="0" w:line="349" w:lineRule="exact"/>
        <w:rPr>
          <w:sz w:val="20"/>
          <w:szCs w:val="20"/>
          <w:color w:val="auto"/>
        </w:rPr>
      </w:pPr>
    </w:p>
    <w:p>
      <w:pPr>
        <w:ind w:left="400" w:hanging="311"/>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Election of directors</w:t>
      </w:r>
    </w:p>
    <w:p>
      <w:pPr>
        <w:spacing w:after="0" w:line="200" w:lineRule="exact"/>
        <w:rPr>
          <w:rFonts w:ascii="Arial" w:cs="Arial" w:eastAsia="Arial" w:hAnsi="Arial"/>
          <w:sz w:val="16"/>
          <w:szCs w:val="16"/>
          <w:color w:val="auto"/>
        </w:rPr>
      </w:pPr>
    </w:p>
    <w:p>
      <w:pPr>
        <w:spacing w:after="0" w:line="250" w:lineRule="exact"/>
        <w:rPr>
          <w:rFonts w:ascii="Arial" w:cs="Arial" w:eastAsia="Arial" w:hAnsi="Arial"/>
          <w:sz w:val="16"/>
          <w:szCs w:val="16"/>
          <w:color w:val="auto"/>
        </w:rPr>
      </w:pPr>
    </w:p>
    <w:p>
      <w:pPr>
        <w:ind w:left="400" w:hanging="311"/>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Ratification of appointment of independent registered public accounting firm</w:t>
      </w:r>
    </w:p>
    <w:p>
      <w:pPr>
        <w:spacing w:after="0" w:line="269" w:lineRule="exact"/>
        <w:rPr>
          <w:rFonts w:ascii="Arial" w:cs="Arial" w:eastAsia="Arial" w:hAnsi="Arial"/>
          <w:sz w:val="16"/>
          <w:szCs w:val="16"/>
          <w:color w:val="auto"/>
        </w:rPr>
      </w:pPr>
    </w:p>
    <w:p>
      <w:pPr>
        <w:ind w:left="400" w:hanging="311"/>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Advisory vote to approve named executive officer compensation</w:t>
      </w:r>
    </w:p>
    <w:p>
      <w:pPr>
        <w:spacing w:after="0" w:line="269" w:lineRule="exact"/>
        <w:rPr>
          <w:rFonts w:ascii="Arial" w:cs="Arial" w:eastAsia="Arial" w:hAnsi="Arial"/>
          <w:sz w:val="16"/>
          <w:szCs w:val="16"/>
          <w:color w:val="auto"/>
        </w:rPr>
      </w:pPr>
    </w:p>
    <w:p>
      <w:pPr>
        <w:ind w:left="400" w:hanging="311"/>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Advisory vote on the frequency of future advisory votes on executive compensation</w:t>
      </w:r>
    </w:p>
    <w:p>
      <w:pPr>
        <w:spacing w:after="0" w:line="191" w:lineRule="exact"/>
        <w:rPr>
          <w:rFonts w:ascii="Arial" w:cs="Arial" w:eastAsia="Arial" w:hAnsi="Arial"/>
          <w:sz w:val="16"/>
          <w:szCs w:val="16"/>
          <w:color w:val="auto"/>
        </w:rPr>
      </w:pPr>
    </w:p>
    <w:p>
      <w:pPr>
        <w:ind w:left="400" w:hanging="311"/>
        <w:spacing w:after="0" w:line="263"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Vote to approve the amendment and restatement of the ACI Worldwide, Inc. 2020 Equity and Incentive Compensation Plan (the “2020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59207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FFFFFF"/>
        </w:rPr>
        <w:t>Recommendation</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FFFFFF"/>
        </w:rPr>
        <w:t>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38100</wp:posOffset>
            </wp:positionV>
            <wp:extent cx="106680" cy="123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680" cy="123190"/>
                    </a:xfrm>
                    <a:prstGeom prst="rect">
                      <a:avLst/>
                    </a:prstGeom>
                    <a:noFill/>
                  </pic:spPr>
                </pic:pic>
              </a:graphicData>
            </a:graphic>
          </wp:anchor>
        </w:drawing>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FOR</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Each of the</w:t>
      </w:r>
    </w:p>
    <w:p>
      <w:pPr>
        <w:jc w:val="center"/>
        <w:ind w:right="40"/>
        <w:spacing w:after="0"/>
        <w:rPr>
          <w:sz w:val="20"/>
          <w:szCs w:val="20"/>
          <w:color w:val="auto"/>
        </w:rPr>
      </w:pPr>
      <w:r>
        <w:rPr>
          <w:rFonts w:ascii="Arial" w:cs="Arial" w:eastAsia="Arial" w:hAnsi="Arial"/>
          <w:sz w:val="16"/>
          <w:szCs w:val="16"/>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46355</wp:posOffset>
            </wp:positionV>
            <wp:extent cx="106680" cy="123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6680" cy="123190"/>
                    </a:xfrm>
                    <a:prstGeom prst="rect">
                      <a:avLst/>
                    </a:prstGeom>
                    <a:noFill/>
                  </pic:spPr>
                </pic:pic>
              </a:graphicData>
            </a:graphic>
          </wp:anchor>
        </w:drawing>
      </w:r>
    </w:p>
    <w:p>
      <w:pPr>
        <w:spacing w:after="0" w:line="23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56515</wp:posOffset>
            </wp:positionV>
            <wp:extent cx="106680" cy="123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680" cy="123190"/>
                    </a:xfrm>
                    <a:prstGeom prst="rect">
                      <a:avLst/>
                    </a:prstGeom>
                    <a:noFill/>
                  </pic:spPr>
                </pic:pic>
              </a:graphicData>
            </a:graphic>
          </wp:anchor>
        </w:drawing>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56515</wp:posOffset>
            </wp:positionV>
            <wp:extent cx="106680" cy="123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680" cy="123190"/>
                    </a:xfrm>
                    <a:prstGeom prst="rect">
                      <a:avLst/>
                    </a:prstGeom>
                    <a:noFill/>
                  </pic:spPr>
                </pic:pic>
              </a:graphicData>
            </a:graphic>
          </wp:anchor>
        </w:drawing>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56515</wp:posOffset>
            </wp:positionV>
            <wp:extent cx="106680" cy="123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680" cy="123190"/>
                    </a:xfrm>
                    <a:prstGeom prst="rect">
                      <a:avLst/>
                    </a:prstGeom>
                    <a:noFill/>
                  </pic:spPr>
                </pic:pic>
              </a:graphicData>
            </a:graphic>
          </wp:anchor>
        </w:drawing>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FOR</w:t>
      </w:r>
    </w:p>
    <w:p>
      <w:pPr>
        <w:spacing w:after="0" w:line="221" w:lineRule="exact"/>
        <w:rPr>
          <w:sz w:val="20"/>
          <w:szCs w:val="20"/>
          <w:color w:val="auto"/>
        </w:rPr>
      </w:pPr>
    </w:p>
    <w:p>
      <w:pPr>
        <w:sectPr>
          <w:pgSz w:w="11900" w:h="16838" w:orient="portrait"/>
          <w:cols w:equalWidth="0" w:num="2">
            <w:col w:w="7440" w:space="540"/>
            <w:col w:w="1340"/>
          </w:cols>
          <w:pgMar w:left="1280" w:top="285" w:right="1299" w:bottom="1440" w:gutter="0" w:footer="0" w:header="0"/>
        </w:sectPr>
      </w:pPr>
    </w:p>
    <w:p>
      <w:pPr>
        <w:spacing w:after="0"/>
        <w:rPr>
          <w:sz w:val="20"/>
          <w:szCs w:val="20"/>
          <w:color w:val="auto"/>
        </w:rPr>
      </w:pPr>
      <w:r>
        <w:rPr>
          <w:rFonts w:ascii="Arial" w:cs="Arial" w:eastAsia="Arial" w:hAnsi="Arial"/>
          <w:sz w:val="24"/>
          <w:szCs w:val="24"/>
          <w:b w:val="1"/>
          <w:bCs w:val="1"/>
          <w:color w:val="284993"/>
        </w:rPr>
        <w:t>Questions and Answers about this Proxy Material and Voting</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Why am I receiving these materials?</w:t>
      </w:r>
    </w:p>
    <w:p>
      <w:pPr>
        <w:spacing w:after="0" w:line="109" w:lineRule="exact"/>
        <w:rPr>
          <w:sz w:val="20"/>
          <w:szCs w:val="20"/>
          <w:color w:val="auto"/>
        </w:rPr>
      </w:pPr>
    </w:p>
    <w:p>
      <w:pPr>
        <w:ind w:right="20"/>
        <w:spacing w:after="0"/>
        <w:rPr>
          <w:sz w:val="20"/>
          <w:szCs w:val="20"/>
          <w:color w:val="auto"/>
        </w:rPr>
      </w:pPr>
      <w:r>
        <w:rPr>
          <w:rFonts w:ascii="Arial" w:cs="Arial" w:eastAsia="Arial" w:hAnsi="Arial"/>
          <w:sz w:val="16"/>
          <w:szCs w:val="16"/>
          <w:color w:val="auto"/>
        </w:rPr>
        <w:t xml:space="preserve">We are making these proxy materials available because the Board of Directors (the “Board of Directors” or the “Board”) of ACI is soliciting your proxy to vote at the 2023 Annual Meeting of Stockholders (the “Annual Meeting”). You are invited to attend the Annual Meeting via audio only webcast to vote on the proposals described in this Proxy Statement so long as you register to attend the Annual Meeting at </w:t>
      </w:r>
      <w:r>
        <w:rPr>
          <w:rFonts w:ascii="Arial" w:cs="Arial" w:eastAsia="Arial" w:hAnsi="Arial"/>
          <w:sz w:val="16"/>
          <w:szCs w:val="16"/>
          <w:u w:val="single" w:color="auto"/>
          <w:color w:val="auto"/>
        </w:rPr>
        <w:t>www.proxydocs.com/ACIW</w:t>
      </w:r>
      <w:r>
        <w:rPr>
          <w:rFonts w:ascii="Arial" w:cs="Arial" w:eastAsia="Arial" w:hAnsi="Arial"/>
          <w:sz w:val="16"/>
          <w:szCs w:val="16"/>
          <w:color w:val="auto"/>
        </w:rPr>
        <w:t>. You will be asked to provide the control number located inside the shaded box on your Notice or proxy card (the “Control Number”) as described in the Notice of Internet Availability of Proxy Materials (the “Internet Availability Notice”) or proxy card. After completion of your registration by the Registration Deadline, further instructions, including a unique link to access the Annual Meeting, will be emailed to you. If you request a printed copy of our proxy materials by mail, your broker or nominee will provide a voting instruction card for you to use.</w:t>
      </w:r>
    </w:p>
    <w:p>
      <w:pPr>
        <w:spacing w:after="0" w:line="186"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You do not need to attend the Annual Meeting to vote your shares. Instead, you may follow the instructions below to submit your proxy by telephone or on the Internet, or complete, sign and return the proxy card.</w:t>
      </w:r>
    </w:p>
    <w:p>
      <w:pPr>
        <w:spacing w:after="0" w:line="16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Under the U.S. Securities and Exchange Commission’s (the “SEC”) “notice and access” rules, ACI has elected to use the Internet as its primary means of furnishing proxy materials to our stockholders. Consequently, most stockholders will not receive paper copies of ACI’s proxy materials. ACI intends to commence mailing to all stockholders of record entitled to vote at the Annual Meeting the Internet Availability Notice on or about April 18, 2023. The Internet Availability Notice will include instructions on how to receive a paper copy of your proxy materials, if you so choose.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ACI’s office is located at 2811 Ponce de Leon Blvd, PH 1, Coral Gables, Florida 33134; our telephone number is (305) 894-2200.</w:t>
      </w:r>
    </w:p>
    <w:p>
      <w:pPr>
        <w:spacing w:after="0" w:line="190" w:lineRule="exact"/>
        <w:rPr>
          <w:sz w:val="20"/>
          <w:szCs w:val="20"/>
          <w:color w:val="auto"/>
        </w:rPr>
      </w:pPr>
    </w:p>
    <w:p>
      <w:pPr>
        <w:jc w:val="both"/>
        <w:ind w:right="540"/>
        <w:spacing w:after="0" w:line="299" w:lineRule="auto"/>
        <w:rPr>
          <w:sz w:val="20"/>
          <w:szCs w:val="20"/>
          <w:color w:val="auto"/>
        </w:rPr>
      </w:pPr>
      <w:r>
        <w:rPr>
          <w:rFonts w:ascii="Arial" w:cs="Arial" w:eastAsia="Arial" w:hAnsi="Arial"/>
          <w:sz w:val="20"/>
          <w:szCs w:val="20"/>
          <w:b w:val="1"/>
          <w:bCs w:val="1"/>
          <w:color w:val="284993"/>
        </w:rPr>
        <w:t>Why did I receive a notice in the mail regarding the Internet availability of proxy materials instead of a full paper copy of this Proxy Statement and Annual Report to Stockholders?</w:t>
      </w:r>
    </w:p>
    <w:p>
      <w:pPr>
        <w:spacing w:after="0" w:line="11"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We are acting under a Securities and Exchange Commission rule that allows companies to furnish their proxy materials over the Internet rather than in paper form. This rule allows a company to send its stockholders a notice regarding Internet availability of proxy materials. Instructions on how to access the proxy materials over the Internet or how to request a paper copy of proxy materials may be found in the Internet Availability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81915</wp:posOffset>
            </wp:positionV>
            <wp:extent cx="699135" cy="131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2</w:t>
      </w:r>
    </w:p>
    <w:p>
      <w:pPr>
        <w:sectPr>
          <w:pgSz w:w="11900" w:h="16838" w:orient="portrait"/>
          <w:cols w:equalWidth="0" w:num="1">
            <w:col w:w="9320"/>
          </w:cols>
          <w:pgMar w:left="1280" w:top="285" w:right="12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1"/>
          <w:szCs w:val="21"/>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How can I attend the Annual Meeting?</w:t>
      </w:r>
    </w:p>
    <w:p>
      <w:pPr>
        <w:spacing w:after="0" w:line="109"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 xml:space="preserve">This year’s Annual Meeting will be accessible through the Internet via a live audio-only webcast. Prior registration to attend the Annual Meeting at </w:t>
      </w:r>
      <w:r>
        <w:rPr>
          <w:rFonts w:ascii="Arial" w:cs="Arial" w:eastAsia="Arial" w:hAnsi="Arial"/>
          <w:sz w:val="14"/>
          <w:szCs w:val="14"/>
          <w:u w:val="single" w:color="auto"/>
          <w:color w:val="auto"/>
        </w:rPr>
        <w:t>www.proxydocs.com/ACIW</w:t>
      </w:r>
      <w:r>
        <w:rPr>
          <w:rFonts w:ascii="Arial" w:cs="Arial" w:eastAsia="Arial" w:hAnsi="Arial"/>
          <w:sz w:val="14"/>
          <w:szCs w:val="14"/>
          <w:color w:val="auto"/>
        </w:rPr>
        <w:t xml:space="preserve"> is required. You are entitled to participate in the Annual Meeting if you were a stockholder as of the close of business on our record date of April 6, 2023 or hold a valid proxy for the meeting. To be admitted to the Annual Meeting’s live audio-only webcast, you must register at </w:t>
      </w:r>
      <w:r>
        <w:rPr>
          <w:rFonts w:ascii="Arial" w:cs="Arial" w:eastAsia="Arial" w:hAnsi="Arial"/>
          <w:sz w:val="14"/>
          <w:szCs w:val="14"/>
          <w:u w:val="single" w:color="auto"/>
          <w:color w:val="auto"/>
        </w:rPr>
        <w:t>www.proxydocs.com/ACIW</w:t>
      </w:r>
      <w:r>
        <w:rPr>
          <w:rFonts w:ascii="Arial" w:cs="Arial" w:eastAsia="Arial" w:hAnsi="Arial"/>
          <w:sz w:val="14"/>
          <w:szCs w:val="14"/>
          <w:color w:val="auto"/>
        </w:rPr>
        <w:t xml:space="preserve"> as described in the Internet Availability Notice or proxy card. As part of the registration process, you must enter the Control Number. After completion of your registration by the Registration Deadline, further instructions, including a unique link to access the Annual Meeting, will be emailed to you.</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Who can vote at the Annual Meeting?</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You will be entitled to vote at the Annual Meeting if you owned ACI’s common stock (“Common Stock”), either as a stockholder of record or as a beneficial owner, as of the close of business on April 6, 2023 (the “Record Date”). On the Record Date, there were 108,317,319 shares of Common Stock outstanding. Holders of these outstanding shares are entitled to one vote for each share of Common Stock held by them as of April 6, 2023 at the Annual Meeting. Shares of Common Stock held as treasury stock are not entitled to be voted at the Annual Meeting. Each stockholder is entitled to one vote per share of Common Stock held on all matters to be voted on by stockholders. Unless context requires otherwise, any reference to “shares” in this Proxy Statement refers to all shares of Common Stock entitled to vote at the Annual Meeting.</w:t>
      </w:r>
    </w:p>
    <w:p>
      <w:pPr>
        <w:spacing w:after="0" w:line="18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If your shares are registered directly in your name with our transfer agent, EQ Shareowner Services, the Internet Availability Notice was sent directly to you by ACI. The Internet Availability Notice provides instructions on how to request printed proxy materials and how to access your proxy card, which contains instructions on how to vote via the Internet or by telephone. For stockholders who receive a paper proxy card, instructions for voting via the Internet or by telephone are set forth on the proxy card. If your shares are held in an account at a brokerage firm, bank, trust, or other similar organization, like the vast majority of our stockholders, you are considered the “beneficial owner” of shares held in “street name” and the Internet Availability Notice was forwarded to you by that organization. You will receive instructions from your broker, bank, trustee, or other nominee that must be followed in order for your broker, bank, trustee, or other nominee to vote your shares per your instructions.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What am I voting 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There are five matters scheduled for a vote:</w:t>
      </w:r>
    </w:p>
    <w:p>
      <w:pPr>
        <w:spacing w:after="0" w:line="114" w:lineRule="exact"/>
        <w:rPr>
          <w:sz w:val="20"/>
          <w:szCs w:val="20"/>
          <w:color w:val="auto"/>
        </w:rPr>
      </w:pPr>
    </w:p>
    <w:p>
      <w:pPr>
        <w:ind w:left="180" w:hanging="178"/>
        <w:spacing w:after="0" w:line="263"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Proposal No. 1. </w:t>
      </w:r>
      <w:r>
        <w:rPr>
          <w:rFonts w:ascii="Arial" w:cs="Arial" w:eastAsia="Arial" w:hAnsi="Arial"/>
          <w:sz w:val="16"/>
          <w:szCs w:val="16"/>
          <w:color w:val="auto"/>
        </w:rPr>
        <w:t>To elect the seven directors named in the accompanying proxy statement to our Board of Directors to hold office until</w:t>
      </w:r>
      <w:r>
        <w:rPr>
          <w:rFonts w:ascii="Arial" w:cs="Arial" w:eastAsia="Arial" w:hAnsi="Arial"/>
          <w:sz w:val="16"/>
          <w:szCs w:val="16"/>
          <w:i w:val="1"/>
          <w:iCs w:val="1"/>
          <w:color w:val="auto"/>
        </w:rPr>
        <w:t xml:space="preserve"> </w:t>
      </w:r>
      <w:r>
        <w:rPr>
          <w:rFonts w:ascii="Arial" w:cs="Arial" w:eastAsia="Arial" w:hAnsi="Arial"/>
          <w:sz w:val="16"/>
          <w:szCs w:val="16"/>
          <w:color w:val="auto"/>
        </w:rPr>
        <w:t>the 2024 Annual Meeting of Stockholders;</w:t>
      </w:r>
    </w:p>
    <w:p>
      <w:pPr>
        <w:spacing w:after="0" w:line="75" w:lineRule="exact"/>
        <w:rPr>
          <w:rFonts w:ascii="Arial" w:cs="Arial" w:eastAsia="Arial" w:hAnsi="Arial"/>
          <w:sz w:val="16"/>
          <w:szCs w:val="16"/>
          <w:color w:val="auto"/>
        </w:rPr>
      </w:pPr>
    </w:p>
    <w:p>
      <w:pPr>
        <w:ind w:left="180" w:hanging="178"/>
        <w:spacing w:after="0"/>
        <w:tabs>
          <w:tab w:leader="none" w:pos="18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 xml:space="preserve">Proposal No. 2. </w:t>
      </w:r>
      <w:r>
        <w:rPr>
          <w:rFonts w:ascii="Arial" w:cs="Arial" w:eastAsia="Arial" w:hAnsi="Arial"/>
          <w:sz w:val="14"/>
          <w:szCs w:val="14"/>
          <w:color w:val="auto"/>
        </w:rPr>
        <w:t>To ratify the appointment of Deloitte &amp; Touche LLP as our independent registered public accounting firm for 2023;</w:t>
      </w:r>
    </w:p>
    <w:p>
      <w:pPr>
        <w:spacing w:after="0" w:line="136" w:lineRule="exact"/>
        <w:rPr>
          <w:rFonts w:ascii="Arial" w:cs="Arial" w:eastAsia="Arial" w:hAnsi="Arial"/>
          <w:sz w:val="14"/>
          <w:szCs w:val="14"/>
          <w:color w:val="auto"/>
        </w:rPr>
      </w:pPr>
    </w:p>
    <w:p>
      <w:pPr>
        <w:ind w:left="180" w:hanging="178"/>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Proposal No. 3. </w:t>
      </w:r>
      <w:r>
        <w:rPr>
          <w:rFonts w:ascii="Arial" w:cs="Arial" w:eastAsia="Arial" w:hAnsi="Arial"/>
          <w:sz w:val="16"/>
          <w:szCs w:val="16"/>
          <w:color w:val="auto"/>
        </w:rPr>
        <w:t>To approve, on an advisory basis, named executive officer compensation;</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Proposal No. 4</w:t>
      </w:r>
      <w:r>
        <w:rPr>
          <w:rFonts w:ascii="Arial" w:cs="Arial" w:eastAsia="Arial" w:hAnsi="Arial"/>
          <w:sz w:val="16"/>
          <w:szCs w:val="16"/>
          <w:color w:val="auto"/>
        </w:rPr>
        <w:t>. To decide, on an advisory basis, the frequency of future advisory votes on executive compensation; and</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Proposal No. 5</w:t>
      </w:r>
      <w:r>
        <w:rPr>
          <w:rFonts w:ascii="Arial" w:cs="Arial" w:eastAsia="Arial" w:hAnsi="Arial"/>
          <w:sz w:val="16"/>
          <w:szCs w:val="16"/>
          <w:color w:val="auto"/>
        </w:rPr>
        <w:t>. To approve the amendment and restatement of the 2020 Equity Plan.</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How do I vote?</w:t>
      </w:r>
    </w:p>
    <w:p>
      <w:pPr>
        <w:spacing w:after="0" w:line="109" w:lineRule="exact"/>
        <w:rPr>
          <w:sz w:val="20"/>
          <w:szCs w:val="20"/>
          <w:color w:val="auto"/>
        </w:rPr>
      </w:pPr>
    </w:p>
    <w:p>
      <w:pPr>
        <w:ind w:right="100"/>
        <w:spacing w:after="0" w:line="291" w:lineRule="auto"/>
        <w:rPr>
          <w:sz w:val="20"/>
          <w:szCs w:val="20"/>
          <w:color w:val="auto"/>
        </w:rPr>
      </w:pPr>
      <w:r>
        <w:rPr>
          <w:rFonts w:ascii="Arial" w:cs="Arial" w:eastAsia="Arial" w:hAnsi="Arial"/>
          <w:sz w:val="14"/>
          <w:szCs w:val="14"/>
          <w:color w:val="auto"/>
        </w:rPr>
        <w:t>For Proposal No. 1, you may either vote “For”, vote “Against” or vote to “Abstain” with respect to each of the nominees for the Board of Directors. You may not vote your proxy “For” the election of any persons other than the seven named nominees. For Proposal No. 4, you may vote to conduct future advisory votes on executive compensation every (i) ”1 year”, (ii) ”2 years”, (iii) ”3 years”, or (iv) ”Abstain”. For all other matters to be voted on, you may vote “For” or “Against” or abstain from voting on the applicable proposal.</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 Shares Registered in Your Name</w:t>
      </w:r>
    </w:p>
    <w:p>
      <w:pPr>
        <w:spacing w:after="0" w:line="205"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If you are a stockholder of record, you may vote by proxy using a proxy card, vote by proxy on the Internet or by telephone as set forth in the Internet Availability Notice, or vote at the Annual Meeting. Regardless of whether you plan to attend the Annual Meeting via audio-only webcast, we urge you to vote by proxy to ensure your vote is counted. You may still attend the Annual Meeting and vote if you have already voted by proxy.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3</w:t>
      </w:r>
    </w:p>
    <w:p>
      <w:pPr>
        <w:sectPr>
          <w:pgSz w:w="11900" w:h="16838" w:orient="portrait"/>
          <w:cols w:equalWidth="0" w:num="1">
            <w:col w:w="9320"/>
          </w:cols>
          <w:pgMar w:left="1280" w:top="282" w:right="1299" w:bottom="1440" w:gutter="0" w:footer="0" w:header="0"/>
        </w:sectPr>
      </w:pPr>
    </w:p>
    <w:bookmarkStart w:id="9" w:name="page10"/>
    <w:bookmarkEnd w:id="9"/>
    <w:p>
      <w:pPr>
        <w:ind w:left="180" w:right="240" w:hanging="178"/>
        <w:spacing w:after="0" w:line="263"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To vote using the proxy card, complete, date and sign the proxy card and return it promptly in the envelope provided. If you return your signed proxy card to us before the Annual Meeting, we will vote your shares as you direct.</w:t>
      </w:r>
    </w:p>
    <w:p>
      <w:pPr>
        <w:spacing w:after="0" w:line="75" w:lineRule="exact"/>
        <w:rPr>
          <w:rFonts w:ascii="Arial" w:cs="Arial" w:eastAsia="Arial" w:hAnsi="Arial"/>
          <w:sz w:val="16"/>
          <w:szCs w:val="16"/>
          <w:color w:val="auto"/>
        </w:rPr>
      </w:pPr>
    </w:p>
    <w:p>
      <w:pPr>
        <w:ind w:left="180" w:hanging="178"/>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vote on the Internet, please follow the instructions provided on your proxy card or the Internet Availability Notice.</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vote by telephone, please follow the instructions provided on your proxy card or the Internet Availability Notice.</w:t>
      </w:r>
    </w:p>
    <w:p>
      <w:pPr>
        <w:spacing w:after="0" w:line="113" w:lineRule="exact"/>
        <w:rPr>
          <w:rFonts w:ascii="Arial" w:cs="Arial" w:eastAsia="Arial" w:hAnsi="Arial"/>
          <w:sz w:val="16"/>
          <w:szCs w:val="16"/>
          <w:color w:val="auto"/>
        </w:rPr>
      </w:pPr>
    </w:p>
    <w:p>
      <w:pPr>
        <w:ind w:left="180" w:hanging="178"/>
        <w:spacing w:after="0" w:line="245"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To vote during the Annual Meeting, you must do so through </w:t>
      </w:r>
      <w:r>
        <w:rPr>
          <w:rFonts w:ascii="Arial" w:cs="Arial" w:eastAsia="Arial" w:hAnsi="Arial"/>
          <w:sz w:val="16"/>
          <w:szCs w:val="16"/>
          <w:u w:val="single" w:color="auto"/>
          <w:color w:val="auto"/>
        </w:rPr>
        <w:t>www.proxydocs.com/ACIW</w:t>
      </w:r>
      <w:r>
        <w:rPr>
          <w:rFonts w:ascii="Arial" w:cs="Arial" w:eastAsia="Arial" w:hAnsi="Arial"/>
          <w:sz w:val="16"/>
          <w:szCs w:val="16"/>
          <w:color w:val="auto"/>
        </w:rPr>
        <w:t>. To be admitted to attend the Annual Meeting and vote your shares, you must register and provide the Control Number as described in the Internet Availability Notice or proxy card. After completion of your registration, further instructions, including a unique link to access the Annual Meeting, will be emailed to you.</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Beneficial Owner: Shares Registered in the Name of a Broker or Bank</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See “Who can vote at the Annual Meeting?” for voting instructions if you beneficially own shares held in street name.</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How many votes do I have?</w:t>
      </w:r>
    </w:p>
    <w:p>
      <w:pPr>
        <w:spacing w:after="0" w:line="109"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On each matter to be voted upon, you have one vote for each share of Common Stock you own as of the close of business on April 6, 2023.</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What if I return a proxy card but do not make specific choices?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If you return a signed and dated proxy card without marking any voting selections, your shares will be voted as follows:</w:t>
      </w:r>
    </w:p>
    <w:p>
      <w:pPr>
        <w:spacing w:after="0" w:line="114" w:lineRule="exact"/>
        <w:rPr>
          <w:sz w:val="20"/>
          <w:szCs w:val="20"/>
          <w:color w:val="auto"/>
        </w:rPr>
      </w:pPr>
    </w:p>
    <w:p>
      <w:pPr>
        <w:ind w:left="180" w:hanging="178"/>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election of each of the seven nominees for director;</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ratification of the appointment of Deloitte &amp; Touche LLP as our independent registered public accounting firm for 2023;</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approval, on an advisory basis, of the compensation of our named executive officers;</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Every “1 year” for the frequency of future advisory votes on executive compensation; and</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approval of the amendment and restatement of the 2020 Equity Plan.</w:t>
      </w:r>
    </w:p>
    <w:p>
      <w:pPr>
        <w:spacing w:after="0" w:line="205" w:lineRule="exact"/>
        <w:rPr>
          <w:sz w:val="20"/>
          <w:szCs w:val="20"/>
          <w:color w:val="auto"/>
        </w:rPr>
      </w:pPr>
    </w:p>
    <w:p>
      <w:pPr>
        <w:ind w:right="300"/>
        <w:spacing w:after="0" w:line="263" w:lineRule="auto"/>
        <w:rPr>
          <w:sz w:val="20"/>
          <w:szCs w:val="20"/>
          <w:color w:val="auto"/>
        </w:rPr>
      </w:pPr>
      <w:r>
        <w:rPr>
          <w:rFonts w:ascii="Arial" w:cs="Arial" w:eastAsia="Arial" w:hAnsi="Arial"/>
          <w:sz w:val="16"/>
          <w:szCs w:val="16"/>
          <w:color w:val="auto"/>
        </w:rPr>
        <w:t>If any other matter is properly presented at the meeting, your proxy (one of the individuals named on your proxy card) will vote your shares using his or her best judgment.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Who is paying for this proxy solicitation?</w:t>
      </w:r>
    </w:p>
    <w:p>
      <w:pPr>
        <w:spacing w:after="0" w:line="109"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ACI will pay for the entire cost of soliciting proxies, including the preparation, assembly, printing and mailing of the Internet Availability Notice, this Proxy Statement, the proxy and any additional solicitation material that ACI may provide to stockholders. Copies of the proxy materials and any other solicitation materials will be provided to brokerage firms, banks, fiduciaries and custodians holding shares in their names that are beneficially owned by others so that they may forward the solicitation materials to such beneficial owners. ACI will reimburse such brokerage firms, banks, fiduciaries and other custodians for the reasonable out-of-pocket expenses incurred by them in connection with forwarding the proxy materials and any other solicitation materials.</w:t>
      </w:r>
    </w:p>
    <w:p>
      <w:pPr>
        <w:spacing w:after="0" w:line="187"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In addition to ACI mailing these proxy materials, the Internet Availability Notice and the Annual Report (as applicable), ACI’s directors and employees may also solicit proxies in person, by telephone or by other means of communication. Directors and employees will not be paid any additional compensation for soliciting proxies. Mediant Communications LLC will monitor voting and deliver executed proxies to our voting tabulator.</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What does it mean if I receive more than one set of proxy materials?</w:t>
      </w:r>
    </w:p>
    <w:p>
      <w:pPr>
        <w:spacing w:after="0" w:line="10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If you receive more than one set of proxy materials (including multiple copies of this Proxy Statement and multiple proxy cards or multiple Internet Availability Notices), your shares are registered in more than one name or are registered in different accounts. Please complete, date, sign and return each proxy card to ensure that all of your shares are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80010</wp:posOffset>
            </wp:positionV>
            <wp:extent cx="699135" cy="131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4</w:t>
      </w:r>
    </w:p>
    <w:p>
      <w:pPr>
        <w:sectPr>
          <w:pgSz w:w="11900" w:h="16838" w:orient="portrait"/>
          <w:cols w:equalWidth="0" w:num="1">
            <w:col w:w="9300"/>
          </w:cols>
          <w:pgMar w:left="1280" w:top="296" w:right="1319" w:bottom="1440" w:gutter="0" w:footer="0" w:header="0"/>
        </w:sectPr>
      </w:pPr>
    </w:p>
    <w:bookmarkStart w:id="10" w:name="page11"/>
    <w:bookmarkEnd w:id="10"/>
    <w:p>
      <w:pPr>
        <w:spacing w:after="0"/>
        <w:rPr>
          <w:sz w:val="20"/>
          <w:szCs w:val="20"/>
          <w:color w:val="auto"/>
        </w:rPr>
      </w:pPr>
      <w:r>
        <w:rPr>
          <w:rFonts w:ascii="Arial" w:cs="Arial" w:eastAsia="Arial" w:hAnsi="Arial"/>
          <w:sz w:val="21"/>
          <w:szCs w:val="21"/>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Can I change my vote after submitting my proxy?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Yes. You can revoke your proxy at any time before the final vote at the Annual Meeting.</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you may revoke your proxy in any one of the following ways:</w:t>
      </w:r>
    </w:p>
    <w:p>
      <w:pPr>
        <w:spacing w:after="0" w:line="114" w:lineRule="exact"/>
        <w:rPr>
          <w:sz w:val="20"/>
          <w:szCs w:val="20"/>
          <w:color w:val="auto"/>
        </w:rPr>
      </w:pPr>
    </w:p>
    <w:p>
      <w:pPr>
        <w:ind w:left="180" w:hanging="178"/>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You may submit another properly completed proxy card with a later date.</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You may vote again on a later date over the Internet or by telephone as set forth on the Internet Availability Notice.</w:t>
      </w:r>
    </w:p>
    <w:p>
      <w:pPr>
        <w:spacing w:after="0" w:line="113" w:lineRule="exact"/>
        <w:rPr>
          <w:rFonts w:ascii="Arial" w:cs="Arial" w:eastAsia="Arial" w:hAnsi="Arial"/>
          <w:sz w:val="16"/>
          <w:szCs w:val="16"/>
          <w:color w:val="auto"/>
        </w:rPr>
      </w:pPr>
    </w:p>
    <w:p>
      <w:pPr>
        <w:ind w:left="180" w:right="320" w:hanging="178"/>
        <w:spacing w:after="0" w:line="263"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You may send a written notice that you are revoking your proxy to the Secretary of ACI at 2811 Ponce de Leon Blvd, PH 1, Coral Gables, Florida 33134.</w:t>
      </w:r>
    </w:p>
    <w:p>
      <w:pPr>
        <w:spacing w:after="0" w:line="75" w:lineRule="exact"/>
        <w:rPr>
          <w:rFonts w:ascii="Arial" w:cs="Arial" w:eastAsia="Arial" w:hAnsi="Arial"/>
          <w:sz w:val="16"/>
          <w:szCs w:val="16"/>
          <w:color w:val="auto"/>
        </w:rPr>
      </w:pPr>
    </w:p>
    <w:p>
      <w:pPr>
        <w:ind w:left="180" w:hanging="178"/>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You may attend the Annual Meeting and submit an electronic ballot.</w:t>
      </w:r>
    </w:p>
    <w:p>
      <w:pPr>
        <w:spacing w:after="0" w:line="205"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If you are a beneficial owner of our shares, you will need to contact your bank, brokerage firm, trustee, or other nominee to revoke any prior voting instructions.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How are votes counted?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Votes will be counted by the inspector of elections appointed for the meeting as follows:</w:t>
      </w:r>
    </w:p>
    <w:p>
      <w:pPr>
        <w:spacing w:after="0" w:line="205" w:lineRule="exact"/>
        <w:rPr>
          <w:sz w:val="20"/>
          <w:szCs w:val="20"/>
          <w:color w:val="auto"/>
        </w:rPr>
      </w:pPr>
    </w:p>
    <w:p>
      <w:pPr>
        <w:ind w:right="600"/>
        <w:spacing w:after="0" w:line="263" w:lineRule="auto"/>
        <w:rPr>
          <w:sz w:val="20"/>
          <w:szCs w:val="20"/>
          <w:color w:val="auto"/>
        </w:rPr>
      </w:pPr>
      <w:r>
        <w:rPr>
          <w:rFonts w:ascii="Arial" w:cs="Arial" w:eastAsia="Arial" w:hAnsi="Arial"/>
          <w:sz w:val="16"/>
          <w:szCs w:val="16"/>
          <w:i w:val="1"/>
          <w:iCs w:val="1"/>
          <w:color w:val="auto"/>
        </w:rPr>
        <w:t xml:space="preserve">Proposal No. 1. </w:t>
      </w:r>
      <w:r>
        <w:rPr>
          <w:rFonts w:ascii="Arial" w:cs="Arial" w:eastAsia="Arial" w:hAnsi="Arial"/>
          <w:sz w:val="16"/>
          <w:szCs w:val="16"/>
          <w:color w:val="auto"/>
        </w:rPr>
        <w:t>The inspector of elections will count “For” votes, “Against” votes and votes to “Abstain.” Abstentions and broker</w:t>
      </w:r>
      <w:r>
        <w:rPr>
          <w:rFonts w:ascii="Arial" w:cs="Arial" w:eastAsia="Arial" w:hAnsi="Arial"/>
          <w:sz w:val="16"/>
          <w:szCs w:val="16"/>
          <w:i w:val="1"/>
          <w:iCs w:val="1"/>
          <w:color w:val="auto"/>
        </w:rPr>
        <w:t xml:space="preserve"> </w:t>
      </w:r>
      <w:r>
        <w:rPr>
          <w:rFonts w:ascii="Arial" w:cs="Arial" w:eastAsia="Arial" w:hAnsi="Arial"/>
          <w:sz w:val="16"/>
          <w:szCs w:val="16"/>
          <w:color w:val="auto"/>
        </w:rPr>
        <w:t>non-votes will not affect the outcome of Proposal No. 1.</w:t>
      </w:r>
    </w:p>
    <w:p>
      <w:pPr>
        <w:spacing w:after="0" w:line="167" w:lineRule="exact"/>
        <w:rPr>
          <w:sz w:val="20"/>
          <w:szCs w:val="20"/>
          <w:color w:val="auto"/>
        </w:rPr>
      </w:pPr>
    </w:p>
    <w:p>
      <w:pPr>
        <w:ind w:right="220"/>
        <w:spacing w:after="0" w:line="245" w:lineRule="auto"/>
        <w:rPr>
          <w:sz w:val="20"/>
          <w:szCs w:val="20"/>
          <w:color w:val="auto"/>
        </w:rPr>
      </w:pPr>
      <w:r>
        <w:rPr>
          <w:rFonts w:ascii="Arial" w:cs="Arial" w:eastAsia="Arial" w:hAnsi="Arial"/>
          <w:sz w:val="16"/>
          <w:szCs w:val="16"/>
          <w:i w:val="1"/>
          <w:iCs w:val="1"/>
          <w:color w:val="auto"/>
        </w:rPr>
        <w:t xml:space="preserve">Proposal No. 2. </w:t>
      </w:r>
      <w:r>
        <w:rPr>
          <w:rFonts w:ascii="Arial" w:cs="Arial" w:eastAsia="Arial" w:hAnsi="Arial"/>
          <w:sz w:val="16"/>
          <w:szCs w:val="16"/>
          <w:color w:val="auto"/>
        </w:rPr>
        <w:t>The inspector of elections will count “For” and “Against” votes. Abstentions will have the effect of a vote against the</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Brokers have discretionary voting authority to vote on Proposal No. 2 in the absence of voting instructions from their customers. As a result, there should be no broker non-votes with respect to this proposal, but if there are any such broker non-votes, they will not affect the outcome of Proposal No. 2.</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i w:val="1"/>
          <w:iCs w:val="1"/>
          <w:color w:val="auto"/>
        </w:rPr>
        <w:t xml:space="preserve">Proposal No. 3. </w:t>
      </w:r>
      <w:r>
        <w:rPr>
          <w:rFonts w:ascii="Arial" w:cs="Arial" w:eastAsia="Arial" w:hAnsi="Arial"/>
          <w:sz w:val="16"/>
          <w:szCs w:val="16"/>
          <w:color w:val="auto"/>
        </w:rPr>
        <w:t>The inspector of elections will count “For” and “Against” votes. Broker non-votes will not affect the outcome of Proposal</w:t>
      </w:r>
      <w:r>
        <w:rPr>
          <w:rFonts w:ascii="Arial" w:cs="Arial" w:eastAsia="Arial" w:hAnsi="Arial"/>
          <w:sz w:val="16"/>
          <w:szCs w:val="16"/>
          <w:i w:val="1"/>
          <w:iCs w:val="1"/>
          <w:color w:val="auto"/>
        </w:rPr>
        <w:t xml:space="preserve"> </w:t>
      </w:r>
      <w:r>
        <w:rPr>
          <w:rFonts w:ascii="Arial" w:cs="Arial" w:eastAsia="Arial" w:hAnsi="Arial"/>
          <w:sz w:val="16"/>
          <w:szCs w:val="16"/>
          <w:color w:val="auto"/>
        </w:rPr>
        <w:t>No. 3. Abstentions will have the effect of a vote against the proposal.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Proposal No. 4</w:t>
      </w:r>
      <w:r>
        <w:rPr>
          <w:rFonts w:ascii="Arial" w:cs="Arial" w:eastAsia="Arial" w:hAnsi="Arial"/>
          <w:sz w:val="14"/>
          <w:szCs w:val="14"/>
          <w:color w:val="auto"/>
        </w:rPr>
        <w:t>. The inspector of elections will count (i) “1 year” votes, (ii) “2 years” votes, (iii) “3 years” votes, and (IV) “Abstain” votes.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 will not affect the outcome of Proposal No. 4.</w:t>
      </w:r>
    </w:p>
    <w:p>
      <w:pPr>
        <w:spacing w:after="0" w:line="191" w:lineRule="exact"/>
        <w:rPr>
          <w:sz w:val="20"/>
          <w:szCs w:val="20"/>
          <w:color w:val="auto"/>
        </w:rPr>
      </w:pPr>
    </w:p>
    <w:p>
      <w:pPr>
        <w:ind w:right="600"/>
        <w:spacing w:after="0" w:line="263" w:lineRule="auto"/>
        <w:rPr>
          <w:sz w:val="20"/>
          <w:szCs w:val="20"/>
          <w:color w:val="auto"/>
        </w:rPr>
      </w:pPr>
      <w:r>
        <w:rPr>
          <w:rFonts w:ascii="Arial" w:cs="Arial" w:eastAsia="Arial" w:hAnsi="Arial"/>
          <w:sz w:val="16"/>
          <w:szCs w:val="16"/>
          <w:i w:val="1"/>
          <w:iCs w:val="1"/>
          <w:color w:val="auto"/>
        </w:rPr>
        <w:t>Proposal No. 5</w:t>
      </w:r>
      <w:r>
        <w:rPr>
          <w:rFonts w:ascii="Arial" w:cs="Arial" w:eastAsia="Arial" w:hAnsi="Arial"/>
          <w:sz w:val="16"/>
          <w:szCs w:val="16"/>
          <w:color w:val="auto"/>
        </w:rPr>
        <w:t>. The inspector of elections will count “For” votes, “Against” votes and votes to “Abstain.” Abstentions and broker</w:t>
      </w:r>
      <w:r>
        <w:rPr>
          <w:rFonts w:ascii="Arial" w:cs="Arial" w:eastAsia="Arial" w:hAnsi="Arial"/>
          <w:sz w:val="16"/>
          <w:szCs w:val="16"/>
          <w:i w:val="1"/>
          <w:iCs w:val="1"/>
          <w:color w:val="auto"/>
        </w:rPr>
        <w:t xml:space="preserve"> </w:t>
      </w:r>
      <w:r>
        <w:rPr>
          <w:rFonts w:ascii="Arial" w:cs="Arial" w:eastAsia="Arial" w:hAnsi="Arial"/>
          <w:sz w:val="16"/>
          <w:szCs w:val="16"/>
          <w:color w:val="auto"/>
        </w:rPr>
        <w:t>non-votes will not affect the outcome of Proposal No. 5.</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“How many votes are needed to approve each proposal?” for further details regarding the votes needed to approve each proposal.</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What is a “broker non-vote”?</w:t>
      </w:r>
    </w:p>
    <w:p>
      <w:pPr>
        <w:spacing w:after="0" w:line="109" w:lineRule="exact"/>
        <w:rPr>
          <w:sz w:val="20"/>
          <w:szCs w:val="20"/>
          <w:color w:val="auto"/>
        </w:rPr>
      </w:pPr>
    </w:p>
    <w:p>
      <w:pPr>
        <w:ind w:right="80"/>
        <w:spacing w:after="0"/>
        <w:rPr>
          <w:sz w:val="20"/>
          <w:szCs w:val="20"/>
          <w:color w:val="auto"/>
        </w:rPr>
      </w:pPr>
      <w:r>
        <w:rPr>
          <w:rFonts w:ascii="Arial" w:cs="Arial" w:eastAsia="Arial" w:hAnsi="Arial"/>
          <w:sz w:val="16"/>
          <w:szCs w:val="16"/>
          <w:color w:val="auto"/>
        </w:rPr>
        <w:t>If your shares are held by your broker, bank or other similar organization as your nominee (that is, in “street name”), you will need to follow the voting instructions provided by that organization on how to vote your shares. If you do not provide voting instructions, your shares may constitute “broker non-votes.” Generally, broker non-votes occur on a matter when a broker, bank, or other organization is not permitted to vote on that matter, including the election of directors or executive compensation matters, without instructions from the beneficial owner and instructions are not given. We encourage you to provide instructions to your broker or other nominee regarding voting your shares. On any matter for which your broker or other nominee does not vote on your behalf, the shares will be treated as “broker non-votes.”</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color w:val="auto"/>
        </w:rPr>
        <w:t>Broker non-votes will be counted for purposes of determining the presence or absence of a quorum for the transaction of business at the Annual Meeting, but broker non-votes will not be counted for purposes of determining the number of shares present or represented by proxy at the Annual Meeting with respect to a particular proposal on which the broker has expressly not voted. See “How are votes counted?” for further details regarding the effect of broker non-votes on the proposals set forth in this Proxy Statement.</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5</w:t>
      </w:r>
    </w:p>
    <w:p>
      <w:pPr>
        <w:sectPr>
          <w:pgSz w:w="11900" w:h="16838" w:orient="portrait"/>
          <w:cols w:equalWidth="0" w:num="1">
            <w:col w:w="9320"/>
          </w:cols>
          <w:pgMar w:left="1280" w:top="282" w:right="1299" w:bottom="1440" w:gutter="0" w:footer="0" w:header="0"/>
        </w:sectPr>
      </w:pPr>
    </w:p>
    <w:bookmarkStart w:id="11" w:name="page12"/>
    <w:bookmarkEnd w:id="11"/>
    <w:p>
      <w:pPr>
        <w:spacing w:after="0"/>
        <w:rPr>
          <w:sz w:val="20"/>
          <w:szCs w:val="20"/>
          <w:color w:val="auto"/>
        </w:rPr>
      </w:pPr>
      <w:r>
        <w:rPr>
          <w:rFonts w:ascii="Arial" w:cs="Arial" w:eastAsia="Arial" w:hAnsi="Arial"/>
          <w:sz w:val="21"/>
          <w:szCs w:val="21"/>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How is an abstention counted?</w:t>
      </w:r>
    </w:p>
    <w:p>
      <w:pPr>
        <w:spacing w:after="0" w:line="109"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Abstentions will be counted for purposes of determining the presence or absence of a quorum. The effect of an abstention on the outcome of the voting on a particular proposal depends on the vote required to approve that proposal, as described in the “How many votes are needed to approve each proposal?” section below.</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How many votes are needed to approve each proposal?</w:t>
      </w:r>
    </w:p>
    <w:p>
      <w:pPr>
        <w:spacing w:after="0" w:line="109"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i w:val="1"/>
          <w:iCs w:val="1"/>
          <w:color w:val="auto"/>
        </w:rPr>
        <w:t xml:space="preserve">Proposal No. 1. </w:t>
      </w:r>
      <w:r>
        <w:rPr>
          <w:rFonts w:ascii="Arial" w:cs="Arial" w:eastAsia="Arial" w:hAnsi="Arial"/>
          <w:sz w:val="14"/>
          <w:szCs w:val="14"/>
          <w:color w:val="auto"/>
        </w:rPr>
        <w:t>We have a majority voting standard for uncontested elections of directors, including the election of directors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Annual Meeting. Under our Bylaws, the number of shares voted “For” a director’s election must exceed 50% of the number of votes cast with respect to that director’s election. A director standing for re-election who fails to receive the required number of votes is expected to tender his or her resignation, which resignation will be accepted in the Board’s exclusive discretion. The Board will only nominate for election or re-election candidates who agree to tender an irrevocable resignation upon failure to receive the required vote.</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contested elections – where the number of nominees exceeds the number of directors to be elected – each director will be elected by a plurality of the votes cast.</w:t>
      </w:r>
    </w:p>
    <w:p>
      <w:pPr>
        <w:spacing w:after="0" w:line="167"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i w:val="1"/>
          <w:iCs w:val="1"/>
          <w:color w:val="auto"/>
        </w:rPr>
        <w:t xml:space="preserve">Proposal No. 2. </w:t>
      </w:r>
      <w:r>
        <w:rPr>
          <w:rFonts w:ascii="Arial" w:cs="Arial" w:eastAsia="Arial" w:hAnsi="Arial"/>
          <w:sz w:val="16"/>
          <w:szCs w:val="16"/>
          <w:color w:val="auto"/>
        </w:rPr>
        <w:t>Ratification of the appointment of Deloitte &amp; Touche LLP as ACI’s independent registered public accounting firm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ending December 31, 2023 requires the affirmative “For” vote of a majority in voting power of the votes cast by the holders of all shares present, or represented by proxy, and voting affirmatively or negatively on such matter.</w:t>
      </w:r>
    </w:p>
    <w:p>
      <w:pPr>
        <w:spacing w:after="0" w:line="178" w:lineRule="exact"/>
        <w:rPr>
          <w:sz w:val="20"/>
          <w:szCs w:val="20"/>
          <w:color w:val="auto"/>
        </w:rPr>
      </w:pPr>
    </w:p>
    <w:p>
      <w:pPr>
        <w:ind w:right="440"/>
        <w:spacing w:after="0" w:line="249" w:lineRule="auto"/>
        <w:rPr>
          <w:sz w:val="20"/>
          <w:szCs w:val="20"/>
          <w:color w:val="auto"/>
        </w:rPr>
      </w:pPr>
      <w:r>
        <w:rPr>
          <w:rFonts w:ascii="Arial" w:cs="Arial" w:eastAsia="Arial" w:hAnsi="Arial"/>
          <w:sz w:val="16"/>
          <w:szCs w:val="16"/>
          <w:i w:val="1"/>
          <w:iCs w:val="1"/>
          <w:color w:val="auto"/>
        </w:rPr>
        <w:t xml:space="preserve">Proposal No. 3. </w:t>
      </w:r>
      <w:r>
        <w:rPr>
          <w:rFonts w:ascii="Arial" w:cs="Arial" w:eastAsia="Arial" w:hAnsi="Arial"/>
          <w:sz w:val="16"/>
          <w:szCs w:val="16"/>
          <w:color w:val="auto"/>
        </w:rPr>
        <w:t>Approval, on an advisory basis, of the compensation of our named executive officers as disclosed in this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requires the affirmative “For” vote of a majority in voting power of the votes cast by the holders of all shares present, or represented by proxy, and voting affirmatively or negatively on such matter.</w:t>
      </w:r>
    </w:p>
    <w:p>
      <w:pPr>
        <w:spacing w:after="0" w:line="178"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i w:val="1"/>
          <w:iCs w:val="1"/>
          <w:color w:val="auto"/>
        </w:rPr>
        <w:t>Proposal No. 4</w:t>
      </w:r>
      <w:r>
        <w:rPr>
          <w:rFonts w:ascii="Arial" w:cs="Arial" w:eastAsia="Arial" w:hAnsi="Arial"/>
          <w:sz w:val="16"/>
          <w:szCs w:val="16"/>
          <w:color w:val="auto"/>
        </w:rPr>
        <w:t>. Approval, on an advisory basis, for the frequency of future advisory votes on executive compensation requires the</w:t>
      </w:r>
      <w:r>
        <w:rPr>
          <w:rFonts w:ascii="Arial" w:cs="Arial" w:eastAsia="Arial" w:hAnsi="Arial"/>
          <w:sz w:val="16"/>
          <w:szCs w:val="16"/>
          <w:i w:val="1"/>
          <w:iCs w:val="1"/>
          <w:color w:val="auto"/>
        </w:rPr>
        <w:t xml:space="preserve"> </w:t>
      </w:r>
      <w:r>
        <w:rPr>
          <w:rFonts w:ascii="Arial" w:cs="Arial" w:eastAsia="Arial" w:hAnsi="Arial"/>
          <w:sz w:val="16"/>
          <w:szCs w:val="16"/>
          <w:color w:val="auto"/>
        </w:rPr>
        <w:t>affirmative “For” vote of a majority in voting power of the votes cast by the holders of all shares present, or represented by proxy, for the options of once every one year, two years or three years. If no frequency receives the foregoing vote, then we will consider the option that receives the highest number of votes cast to be the frequency recommended by stockholders.</w:t>
      </w:r>
    </w:p>
    <w:p>
      <w:pPr>
        <w:spacing w:after="0" w:line="18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i w:val="1"/>
          <w:iCs w:val="1"/>
          <w:color w:val="auto"/>
        </w:rPr>
        <w:t>Proposal No. 5</w:t>
      </w:r>
      <w:r>
        <w:rPr>
          <w:rFonts w:ascii="Arial" w:cs="Arial" w:eastAsia="Arial" w:hAnsi="Arial"/>
          <w:sz w:val="16"/>
          <w:szCs w:val="16"/>
          <w:color w:val="auto"/>
        </w:rPr>
        <w:t>. Approval of the amendment and restatement of the 2020 Equity Plan as disclosed in this Proxy Statement requires the</w:t>
      </w:r>
      <w:r>
        <w:rPr>
          <w:rFonts w:ascii="Arial" w:cs="Arial" w:eastAsia="Arial" w:hAnsi="Arial"/>
          <w:sz w:val="16"/>
          <w:szCs w:val="16"/>
          <w:i w:val="1"/>
          <w:iCs w:val="1"/>
          <w:color w:val="auto"/>
        </w:rPr>
        <w:t xml:space="preserve"> </w:t>
      </w:r>
      <w:r>
        <w:rPr>
          <w:rFonts w:ascii="Arial" w:cs="Arial" w:eastAsia="Arial" w:hAnsi="Arial"/>
          <w:sz w:val="16"/>
          <w:szCs w:val="16"/>
          <w:color w:val="auto"/>
        </w:rPr>
        <w:t>affirmative “For” vote of a majority in voting power of the votes cast by the holders of all shares present, or represented by proxy, and voting affirmatively or negatively on such matter.</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See “How are votes counted?” for further details regarding the effect of abstentions and broker-non votes on the proposals set forth in this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What are the Board’s voting recommendations?</w:t>
      </w:r>
    </w:p>
    <w:p>
      <w:pPr>
        <w:spacing w:after="0" w:line="122" w:lineRule="exact"/>
        <w:rPr>
          <w:sz w:val="20"/>
          <w:szCs w:val="20"/>
          <w:color w:val="auto"/>
        </w:rPr>
      </w:pPr>
    </w:p>
    <w:p>
      <w:pPr>
        <w:ind w:left="180" w:hanging="178"/>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Proposal No. 1</w:t>
      </w:r>
      <w:r>
        <w:rPr>
          <w:rFonts w:ascii="Arial" w:cs="Arial" w:eastAsia="Arial" w:hAnsi="Arial"/>
          <w:sz w:val="16"/>
          <w:szCs w:val="16"/>
          <w:color w:val="auto"/>
        </w:rPr>
        <w:t>. “For” each of the nominees to the Board of Directors.</w:t>
      </w:r>
    </w:p>
    <w:p>
      <w:pPr>
        <w:spacing w:after="0" w:line="113" w:lineRule="exact"/>
        <w:rPr>
          <w:rFonts w:ascii="Arial" w:cs="Arial" w:eastAsia="Arial" w:hAnsi="Arial"/>
          <w:sz w:val="16"/>
          <w:szCs w:val="16"/>
          <w:color w:val="auto"/>
        </w:rPr>
      </w:pPr>
    </w:p>
    <w:p>
      <w:pPr>
        <w:ind w:left="180" w:right="220" w:hanging="178"/>
        <w:spacing w:after="0" w:line="263"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Proposal No. 2</w:t>
      </w:r>
      <w:r>
        <w:rPr>
          <w:rFonts w:ascii="Arial" w:cs="Arial" w:eastAsia="Arial" w:hAnsi="Arial"/>
          <w:sz w:val="16"/>
          <w:szCs w:val="16"/>
          <w:color w:val="auto"/>
        </w:rPr>
        <w:t>. “For” the ratification of the appointment of Deloitte &amp; Touche LLP as the Company’s independent registered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firm for the year ending December 31, 2023.</w:t>
      </w:r>
    </w:p>
    <w:p>
      <w:pPr>
        <w:spacing w:after="0" w:line="75" w:lineRule="exact"/>
        <w:rPr>
          <w:rFonts w:ascii="Arial" w:cs="Arial" w:eastAsia="Arial" w:hAnsi="Arial"/>
          <w:sz w:val="16"/>
          <w:szCs w:val="16"/>
          <w:color w:val="auto"/>
        </w:rPr>
      </w:pPr>
    </w:p>
    <w:p>
      <w:pPr>
        <w:ind w:left="180" w:right="260" w:hanging="178"/>
        <w:spacing w:after="0" w:line="263"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Proposal No. 3</w:t>
      </w:r>
      <w:r>
        <w:rPr>
          <w:rFonts w:ascii="Arial" w:cs="Arial" w:eastAsia="Arial" w:hAnsi="Arial"/>
          <w:sz w:val="16"/>
          <w:szCs w:val="16"/>
          <w:color w:val="auto"/>
        </w:rPr>
        <w:t>. “For” the approval, on an advisory basis, of the compensation of our named executive officers as disclosed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Proxy Statement.</w:t>
      </w:r>
    </w:p>
    <w:p>
      <w:pPr>
        <w:spacing w:after="0" w:line="75" w:lineRule="exact"/>
        <w:rPr>
          <w:rFonts w:ascii="Arial" w:cs="Arial" w:eastAsia="Arial" w:hAnsi="Arial"/>
          <w:sz w:val="16"/>
          <w:szCs w:val="16"/>
          <w:color w:val="auto"/>
        </w:rPr>
      </w:pPr>
    </w:p>
    <w:p>
      <w:pPr>
        <w:ind w:left="180" w:right="660" w:hanging="178"/>
        <w:spacing w:after="0" w:line="263"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Proposal No. 4. </w:t>
      </w:r>
      <w:r>
        <w:rPr>
          <w:rFonts w:ascii="Arial" w:cs="Arial" w:eastAsia="Arial" w:hAnsi="Arial"/>
          <w:sz w:val="16"/>
          <w:szCs w:val="16"/>
          <w:color w:val="auto"/>
        </w:rPr>
        <w:t>Every “1 year” for the approval, on an advisory basis, of the frequency of future advisory votes on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w:t>
      </w:r>
    </w:p>
    <w:p>
      <w:pPr>
        <w:spacing w:after="0" w:line="75" w:lineRule="exact"/>
        <w:rPr>
          <w:rFonts w:ascii="Arial" w:cs="Arial" w:eastAsia="Arial" w:hAnsi="Arial"/>
          <w:sz w:val="16"/>
          <w:szCs w:val="16"/>
          <w:color w:val="auto"/>
        </w:rPr>
      </w:pPr>
    </w:p>
    <w:p>
      <w:pPr>
        <w:ind w:left="180" w:hanging="178"/>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Proposal No. 5. </w:t>
      </w:r>
      <w:r>
        <w:rPr>
          <w:rFonts w:ascii="Arial" w:cs="Arial" w:eastAsia="Arial" w:hAnsi="Arial"/>
          <w:sz w:val="16"/>
          <w:szCs w:val="16"/>
          <w:color w:val="auto"/>
        </w:rPr>
        <w:t>“For” the approval of the amendment and restatement of the 2020 Equity Plan.</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What is the quorum requirement?</w:t>
      </w:r>
    </w:p>
    <w:p>
      <w:pPr>
        <w:spacing w:after="0" w:line="10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A quorum of stockholders is necessary to hold a valid meeting. A quorum will be present if a majority of all outstanding shares is represented by stockholders at the Annual Meeting, by means of remote communication or represented by proxy. On the Record Date, there were 108,317,319 shares of Common Stock issued, outstanding and entitled to vote, which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80010</wp:posOffset>
            </wp:positionV>
            <wp:extent cx="699135" cy="131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6</w:t>
      </w:r>
    </w:p>
    <w:p>
      <w:pPr>
        <w:sectPr>
          <w:pgSz w:w="11900" w:h="16838" w:orient="portrait"/>
          <w:cols w:equalWidth="0" w:num="1">
            <w:col w:w="9320"/>
          </w:cols>
          <w:pgMar w:left="1280" w:top="282" w:right="1299" w:bottom="1440" w:gutter="0" w:footer="0" w:header="0"/>
        </w:sectPr>
      </w:pPr>
    </w:p>
    <w:bookmarkStart w:id="12" w:name="page13"/>
    <w:bookmarkEnd w:id="12"/>
    <w:p>
      <w:pPr>
        <w:spacing w:after="0" w:line="24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excludes 32,209,791 shares of Common Stock held as treasury stock by ACI. Thus, 54,158,660 shares must be represented by stockholders present at the Annual Meeting or represented by proxy to have a quorum. Your shares will be counted towards the quorum if you submit a valid proxy or vote at the Annual Meeting. In addition, under the General Corporation Law of the State of Delaware, abstentions and broker non-votes will be counted as present for the purpose of determining the presence of a quorum.</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How can I find out the results of the voting at the Annual Meeting?</w:t>
      </w:r>
    </w:p>
    <w:p>
      <w:pPr>
        <w:spacing w:after="0" w:line="109"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Preliminary voting results will be announced at the Annual Meeting. Final voting results will be published in a Current Report on Form 8-K within four business days following the Annual Meeting. In the event we are unable to obtain the final voting results within four business days, we will file the preliminary voting results in a Current Report on Form 8-K within four business days following the Annual Meeting and will file an amended Form 8-K with the final voting results within four business days after the final voting results are known.</w:t>
      </w:r>
    </w:p>
    <w:p>
      <w:pPr>
        <w:spacing w:after="0" w:line="138" w:lineRule="exact"/>
        <w:rPr>
          <w:sz w:val="20"/>
          <w:szCs w:val="20"/>
          <w:color w:val="auto"/>
        </w:rPr>
      </w:pPr>
    </w:p>
    <w:p>
      <w:pPr>
        <w:ind w:right="420"/>
        <w:spacing w:after="0" w:line="273" w:lineRule="auto"/>
        <w:rPr>
          <w:sz w:val="20"/>
          <w:szCs w:val="20"/>
          <w:color w:val="auto"/>
        </w:rPr>
      </w:pPr>
      <w:r>
        <w:rPr>
          <w:rFonts w:ascii="Arial" w:cs="Arial" w:eastAsia="Arial" w:hAnsi="Arial"/>
          <w:sz w:val="21"/>
          <w:szCs w:val="21"/>
          <w:b w:val="1"/>
          <w:bCs w:val="1"/>
          <w:color w:val="284993"/>
        </w:rPr>
        <w:t>How can stockholders submit a proposal for inclusion in our Proxy Statement for the 2024 annual meeting of stockholders?</w:t>
      </w:r>
    </w:p>
    <w:p>
      <w:pPr>
        <w:spacing w:after="0" w:line="34"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To be included in our proxy statement for the 2024 annual meeting of stockholders, stockholder proposals must comply with the requirements of Rule 14a-8 under the Securities Exchange Act of 1934, as amended (the “Exchange Act”). Except as provided below, stockholder proposals must be received by our Secretary at our principal executive offices no later than December 20, 2023. The Corporate Governance Committee will review proposals submitted by stockholders for inclusion at our next annual meeting of stockholders and will make recommendations to our Board on an appropriate response to such proposals.</w:t>
      </w:r>
    </w:p>
    <w:p>
      <w:pPr>
        <w:spacing w:after="0" w:line="168" w:lineRule="exact"/>
        <w:rPr>
          <w:sz w:val="20"/>
          <w:szCs w:val="20"/>
          <w:color w:val="auto"/>
        </w:rPr>
      </w:pPr>
    </w:p>
    <w:p>
      <w:pPr>
        <w:ind w:right="260"/>
        <w:spacing w:after="0" w:line="252" w:lineRule="auto"/>
        <w:rPr>
          <w:sz w:val="20"/>
          <w:szCs w:val="20"/>
          <w:color w:val="auto"/>
        </w:rPr>
      </w:pPr>
      <w:r>
        <w:rPr>
          <w:rFonts w:ascii="Arial" w:cs="Arial" w:eastAsia="Arial" w:hAnsi="Arial"/>
          <w:sz w:val="21"/>
          <w:szCs w:val="21"/>
          <w:b w:val="1"/>
          <w:bCs w:val="1"/>
          <w:color w:val="284993"/>
        </w:rPr>
        <w:t>How can stockholders submit proposals to be raised at the 2024 annual meeting of stockholders that will not be included in our proxy statement for the 2024 annual meeting of stockholders?</w:t>
      </w:r>
    </w:p>
    <w:p>
      <w:pPr>
        <w:spacing w:after="0" w:line="5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To be raised at the 2024 annual meeting of stockholders, stockholder proposals must comply with our Bylaws. To be timely, a stockholder’s notice of a proposal must be delivered to or mailed and received at our principal executive offices not earlier than February 2, 2024 and not later than March 3, 2024. Under our proxy access bylaw, if a stockholder (or a group of up to 20 stockholders) who has owned at least 3% of our shares for at least three years and has complied with the other requirements set forth in our Bylaws wants us to include director nominees (up to the greater of two nominees or 20% of the Board) in our 2024 proxy statement and form of proxy for election at our 2024 Annual Meeting of Stockholders, the nominations must be received by ACI’s Secretary at ACI’s office located at 2811 Ponce de Leon Blvd, PH 1, Coral Gables, Florida not earlier than November 20, 2023 and not later than December 20, 2023. If a stockholder wishes only to recommend a candidate for consideration by the Nominating and Corporate Governance Committee as a potential nominee for director, see the procedures discussed in “Stockholder Communications with our Board.” Any stockholder considering a proxy access nomination should carefully review our Bylaws, which are available on our website at aciworldwide.com.</w:t>
      </w:r>
    </w:p>
    <w:p>
      <w:pPr>
        <w:spacing w:after="0" w:line="186"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In addition to satisfying the requirements under our Bylaws, stockholders who intend to solicit proxies in support of director nominees other than our nominees must provide notice that sets forth the information required by Rule 14a-19 under the Exchange Act to comply with the universal proxy rules, which notice must be postmarked or transmitted electronically to us at our principal executive offices no later than April 2, 2024. However, if the date of the 2024 Annual Meeting is changed by more than 30 calendar days from such anniversary date, then notice must be provided by the later of 60 calendar days prior to the date of the 2024 Annual Meeting or the 10th calendar day following the day on which public announcement of the date of the 2024 Annual Meeting is first made.</w:t>
      </w:r>
    </w:p>
    <w:p>
      <w:pPr>
        <w:spacing w:after="0" w:line="142" w:lineRule="exact"/>
        <w:rPr>
          <w:sz w:val="20"/>
          <w:szCs w:val="20"/>
          <w:color w:val="auto"/>
        </w:rPr>
      </w:pPr>
    </w:p>
    <w:p>
      <w:pPr>
        <w:ind w:right="380"/>
        <w:spacing w:after="0" w:line="273" w:lineRule="auto"/>
        <w:rPr>
          <w:sz w:val="20"/>
          <w:szCs w:val="20"/>
          <w:color w:val="auto"/>
        </w:rPr>
      </w:pPr>
      <w:r>
        <w:rPr>
          <w:rFonts w:ascii="Arial" w:cs="Arial" w:eastAsia="Arial" w:hAnsi="Arial"/>
          <w:sz w:val="21"/>
          <w:szCs w:val="21"/>
          <w:b w:val="1"/>
          <w:bCs w:val="1"/>
          <w:color w:val="284993"/>
        </w:rPr>
        <w:t>What if the date of the 2024 annual meeting of stockholders changes by more than 30 days from the anniversary of this year’s Annual Meeting?</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Under Rule 14a-8 of the Exchange Act, if the date of the 2024 annual meeting of stockholders changes by more than 30 days from the anniversary of this year’s Annual Meeting, to be included in our proxy statement for such meeting, stockholder proposals must be received by us within a reasonable time before our solicitation is made. Under our Bylaws, if the date of the annual meeting is advanced more than 30 calendar days prior to or delayed by more than 30 calendar days after the anniversary of the preceding year’s annual meeting, notice by the stockholder to be timely must be so delivered not later than the close of business on the later of (A) the 90th calendar day prior to such annual meeting and (B) the 10th calendar day following the day on which public disclosure of the date of such meeting is first made.</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7</w:t>
      </w:r>
    </w:p>
    <w:p>
      <w:pPr>
        <w:sectPr>
          <w:pgSz w:w="11900" w:h="16838" w:orient="portrait"/>
          <w:cols w:equalWidth="0" w:num="1">
            <w:col w:w="9320"/>
          </w:cols>
          <w:pgMar w:left="1280" w:top="296" w:right="1299" w:bottom="1440" w:gutter="0" w:footer="0" w:header="0"/>
        </w:sectPr>
      </w:pPr>
    </w:p>
    <w:bookmarkStart w:id="13" w:name="page14"/>
    <w:bookmarkEnd w:id="13"/>
    <w:p>
      <w:pPr>
        <w:spacing w:after="0"/>
        <w:rPr>
          <w:sz w:val="20"/>
          <w:szCs w:val="20"/>
          <w:color w:val="auto"/>
        </w:rPr>
      </w:pPr>
      <w:r>
        <w:rPr>
          <w:rFonts w:ascii="Arial" w:cs="Arial" w:eastAsia="Arial" w:hAnsi="Arial"/>
          <w:sz w:val="21"/>
          <w:szCs w:val="21"/>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Does a stockholder proposal require specific information?</w:t>
      </w:r>
    </w:p>
    <w:p>
      <w:pPr>
        <w:spacing w:after="0" w:line="10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To be included in our proxy statement, stockholder proposals must comply with the requirements of Rule 14a-8 under the Exchange Act. With respect to a stockholder’s nomination of a candidate for our Board, the stockholder notice to our Secretary must contain certain information as set forth in our Bylaws about both the nominee and the stockholder making the nomination. With respect to any other business that the stockholder proposes, the stockholder notice must contain a brief description of such business and the reasons for conducting such business at the meeting, as well as certain other information as set forth in our Bylaws. If you wish to bring a stockholder proposal or nominate a candidate for director, you are advised to review Rule 14a-8 under the Exchange Act and our Bylaws, as applicable, which contain additional requirements about advance notice of stockholder proposals and director nominations. Pursuant to Rule 14a-4(c) under the Exchange Act, if ACI does not receive advance notice of a stockholder proposal to be brought before its next annual meeting of stockholders in accordance with the requirements of its Bylaws, the proxies solicited by ACI may confer discretionary voting authority to vote proxies on the stockholder proposal without any discussion of the matter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85090</wp:posOffset>
            </wp:positionV>
            <wp:extent cx="699135" cy="131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8</w:t>
      </w:r>
    </w:p>
    <w:p>
      <w:pPr>
        <w:sectPr>
          <w:pgSz w:w="11900" w:h="16838" w:orient="portrait"/>
          <w:cols w:equalWidth="0" w:num="1">
            <w:col w:w="9240"/>
          </w:cols>
          <w:pgMar w:left="1280" w:top="282" w:right="1379" w:bottom="1440" w:gutter="0" w:footer="0" w:header="0"/>
        </w:sectPr>
      </w:pPr>
    </w:p>
    <w:bookmarkStart w:id="14" w:name="page15"/>
    <w:bookmarkEnd w:id="14"/>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59207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Our corporate governance practices and the diverse skills and attributes that our directors bring to ACI support our business as a global payments software company. All our director nominees have served in leadership roles and, except for our CEO, all nominees are independent. Through proactive evaluation and assessment, our Board can adapt and ensure that the right skills and experience are represented on our Board.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corporate governance structure is designed to serve the best interests of our stockholders.</w:t>
      </w:r>
    </w:p>
    <w:p>
      <w:pPr>
        <w:spacing w:after="0" w:line="252" w:lineRule="exact"/>
        <w:rPr>
          <w:sz w:val="20"/>
          <w:szCs w:val="20"/>
          <w:color w:val="auto"/>
        </w:rPr>
      </w:pPr>
    </w:p>
    <w:p>
      <w:pPr>
        <w:ind w:left="300"/>
        <w:spacing w:after="0"/>
        <w:tabs>
          <w:tab w:leader="none" w:pos="3160" w:val="left"/>
        </w:tabs>
        <w:rPr>
          <w:sz w:val="20"/>
          <w:szCs w:val="20"/>
          <w:color w:val="auto"/>
        </w:rPr>
      </w:pPr>
      <w:r>
        <w:rPr>
          <w:rFonts w:ascii="Arial" w:cs="Arial" w:eastAsia="Arial" w:hAnsi="Arial"/>
          <w:sz w:val="17"/>
          <w:szCs w:val="17"/>
          <w:color w:val="auto"/>
        </w:rPr>
        <w:t>Governance Practices</w:t>
      </w:r>
      <w:r>
        <w:rPr>
          <w:sz w:val="20"/>
          <w:szCs w:val="20"/>
          <w:color w:val="auto"/>
        </w:rPr>
        <w:tab/>
      </w:r>
      <w:r>
        <w:rPr>
          <w:rFonts w:ascii="Arial" w:cs="Arial" w:eastAsia="Arial" w:hAnsi="Arial"/>
          <w:sz w:val="14"/>
          <w:szCs w:val="14"/>
          <w:color w:val="auto"/>
        </w:rPr>
        <w:t>•  Annual elections of directors</w:t>
      </w:r>
    </w:p>
    <w:p>
      <w:pPr>
        <w:spacing w:after="0" w:line="55"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•  Annual Board and committee evaluations</w:t>
      </w:r>
    </w:p>
    <w:p>
      <w:pPr>
        <w:spacing w:after="0" w:line="62"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•  All committee members are independent</w:t>
      </w:r>
    </w:p>
    <w:p>
      <w:pPr>
        <w:spacing w:after="0" w:line="62"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•  Majority voting standard in uncontested elections</w:t>
      </w:r>
    </w:p>
    <w:p>
      <w:pPr>
        <w:spacing w:after="0" w:line="62"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•  Directors attended at least 75% of Board and committee meetings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22225</wp:posOffset>
            </wp:positionV>
            <wp:extent cx="56248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24830" cy="8255"/>
                    </a:xfrm>
                    <a:prstGeom prst="rect">
                      <a:avLst/>
                    </a:prstGeom>
                    <a:noFill/>
                  </pic:spPr>
                </pic:pic>
              </a:graphicData>
            </a:graphic>
          </wp:anchor>
        </w:drawing>
      </w:r>
    </w:p>
    <w:p>
      <w:pPr>
        <w:spacing w:after="0" w:line="42" w:lineRule="exact"/>
        <w:rPr>
          <w:sz w:val="20"/>
          <w:szCs w:val="20"/>
          <w:color w:val="auto"/>
        </w:rPr>
      </w:pPr>
    </w:p>
    <w:p>
      <w:pPr>
        <w:ind w:left="320"/>
        <w:spacing w:after="0"/>
        <w:tabs>
          <w:tab w:leader="none" w:pos="3160" w:val="left"/>
        </w:tabs>
        <w:rPr>
          <w:sz w:val="20"/>
          <w:szCs w:val="20"/>
          <w:color w:val="auto"/>
        </w:rPr>
      </w:pPr>
      <w:r>
        <w:rPr>
          <w:rFonts w:ascii="Arial" w:cs="Arial" w:eastAsia="Arial" w:hAnsi="Arial"/>
          <w:sz w:val="16"/>
          <w:szCs w:val="16"/>
          <w:color w:val="auto"/>
        </w:rPr>
        <w:t>Stockholder Alignment</w:t>
      </w:r>
      <w:r>
        <w:rPr>
          <w:sz w:val="20"/>
          <w:szCs w:val="20"/>
          <w:color w:val="auto"/>
        </w:rPr>
        <w:tab/>
      </w:r>
      <w:r>
        <w:rPr>
          <w:rFonts w:ascii="Arial" w:cs="Arial" w:eastAsia="Arial" w:hAnsi="Arial"/>
          <w:sz w:val="14"/>
          <w:szCs w:val="14"/>
          <w:color w:val="auto"/>
        </w:rPr>
        <w:t>•  Proactive engagement with our stockholders</w:t>
      </w:r>
    </w:p>
    <w:p>
      <w:pPr>
        <w:spacing w:after="0" w:line="62"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•  Proxy access to make it easier for stockholders to nominate director candidates</w:t>
      </w:r>
    </w:p>
    <w:p>
      <w:pPr>
        <w:spacing w:after="0" w:line="62" w:lineRule="exact"/>
        <w:rPr>
          <w:sz w:val="20"/>
          <w:szCs w:val="20"/>
          <w:color w:val="auto"/>
        </w:rPr>
      </w:pPr>
    </w:p>
    <w:p>
      <w:pPr>
        <w:ind w:left="3340" w:right="420" w:hanging="154"/>
        <w:spacing w:after="0" w:line="263" w:lineRule="auto"/>
        <w:rPr>
          <w:sz w:val="20"/>
          <w:szCs w:val="20"/>
          <w:color w:val="auto"/>
        </w:rPr>
      </w:pPr>
      <w:r>
        <w:rPr>
          <w:rFonts w:ascii="Arial" w:cs="Arial" w:eastAsia="Arial" w:hAnsi="Arial"/>
          <w:sz w:val="16"/>
          <w:szCs w:val="16"/>
          <w:color w:val="auto"/>
        </w:rPr>
        <w:t>•  Prohibition of short sales, transactions in derivatives and hedging and pledging of ACI stock by our directors and executive officers</w:t>
      </w:r>
    </w:p>
    <w:p>
      <w:pPr>
        <w:spacing w:after="0" w:line="24"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•  Stock ownership guidelines for our CEO, executive officers and directors</w:t>
      </w:r>
    </w:p>
    <w:p>
      <w:pPr>
        <w:spacing w:after="0" w:line="217"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ACI’s key governance documents, including our Corporate Governance Guidelines, Code of Business Conduct and Ethics and charters for each of our Board committees, are available on our website at aciworldwide.com.</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Board of Directors and Committees</w:t>
      </w:r>
    </w:p>
    <w:p>
      <w:pPr>
        <w:spacing w:after="0" w:line="123"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Our Board has three standing committees: the Audit Committee, the Compensation and Leadership Development Committee, and the Nominating and Corporate Governance Committee. The following table provides membership information for each of the standing Board committees as of April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137795</wp:posOffset>
            </wp:positionV>
            <wp:extent cx="8255" cy="1825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182562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137795</wp:posOffset>
            </wp:positionV>
            <wp:extent cx="8255" cy="1825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182562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137795</wp:posOffset>
            </wp:positionV>
            <wp:extent cx="16510" cy="1825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510" cy="182562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137795</wp:posOffset>
            </wp:positionV>
            <wp:extent cx="8255" cy="18256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825625"/>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137795</wp:posOffset>
            </wp:positionV>
            <wp:extent cx="8255" cy="1825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825625"/>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137795</wp:posOffset>
            </wp:positionV>
            <wp:extent cx="8255" cy="1825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82562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shd w:val="clear" w:color="auto" w:fill="284993"/>
          </w:tcPr>
          <w:p>
            <w:pPr>
              <w:spacing w:after="0"/>
              <w:rPr>
                <w:sz w:val="16"/>
                <w:szCs w:val="16"/>
                <w:color w:val="auto"/>
              </w:rPr>
            </w:pPr>
          </w:p>
        </w:tc>
        <w:tc>
          <w:tcPr>
            <w:tcW w:w="980" w:type="dxa"/>
            <w:vAlign w:val="bottom"/>
            <w:shd w:val="clear" w:color="auto" w:fill="284993"/>
          </w:tcPr>
          <w:p>
            <w:pPr>
              <w:spacing w:after="0"/>
              <w:rPr>
                <w:sz w:val="16"/>
                <w:szCs w:val="16"/>
                <w:color w:val="auto"/>
              </w:rPr>
            </w:pPr>
          </w:p>
        </w:tc>
        <w:tc>
          <w:tcPr>
            <w:tcW w:w="760" w:type="dxa"/>
            <w:vAlign w:val="bottom"/>
            <w:shd w:val="clear" w:color="auto" w:fill="284993"/>
          </w:tcPr>
          <w:p>
            <w:pPr>
              <w:spacing w:after="0"/>
              <w:rPr>
                <w:sz w:val="16"/>
                <w:szCs w:val="16"/>
                <w:color w:val="auto"/>
              </w:rPr>
            </w:pPr>
          </w:p>
        </w:tc>
        <w:tc>
          <w:tcPr>
            <w:tcW w:w="142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Compensation</w:t>
            </w:r>
          </w:p>
        </w:tc>
        <w:tc>
          <w:tcPr>
            <w:tcW w:w="12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Nominating</w:t>
            </w:r>
          </w:p>
        </w:tc>
        <w:tc>
          <w:tcPr>
            <w:tcW w:w="1340" w:type="dxa"/>
            <w:vAlign w:val="bottom"/>
            <w:shd w:val="clear" w:color="auto" w:fill="284993"/>
          </w:tcPr>
          <w:p>
            <w:pPr>
              <w:spacing w:after="0"/>
              <w:rPr>
                <w:sz w:val="16"/>
                <w:szCs w:val="16"/>
                <w:color w:val="auto"/>
              </w:rPr>
            </w:pPr>
          </w:p>
        </w:tc>
        <w:tc>
          <w:tcPr>
            <w:tcW w:w="960" w:type="dxa"/>
            <w:vAlign w:val="bottom"/>
            <w:shd w:val="clear" w:color="auto" w:fill="284993"/>
          </w:tcPr>
          <w:p>
            <w:pPr>
              <w:spacing w:after="0"/>
              <w:rPr>
                <w:sz w:val="16"/>
                <w:szCs w:val="16"/>
                <w:color w:val="auto"/>
              </w:rPr>
            </w:pPr>
          </w:p>
        </w:tc>
        <w:tc>
          <w:tcPr>
            <w:tcW w:w="10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 of Other</w:t>
            </w:r>
          </w:p>
        </w:tc>
      </w:tr>
      <w:tr>
        <w:trPr>
          <w:trHeight w:val="181"/>
        </w:trPr>
        <w:tc>
          <w:tcPr>
            <w:tcW w:w="1540" w:type="dxa"/>
            <w:vAlign w:val="bottom"/>
            <w:shd w:val="clear" w:color="auto" w:fill="284993"/>
          </w:tcPr>
          <w:p>
            <w:pPr>
              <w:spacing w:after="0"/>
              <w:rPr>
                <w:sz w:val="15"/>
                <w:szCs w:val="15"/>
                <w:color w:val="auto"/>
              </w:rPr>
            </w:pPr>
          </w:p>
        </w:tc>
        <w:tc>
          <w:tcPr>
            <w:tcW w:w="980" w:type="dxa"/>
            <w:vAlign w:val="bottom"/>
            <w:shd w:val="clear" w:color="auto" w:fill="284993"/>
          </w:tcPr>
          <w:p>
            <w:pPr>
              <w:spacing w:after="0"/>
              <w:rPr>
                <w:sz w:val="15"/>
                <w:szCs w:val="15"/>
                <w:color w:val="auto"/>
              </w:rPr>
            </w:pPr>
          </w:p>
        </w:tc>
        <w:tc>
          <w:tcPr>
            <w:tcW w:w="760" w:type="dxa"/>
            <w:vAlign w:val="bottom"/>
            <w:shd w:val="clear" w:color="auto" w:fill="284993"/>
          </w:tcPr>
          <w:p>
            <w:pPr>
              <w:spacing w:after="0"/>
              <w:rPr>
                <w:sz w:val="15"/>
                <w:szCs w:val="15"/>
                <w:color w:val="auto"/>
              </w:rPr>
            </w:pPr>
          </w:p>
        </w:tc>
        <w:tc>
          <w:tcPr>
            <w:tcW w:w="142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1"/>
              </w:rPr>
              <w:t>and</w:t>
            </w:r>
          </w:p>
        </w:tc>
        <w:tc>
          <w:tcPr>
            <w:tcW w:w="12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8"/>
              </w:rPr>
              <w:t>and</w:t>
            </w:r>
          </w:p>
        </w:tc>
        <w:tc>
          <w:tcPr>
            <w:tcW w:w="1340" w:type="dxa"/>
            <w:vAlign w:val="bottom"/>
            <w:shd w:val="clear" w:color="auto" w:fill="284993"/>
          </w:tcPr>
          <w:p>
            <w:pPr>
              <w:spacing w:after="0"/>
              <w:rPr>
                <w:sz w:val="15"/>
                <w:szCs w:val="15"/>
                <w:color w:val="auto"/>
              </w:rPr>
            </w:pPr>
          </w:p>
        </w:tc>
        <w:tc>
          <w:tcPr>
            <w:tcW w:w="960" w:type="dxa"/>
            <w:vAlign w:val="bottom"/>
            <w:shd w:val="clear" w:color="auto" w:fill="284993"/>
          </w:tcPr>
          <w:p>
            <w:pPr>
              <w:spacing w:after="0"/>
              <w:rPr>
                <w:sz w:val="15"/>
                <w:szCs w:val="15"/>
                <w:color w:val="auto"/>
              </w:rPr>
            </w:pPr>
          </w:p>
        </w:tc>
        <w:tc>
          <w:tcPr>
            <w:tcW w:w="108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5"/>
              </w:rPr>
              <w:t>Public</w:t>
            </w:r>
          </w:p>
        </w:tc>
      </w:tr>
      <w:tr>
        <w:trPr>
          <w:trHeight w:val="181"/>
        </w:trPr>
        <w:tc>
          <w:tcPr>
            <w:tcW w:w="1540" w:type="dxa"/>
            <w:vAlign w:val="bottom"/>
            <w:shd w:val="clear" w:color="auto" w:fill="284993"/>
          </w:tcPr>
          <w:p>
            <w:pPr>
              <w:spacing w:after="0"/>
              <w:rPr>
                <w:sz w:val="15"/>
                <w:szCs w:val="15"/>
                <w:color w:val="auto"/>
              </w:rPr>
            </w:pPr>
          </w:p>
        </w:tc>
        <w:tc>
          <w:tcPr>
            <w:tcW w:w="980" w:type="dxa"/>
            <w:vAlign w:val="bottom"/>
            <w:shd w:val="clear" w:color="auto" w:fill="284993"/>
          </w:tcPr>
          <w:p>
            <w:pPr>
              <w:spacing w:after="0"/>
              <w:rPr>
                <w:sz w:val="15"/>
                <w:szCs w:val="15"/>
                <w:color w:val="auto"/>
              </w:rPr>
            </w:pPr>
          </w:p>
        </w:tc>
        <w:tc>
          <w:tcPr>
            <w:tcW w:w="760" w:type="dxa"/>
            <w:vAlign w:val="bottom"/>
            <w:shd w:val="clear" w:color="auto" w:fill="284993"/>
          </w:tcPr>
          <w:p>
            <w:pPr>
              <w:spacing w:after="0"/>
              <w:rPr>
                <w:sz w:val="15"/>
                <w:szCs w:val="15"/>
                <w:color w:val="auto"/>
              </w:rPr>
            </w:pPr>
          </w:p>
        </w:tc>
        <w:tc>
          <w:tcPr>
            <w:tcW w:w="142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6"/>
              </w:rPr>
              <w:t>Leadership</w:t>
            </w:r>
          </w:p>
        </w:tc>
        <w:tc>
          <w:tcPr>
            <w:tcW w:w="12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6"/>
              </w:rPr>
              <w:t>Corporate</w:t>
            </w:r>
          </w:p>
        </w:tc>
        <w:tc>
          <w:tcPr>
            <w:tcW w:w="1340" w:type="dxa"/>
            <w:vAlign w:val="bottom"/>
            <w:shd w:val="clear" w:color="auto" w:fill="284993"/>
          </w:tcPr>
          <w:p>
            <w:pPr>
              <w:spacing w:after="0"/>
              <w:rPr>
                <w:sz w:val="15"/>
                <w:szCs w:val="15"/>
                <w:color w:val="auto"/>
              </w:rPr>
            </w:pPr>
          </w:p>
        </w:tc>
        <w:tc>
          <w:tcPr>
            <w:tcW w:w="960" w:type="dxa"/>
            <w:vAlign w:val="bottom"/>
            <w:shd w:val="clear" w:color="auto" w:fill="284993"/>
          </w:tcPr>
          <w:p>
            <w:pPr>
              <w:spacing w:after="0"/>
              <w:rPr>
                <w:sz w:val="15"/>
                <w:szCs w:val="15"/>
                <w:color w:val="auto"/>
              </w:rPr>
            </w:pPr>
          </w:p>
        </w:tc>
        <w:tc>
          <w:tcPr>
            <w:tcW w:w="108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8"/>
              </w:rPr>
              <w:t>Company</w:t>
            </w:r>
          </w:p>
        </w:tc>
      </w:tr>
      <w:tr>
        <w:trPr>
          <w:trHeight w:val="208"/>
        </w:trPr>
        <w:tc>
          <w:tcPr>
            <w:tcW w:w="1540" w:type="dxa"/>
            <w:vAlign w:val="bottom"/>
            <w:shd w:val="clear" w:color="auto" w:fill="284993"/>
          </w:tcPr>
          <w:p>
            <w:pPr>
              <w:ind w:left="80"/>
              <w:spacing w:after="0"/>
              <w:rPr>
                <w:sz w:val="20"/>
                <w:szCs w:val="20"/>
                <w:color w:val="auto"/>
              </w:rPr>
            </w:pPr>
            <w:r>
              <w:rPr>
                <w:rFonts w:ascii="Arial" w:cs="Arial" w:eastAsia="Arial" w:hAnsi="Arial"/>
                <w:sz w:val="16"/>
                <w:szCs w:val="16"/>
                <w:b w:val="1"/>
                <w:bCs w:val="1"/>
                <w:color w:val="FFFFFF"/>
              </w:rPr>
              <w:t>Name</w:t>
            </w:r>
          </w:p>
        </w:tc>
        <w:tc>
          <w:tcPr>
            <w:tcW w:w="980" w:type="dxa"/>
            <w:vAlign w:val="bottom"/>
            <w:shd w:val="clear" w:color="auto" w:fill="284993"/>
          </w:tcPr>
          <w:p>
            <w:pPr>
              <w:spacing w:after="0"/>
              <w:rPr>
                <w:sz w:val="18"/>
                <w:szCs w:val="18"/>
                <w:color w:val="auto"/>
              </w:rPr>
            </w:pPr>
          </w:p>
        </w:tc>
        <w:tc>
          <w:tcPr>
            <w:tcW w:w="760" w:type="dxa"/>
            <w:vAlign w:val="bottom"/>
            <w:shd w:val="clear" w:color="auto" w:fill="284993"/>
          </w:tcPr>
          <w:p>
            <w:pPr>
              <w:ind w:left="180"/>
              <w:spacing w:after="0"/>
              <w:rPr>
                <w:sz w:val="20"/>
                <w:szCs w:val="20"/>
                <w:color w:val="auto"/>
              </w:rPr>
            </w:pPr>
            <w:r>
              <w:rPr>
                <w:rFonts w:ascii="Arial" w:cs="Arial" w:eastAsia="Arial" w:hAnsi="Arial"/>
                <w:sz w:val="16"/>
                <w:szCs w:val="16"/>
                <w:b w:val="1"/>
                <w:bCs w:val="1"/>
                <w:color w:val="FFFFFF"/>
              </w:rPr>
              <w:t>Audit</w:t>
            </w:r>
          </w:p>
        </w:tc>
        <w:tc>
          <w:tcPr>
            <w:tcW w:w="142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Development</w:t>
            </w:r>
          </w:p>
        </w:tc>
        <w:tc>
          <w:tcPr>
            <w:tcW w:w="12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Governance</w:t>
            </w:r>
          </w:p>
        </w:tc>
        <w:tc>
          <w:tcPr>
            <w:tcW w:w="13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6"/>
              </w:rPr>
              <w:t>Independent</w:t>
            </w:r>
          </w:p>
        </w:tc>
        <w:tc>
          <w:tcPr>
            <w:tcW w:w="960" w:type="dxa"/>
            <w:vAlign w:val="bottom"/>
            <w:shd w:val="clear" w:color="auto" w:fill="284993"/>
          </w:tcPr>
          <w:p>
            <w:pPr>
              <w:jc w:val="center"/>
              <w:spacing w:after="0" w:line="209" w:lineRule="exact"/>
              <w:rPr>
                <w:sz w:val="20"/>
                <w:szCs w:val="20"/>
                <w:color w:val="auto"/>
              </w:rPr>
            </w:pPr>
            <w:r>
              <w:rPr>
                <w:rFonts w:ascii="Arial" w:cs="Arial" w:eastAsia="Arial" w:hAnsi="Arial"/>
                <w:sz w:val="16"/>
                <w:szCs w:val="16"/>
                <w:b w:val="1"/>
                <w:bCs w:val="1"/>
                <w:color w:val="FFFFFF"/>
                <w:w w:val="88"/>
              </w:rPr>
              <w:t>Tenure</w:t>
            </w:r>
            <w:r>
              <w:rPr>
                <w:rFonts w:ascii="Arial" w:cs="Arial" w:eastAsia="Arial" w:hAnsi="Arial"/>
                <w:sz w:val="23"/>
                <w:szCs w:val="23"/>
                <w:b w:val="1"/>
                <w:bCs w:val="1"/>
                <w:color w:val="FFFFFF"/>
                <w:w w:val="88"/>
                <w:vertAlign w:val="superscript"/>
              </w:rPr>
              <w:t>(1)</w:t>
            </w:r>
          </w:p>
        </w:tc>
        <w:tc>
          <w:tcPr>
            <w:tcW w:w="10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Boards</w:t>
            </w:r>
          </w:p>
        </w:tc>
      </w:tr>
      <w:tr>
        <w:trPr>
          <w:trHeight w:val="246"/>
        </w:trPr>
        <w:tc>
          <w:tcPr>
            <w:tcW w:w="3280" w:type="dxa"/>
            <w:vAlign w:val="bottom"/>
            <w:gridSpan w:val="3"/>
          </w:tcPr>
          <w:p>
            <w:pPr>
              <w:ind w:left="80"/>
              <w:spacing w:after="0"/>
              <w:rPr>
                <w:sz w:val="20"/>
                <w:szCs w:val="20"/>
                <w:color w:val="auto"/>
              </w:rPr>
            </w:pPr>
            <w:r>
              <w:rPr>
                <w:rFonts w:ascii="Arial" w:cs="Arial" w:eastAsia="Arial" w:hAnsi="Arial"/>
                <w:sz w:val="16"/>
                <w:szCs w:val="16"/>
                <w:color w:val="auto"/>
              </w:rPr>
              <w:t>Thomas W. Warsop III</w:t>
            </w:r>
          </w:p>
        </w:tc>
        <w:tc>
          <w:tcPr>
            <w:tcW w:w="1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6"/>
              </w:rPr>
              <w:t>N</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0</w:t>
            </w:r>
          </w:p>
        </w:tc>
      </w:tr>
      <w:tr>
        <w:trPr>
          <w:trHeight w:val="246"/>
        </w:trPr>
        <w:tc>
          <w:tcPr>
            <w:tcW w:w="2520" w:type="dxa"/>
            <w:vAlign w:val="bottom"/>
            <w:gridSpan w:val="2"/>
            <w:shd w:val="clear" w:color="auto" w:fill="9DBDE4"/>
          </w:tcPr>
          <w:p>
            <w:pPr>
              <w:ind w:left="80"/>
              <w:spacing w:after="0"/>
              <w:rPr>
                <w:sz w:val="20"/>
                <w:szCs w:val="20"/>
                <w:color w:val="auto"/>
              </w:rPr>
            </w:pPr>
            <w:r>
              <w:rPr>
                <w:rFonts w:ascii="Arial" w:cs="Arial" w:eastAsia="Arial" w:hAnsi="Arial"/>
                <w:sz w:val="16"/>
                <w:szCs w:val="16"/>
                <w:color w:val="auto"/>
              </w:rPr>
              <w:t>Adalio T. Sanchez (Chairman)</w:t>
            </w:r>
          </w:p>
        </w:tc>
        <w:tc>
          <w:tcPr>
            <w:tcW w:w="760" w:type="dxa"/>
            <w:vAlign w:val="bottom"/>
            <w:shd w:val="clear" w:color="auto" w:fill="9DBDE4"/>
          </w:tcPr>
          <w:p>
            <w:pPr>
              <w:spacing w:after="0"/>
              <w:rPr>
                <w:sz w:val="21"/>
                <w:szCs w:val="21"/>
                <w:color w:val="auto"/>
              </w:rPr>
            </w:pPr>
          </w:p>
        </w:tc>
        <w:tc>
          <w:tcPr>
            <w:tcW w:w="1420" w:type="dxa"/>
            <w:vAlign w:val="bottom"/>
            <w:shd w:val="clear" w:color="auto" w:fill="9DBDE4"/>
          </w:tcPr>
          <w:p>
            <w:pPr>
              <w:spacing w:after="0"/>
              <w:rPr>
                <w:sz w:val="21"/>
                <w:szCs w:val="21"/>
                <w:color w:val="auto"/>
              </w:rPr>
            </w:pPr>
          </w:p>
        </w:tc>
        <w:tc>
          <w:tcPr>
            <w:tcW w:w="1240" w:type="dxa"/>
            <w:vAlign w:val="bottom"/>
            <w:shd w:val="clear" w:color="auto" w:fill="9DBDE4"/>
          </w:tcPr>
          <w:p>
            <w:pPr>
              <w:spacing w:after="0"/>
              <w:rPr>
                <w:sz w:val="21"/>
                <w:szCs w:val="21"/>
                <w:color w:val="auto"/>
              </w:rPr>
            </w:pPr>
          </w:p>
        </w:tc>
        <w:tc>
          <w:tcPr>
            <w:tcW w:w="134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3"/>
              </w:rPr>
              <w:t>Y</w:t>
            </w:r>
          </w:p>
        </w:tc>
        <w:tc>
          <w:tcPr>
            <w:tcW w:w="96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8</w:t>
            </w:r>
          </w:p>
        </w:tc>
        <w:tc>
          <w:tcPr>
            <w:tcW w:w="108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3</w:t>
            </w:r>
          </w:p>
        </w:tc>
      </w:tr>
      <w:tr>
        <w:trPr>
          <w:trHeight w:val="272"/>
        </w:trPr>
        <w:tc>
          <w:tcPr>
            <w:tcW w:w="1540" w:type="dxa"/>
            <w:vAlign w:val="bottom"/>
          </w:tcPr>
          <w:p>
            <w:pPr>
              <w:ind w:left="80"/>
              <w:spacing w:after="0"/>
              <w:rPr>
                <w:sz w:val="20"/>
                <w:szCs w:val="20"/>
                <w:color w:val="auto"/>
              </w:rPr>
            </w:pPr>
            <w:r>
              <w:rPr>
                <w:rFonts w:ascii="Arial" w:cs="Arial" w:eastAsia="Arial" w:hAnsi="Arial"/>
                <w:sz w:val="16"/>
                <w:szCs w:val="16"/>
                <w:color w:val="auto"/>
              </w:rPr>
              <w:t>Janet O. Estep</w:t>
            </w: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Y</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72"/>
        </w:trPr>
        <w:tc>
          <w:tcPr>
            <w:tcW w:w="1540" w:type="dxa"/>
            <w:vAlign w:val="bottom"/>
            <w:shd w:val="clear" w:color="auto" w:fill="9DBDE4"/>
          </w:tcPr>
          <w:p>
            <w:pPr>
              <w:ind w:left="80"/>
              <w:spacing w:after="0"/>
              <w:rPr>
                <w:sz w:val="20"/>
                <w:szCs w:val="20"/>
                <w:color w:val="auto"/>
              </w:rPr>
            </w:pPr>
            <w:r>
              <w:rPr>
                <w:rFonts w:ascii="Arial" w:cs="Arial" w:eastAsia="Arial" w:hAnsi="Arial"/>
                <w:sz w:val="16"/>
                <w:szCs w:val="16"/>
                <w:color w:val="auto"/>
              </w:rPr>
              <w:t>James C. Hale III</w:t>
            </w:r>
          </w:p>
        </w:tc>
        <w:tc>
          <w:tcPr>
            <w:tcW w:w="980" w:type="dxa"/>
            <w:vAlign w:val="bottom"/>
            <w:shd w:val="clear" w:color="auto" w:fill="9DBDE4"/>
          </w:tcPr>
          <w:p>
            <w:pPr>
              <w:spacing w:after="0"/>
              <w:rPr>
                <w:sz w:val="23"/>
                <w:szCs w:val="23"/>
                <w:color w:val="auto"/>
              </w:rPr>
            </w:pPr>
          </w:p>
        </w:tc>
        <w:tc>
          <w:tcPr>
            <w:tcW w:w="760" w:type="dxa"/>
            <w:vAlign w:val="bottom"/>
            <w:shd w:val="clear" w:color="auto" w:fill="9DBDE4"/>
          </w:tcPr>
          <w:p>
            <w:pPr>
              <w:spacing w:after="0"/>
              <w:rPr>
                <w:sz w:val="23"/>
                <w:szCs w:val="23"/>
                <w:color w:val="auto"/>
              </w:rPr>
            </w:pPr>
          </w:p>
        </w:tc>
        <w:tc>
          <w:tcPr>
            <w:tcW w:w="1420" w:type="dxa"/>
            <w:vAlign w:val="bottom"/>
            <w:shd w:val="clear" w:color="auto" w:fill="9DBDE4"/>
          </w:tcPr>
          <w:p>
            <w:pPr>
              <w:spacing w:after="0"/>
              <w:rPr>
                <w:sz w:val="23"/>
                <w:szCs w:val="23"/>
                <w:color w:val="auto"/>
              </w:rPr>
            </w:pPr>
          </w:p>
        </w:tc>
        <w:tc>
          <w:tcPr>
            <w:tcW w:w="1240" w:type="dxa"/>
            <w:vAlign w:val="bottom"/>
            <w:shd w:val="clear" w:color="auto" w:fill="9DBDE4"/>
          </w:tcPr>
          <w:p>
            <w:pPr>
              <w:spacing w:after="0"/>
              <w:rPr>
                <w:sz w:val="23"/>
                <w:szCs w:val="23"/>
                <w:color w:val="auto"/>
              </w:rPr>
            </w:pPr>
          </w:p>
        </w:tc>
        <w:tc>
          <w:tcPr>
            <w:tcW w:w="134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3"/>
              </w:rPr>
              <w:t>Y</w:t>
            </w:r>
          </w:p>
        </w:tc>
        <w:tc>
          <w:tcPr>
            <w:tcW w:w="96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7</w:t>
            </w:r>
          </w:p>
        </w:tc>
        <w:tc>
          <w:tcPr>
            <w:tcW w:w="108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2</w:t>
            </w:r>
          </w:p>
        </w:tc>
      </w:tr>
      <w:tr>
        <w:trPr>
          <w:trHeight w:val="272"/>
        </w:trPr>
        <w:tc>
          <w:tcPr>
            <w:tcW w:w="1540" w:type="dxa"/>
            <w:vAlign w:val="bottom"/>
          </w:tcPr>
          <w:p>
            <w:pPr>
              <w:ind w:left="80"/>
              <w:spacing w:after="0"/>
              <w:rPr>
                <w:sz w:val="20"/>
                <w:szCs w:val="20"/>
                <w:color w:val="auto"/>
              </w:rPr>
            </w:pPr>
            <w:r>
              <w:rPr>
                <w:rFonts w:ascii="Arial" w:cs="Arial" w:eastAsia="Arial" w:hAnsi="Arial"/>
                <w:sz w:val="16"/>
                <w:szCs w:val="16"/>
                <w:color w:val="auto"/>
              </w:rPr>
              <w:t>Mary P. Harman</w:t>
            </w: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Y</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0</w:t>
            </w:r>
          </w:p>
        </w:tc>
      </w:tr>
      <w:tr>
        <w:trPr>
          <w:trHeight w:val="272"/>
        </w:trPr>
        <w:tc>
          <w:tcPr>
            <w:tcW w:w="2520" w:type="dxa"/>
            <w:vAlign w:val="bottom"/>
            <w:gridSpan w:val="2"/>
            <w:shd w:val="clear" w:color="auto" w:fill="9DBDE4"/>
          </w:tcPr>
          <w:p>
            <w:pPr>
              <w:ind w:left="80"/>
              <w:spacing w:after="0"/>
              <w:rPr>
                <w:sz w:val="20"/>
                <w:szCs w:val="20"/>
                <w:color w:val="auto"/>
              </w:rPr>
            </w:pPr>
            <w:r>
              <w:rPr>
                <w:rFonts w:ascii="Arial" w:cs="Arial" w:eastAsia="Arial" w:hAnsi="Arial"/>
                <w:sz w:val="16"/>
                <w:szCs w:val="16"/>
                <w:color w:val="auto"/>
              </w:rPr>
              <w:t>Didier R. Lamouche</w:t>
            </w:r>
            <w:r>
              <w:rPr>
                <w:rFonts w:ascii="Arial" w:cs="Arial" w:eastAsia="Arial" w:hAnsi="Arial"/>
                <w:sz w:val="23"/>
                <w:szCs w:val="23"/>
                <w:b w:val="1"/>
                <w:bCs w:val="1"/>
                <w:color w:val="auto"/>
                <w:vertAlign w:val="superscript"/>
              </w:rPr>
              <w:t>(2)</w:t>
            </w:r>
          </w:p>
        </w:tc>
        <w:tc>
          <w:tcPr>
            <w:tcW w:w="760" w:type="dxa"/>
            <w:vAlign w:val="bottom"/>
            <w:shd w:val="clear" w:color="auto" w:fill="9DBDE4"/>
          </w:tcPr>
          <w:p>
            <w:pPr>
              <w:spacing w:after="0"/>
              <w:rPr>
                <w:sz w:val="23"/>
                <w:szCs w:val="23"/>
                <w:color w:val="auto"/>
              </w:rPr>
            </w:pPr>
          </w:p>
        </w:tc>
        <w:tc>
          <w:tcPr>
            <w:tcW w:w="1420" w:type="dxa"/>
            <w:vAlign w:val="bottom"/>
            <w:shd w:val="clear" w:color="auto" w:fill="9DBDE4"/>
          </w:tcPr>
          <w:p>
            <w:pPr>
              <w:spacing w:after="0"/>
              <w:rPr>
                <w:sz w:val="23"/>
                <w:szCs w:val="23"/>
                <w:color w:val="auto"/>
              </w:rPr>
            </w:pPr>
          </w:p>
        </w:tc>
        <w:tc>
          <w:tcPr>
            <w:tcW w:w="1240" w:type="dxa"/>
            <w:vAlign w:val="bottom"/>
            <w:shd w:val="clear" w:color="auto" w:fill="9DBDE4"/>
          </w:tcPr>
          <w:p>
            <w:pPr>
              <w:spacing w:after="0"/>
              <w:rPr>
                <w:sz w:val="23"/>
                <w:szCs w:val="23"/>
                <w:color w:val="auto"/>
              </w:rPr>
            </w:pPr>
          </w:p>
        </w:tc>
        <w:tc>
          <w:tcPr>
            <w:tcW w:w="134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3"/>
              </w:rPr>
              <w:t>Y</w:t>
            </w:r>
          </w:p>
        </w:tc>
        <w:tc>
          <w:tcPr>
            <w:tcW w:w="96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3</w:t>
            </w:r>
          </w:p>
        </w:tc>
      </w:tr>
      <w:tr>
        <w:trPr>
          <w:trHeight w:val="272"/>
        </w:trPr>
        <w:tc>
          <w:tcPr>
            <w:tcW w:w="1540" w:type="dxa"/>
            <w:vAlign w:val="bottom"/>
          </w:tcPr>
          <w:p>
            <w:pPr>
              <w:ind w:left="80"/>
              <w:spacing w:after="0"/>
              <w:rPr>
                <w:sz w:val="20"/>
                <w:szCs w:val="20"/>
                <w:color w:val="auto"/>
              </w:rPr>
            </w:pPr>
            <w:r>
              <w:rPr>
                <w:rFonts w:ascii="Arial" w:cs="Arial" w:eastAsia="Arial" w:hAnsi="Arial"/>
                <w:sz w:val="16"/>
                <w:szCs w:val="16"/>
                <w:color w:val="auto"/>
                <w:w w:val="97"/>
              </w:rPr>
              <w:t>Charles E. Peters, Jr</w:t>
            </w: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Y</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0</w:t>
            </w:r>
          </w:p>
        </w:tc>
      </w:tr>
      <w:tr>
        <w:trPr>
          <w:trHeight w:val="272"/>
        </w:trPr>
        <w:tc>
          <w:tcPr>
            <w:tcW w:w="1540" w:type="dxa"/>
            <w:vAlign w:val="bottom"/>
            <w:tcBorders>
              <w:bottom w:val="single" w:sz="8" w:color="284993"/>
            </w:tcBorders>
            <w:shd w:val="clear" w:color="auto" w:fill="9DBDE4"/>
          </w:tcPr>
          <w:p>
            <w:pPr>
              <w:ind w:left="80"/>
              <w:spacing w:after="0"/>
              <w:rPr>
                <w:sz w:val="20"/>
                <w:szCs w:val="20"/>
                <w:color w:val="auto"/>
              </w:rPr>
            </w:pPr>
            <w:r>
              <w:rPr>
                <w:rFonts w:ascii="Arial" w:cs="Arial" w:eastAsia="Arial" w:hAnsi="Arial"/>
                <w:sz w:val="16"/>
                <w:szCs w:val="16"/>
                <w:color w:val="auto"/>
              </w:rPr>
              <w:t>Samir M. Zabaneh</w:t>
            </w:r>
          </w:p>
        </w:tc>
        <w:tc>
          <w:tcPr>
            <w:tcW w:w="980" w:type="dxa"/>
            <w:vAlign w:val="bottom"/>
            <w:tcBorders>
              <w:bottom w:val="single" w:sz="8" w:color="284993"/>
            </w:tcBorders>
            <w:shd w:val="clear" w:color="auto" w:fill="9DBDE4"/>
          </w:tcPr>
          <w:p>
            <w:pPr>
              <w:spacing w:after="0"/>
              <w:rPr>
                <w:sz w:val="23"/>
                <w:szCs w:val="23"/>
                <w:color w:val="auto"/>
              </w:rPr>
            </w:pPr>
          </w:p>
        </w:tc>
        <w:tc>
          <w:tcPr>
            <w:tcW w:w="760" w:type="dxa"/>
            <w:vAlign w:val="bottom"/>
            <w:tcBorders>
              <w:bottom w:val="single" w:sz="8" w:color="284993"/>
            </w:tcBorders>
            <w:shd w:val="clear" w:color="auto" w:fill="9DBDE4"/>
          </w:tcPr>
          <w:p>
            <w:pPr>
              <w:spacing w:after="0"/>
              <w:rPr>
                <w:sz w:val="23"/>
                <w:szCs w:val="23"/>
                <w:color w:val="auto"/>
              </w:rPr>
            </w:pPr>
          </w:p>
        </w:tc>
        <w:tc>
          <w:tcPr>
            <w:tcW w:w="1420" w:type="dxa"/>
            <w:vAlign w:val="bottom"/>
            <w:tcBorders>
              <w:bottom w:val="single" w:sz="8" w:color="284993"/>
            </w:tcBorders>
            <w:shd w:val="clear" w:color="auto" w:fill="9DBDE4"/>
          </w:tcPr>
          <w:p>
            <w:pPr>
              <w:spacing w:after="0"/>
              <w:rPr>
                <w:sz w:val="23"/>
                <w:szCs w:val="23"/>
                <w:color w:val="auto"/>
              </w:rPr>
            </w:pPr>
          </w:p>
        </w:tc>
        <w:tc>
          <w:tcPr>
            <w:tcW w:w="1240" w:type="dxa"/>
            <w:vAlign w:val="bottom"/>
            <w:tcBorders>
              <w:bottom w:val="single" w:sz="8" w:color="284993"/>
            </w:tcBorders>
            <w:shd w:val="clear" w:color="auto" w:fill="9DBDE4"/>
          </w:tcPr>
          <w:p>
            <w:pPr>
              <w:spacing w:after="0"/>
              <w:rPr>
                <w:sz w:val="23"/>
                <w:szCs w:val="23"/>
                <w:color w:val="auto"/>
              </w:rPr>
            </w:pPr>
          </w:p>
        </w:tc>
        <w:tc>
          <w:tcPr>
            <w:tcW w:w="1340" w:type="dxa"/>
            <w:vAlign w:val="bottom"/>
            <w:tcBorders>
              <w:bottom w:val="single" w:sz="8" w:color="284993"/>
            </w:tcBorders>
            <w:shd w:val="clear" w:color="auto" w:fill="D8D8D8"/>
          </w:tcPr>
          <w:p>
            <w:pPr>
              <w:jc w:val="center"/>
              <w:spacing w:after="0"/>
              <w:rPr>
                <w:sz w:val="20"/>
                <w:szCs w:val="20"/>
                <w:color w:val="auto"/>
              </w:rPr>
            </w:pPr>
            <w:r>
              <w:rPr>
                <w:rFonts w:ascii="Arial" w:cs="Arial" w:eastAsia="Arial" w:hAnsi="Arial"/>
                <w:sz w:val="16"/>
                <w:szCs w:val="16"/>
                <w:color w:val="auto"/>
                <w:w w:val="93"/>
              </w:rPr>
              <w:t>Y</w:t>
            </w:r>
          </w:p>
        </w:tc>
        <w:tc>
          <w:tcPr>
            <w:tcW w:w="960" w:type="dxa"/>
            <w:vAlign w:val="bottom"/>
            <w:tcBorders>
              <w:bottom w:val="single" w:sz="8" w:color="284993"/>
            </w:tcBorders>
            <w:shd w:val="clear" w:color="auto" w:fill="D8D8D8"/>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Borders>
              <w:bottom w:val="single" w:sz="8" w:color="284993"/>
            </w:tcBorders>
            <w:shd w:val="clear" w:color="auto" w:fill="D8D8D8"/>
          </w:tcPr>
          <w:p>
            <w:pPr>
              <w:jc w:val="center"/>
              <w:spacing w:after="0"/>
              <w:rPr>
                <w:sz w:val="20"/>
                <w:szCs w:val="20"/>
                <w:color w:val="auto"/>
              </w:rPr>
            </w:pPr>
            <w:r>
              <w:rPr>
                <w:rFonts w:ascii="Arial" w:cs="Arial" w:eastAsia="Arial" w:hAnsi="Arial"/>
                <w:sz w:val="16"/>
                <w:szCs w:val="16"/>
                <w:color w:val="auto"/>
                <w:w w:val="89"/>
              </w:rPr>
              <w:t>1</w:t>
            </w:r>
          </w:p>
        </w:tc>
      </w:tr>
      <w:tr>
        <w:trPr>
          <w:trHeight w:val="328"/>
        </w:trPr>
        <w:tc>
          <w:tcPr>
            <w:tcW w:w="1540" w:type="dxa"/>
            <w:vAlign w:val="bottom"/>
          </w:tcPr>
          <w:p>
            <w:pPr>
              <w:ind w:left="240"/>
              <w:spacing w:after="0"/>
              <w:rPr>
                <w:sz w:val="20"/>
                <w:szCs w:val="20"/>
                <w:color w:val="auto"/>
              </w:rPr>
            </w:pPr>
            <w:r>
              <w:rPr>
                <w:rFonts w:ascii="Arial" w:cs="Arial" w:eastAsia="Arial" w:hAnsi="Arial"/>
                <w:sz w:val="16"/>
                <w:szCs w:val="16"/>
                <w:color w:val="auto"/>
              </w:rPr>
              <w:t>Chair</w:t>
            </w:r>
          </w:p>
        </w:tc>
        <w:tc>
          <w:tcPr>
            <w:tcW w:w="1740" w:type="dxa"/>
            <w:vAlign w:val="bottom"/>
            <w:gridSpan w:val="2"/>
          </w:tcPr>
          <w:p>
            <w:pPr>
              <w:ind w:left="40"/>
              <w:spacing w:after="0"/>
              <w:rPr>
                <w:sz w:val="20"/>
                <w:szCs w:val="20"/>
                <w:color w:val="auto"/>
              </w:rPr>
            </w:pPr>
            <w:r>
              <w:rPr>
                <w:rFonts w:ascii="Arial" w:cs="Arial" w:eastAsia="Arial" w:hAnsi="Arial"/>
                <w:sz w:val="16"/>
                <w:szCs w:val="16"/>
                <w:color w:val="auto"/>
              </w:rPr>
              <w:t>Member</w:t>
            </w: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-1215390</wp:posOffset>
            </wp:positionV>
            <wp:extent cx="123190" cy="131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-1215390</wp:posOffset>
            </wp:positionV>
            <wp:extent cx="123190" cy="131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-1042670</wp:posOffset>
            </wp:positionV>
            <wp:extent cx="123190" cy="1314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2476500</wp:posOffset>
            </wp:positionH>
            <wp:positionV relativeFrom="paragraph">
              <wp:posOffset>-1042670</wp:posOffset>
            </wp:positionV>
            <wp:extent cx="123190" cy="131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2476500</wp:posOffset>
            </wp:positionH>
            <wp:positionV relativeFrom="paragraph">
              <wp:posOffset>-869950</wp:posOffset>
            </wp:positionV>
            <wp:extent cx="123190" cy="131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-869950</wp:posOffset>
            </wp:positionV>
            <wp:extent cx="123190" cy="1314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2476500</wp:posOffset>
            </wp:positionH>
            <wp:positionV relativeFrom="paragraph">
              <wp:posOffset>-697230</wp:posOffset>
            </wp:positionV>
            <wp:extent cx="123190" cy="1314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-697230</wp:posOffset>
            </wp:positionV>
            <wp:extent cx="123190" cy="1314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-524510</wp:posOffset>
            </wp:positionV>
            <wp:extent cx="123190" cy="131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-524510</wp:posOffset>
            </wp:positionV>
            <wp:extent cx="123190" cy="1314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-351790</wp:posOffset>
            </wp:positionV>
            <wp:extent cx="123190" cy="1314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2476500</wp:posOffset>
            </wp:positionH>
            <wp:positionV relativeFrom="paragraph">
              <wp:posOffset>-351790</wp:posOffset>
            </wp:positionV>
            <wp:extent cx="123190" cy="1314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-162560</wp:posOffset>
            </wp:positionV>
            <wp:extent cx="123190" cy="1314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-162560</wp:posOffset>
            </wp:positionV>
            <wp:extent cx="123190" cy="1314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190" cy="131445"/>
                    </a:xfrm>
                    <a:prstGeom prst="rect">
                      <a:avLst/>
                    </a:prstGeom>
                    <a:noFill/>
                  </pic:spPr>
                </pic:pic>
              </a:graphicData>
            </a:graphic>
          </wp:anchor>
        </w:drawing>
      </w:r>
    </w:p>
    <w:p>
      <w:pPr>
        <w:ind w:left="180" w:hanging="178"/>
        <w:spacing w:after="0" w:line="196" w:lineRule="auto"/>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Full years of service as of the annual meeting date</w:t>
      </w:r>
    </w:p>
    <w:p>
      <w:pPr>
        <w:ind w:left="180" w:hanging="178"/>
        <w:spacing w:after="0" w:line="189" w:lineRule="auto"/>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This director is not a director nominee and his term will expire at the 2023 Annual Meeting.</w:t>
      </w:r>
    </w:p>
    <w:p>
      <w:pPr>
        <w:spacing w:after="0" w:line="122" w:lineRule="exact"/>
        <w:rPr>
          <w:sz w:val="20"/>
          <w:szCs w:val="20"/>
          <w:color w:val="auto"/>
        </w:rPr>
      </w:pPr>
    </w:p>
    <w:p>
      <w:pPr>
        <w:ind w:left="7500"/>
        <w:spacing w:after="0"/>
        <w:rPr>
          <w:sz w:val="20"/>
          <w:szCs w:val="20"/>
          <w:color w:val="auto"/>
        </w:rPr>
      </w:pPr>
      <w:r>
        <w:rPr>
          <w:rFonts w:ascii="Arial" w:cs="Arial" w:eastAsia="Arial" w:hAnsi="Arial"/>
          <w:sz w:val="13"/>
          <w:szCs w:val="13"/>
          <w:color w:val="auto"/>
        </w:rPr>
        <w:t xml:space="preserve">2023 PROXY STATEMENT </w:t>
      </w:r>
      <w:r>
        <w:rPr>
          <w:rFonts w:ascii="Arial" w:cs="Arial" w:eastAsia="Arial" w:hAnsi="Arial"/>
          <w:sz w:val="13"/>
          <w:szCs w:val="13"/>
          <w:b w:val="1"/>
          <w:bCs w:val="1"/>
          <w:color w:val="284993"/>
        </w:rPr>
        <w:t>9</w:t>
      </w:r>
    </w:p>
    <w:p>
      <w:pPr>
        <w:sectPr>
          <w:pgSz w:w="11900" w:h="16838" w:orient="portrait"/>
          <w:cols w:equalWidth="0" w:num="1">
            <w:col w:w="9320"/>
          </w:cols>
          <w:pgMar w:left="1280" w:top="253" w:right="1299" w:bottom="1440" w:gutter="0" w:footer="0" w:header="0"/>
        </w:sectPr>
      </w:pPr>
    </w:p>
    <w:bookmarkStart w:id="15" w:name="page16"/>
    <w:bookmarkEnd w:id="15"/>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Director Independence</w:t>
      </w:r>
    </w:p>
    <w:p>
      <w:pPr>
        <w:spacing w:after="0" w:line="123"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Our Board follows the NASDAQ listing standards requirements on director independence. Our Board reviews at least annually the independence of each director. During these reviews, the Board considers transactions and relationships between each director (and his or her immediate family and affiliates) and ACI and its management to determine whether any transactions or relationships are inconsistent with a determination that the director is independent. This review is based primarily on responses of the directors to questions in a directors’ and officers’ questionnaire regarding employment, business, familial, compensation and other relationships with us and our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 Board has determined that each of our directors is independent, except Thomas W. Warsop, III, our Interim President and CEO.</w:t>
      </w: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As required by NASDAQ, our independent directors meet in regularly scheduled executive sessions at which only independent directors are present.</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Board Committees</w:t>
      </w:r>
    </w:p>
    <w:p>
      <w:pPr>
        <w:spacing w:after="0" w:line="123" w:lineRule="exact"/>
        <w:rPr>
          <w:sz w:val="20"/>
          <w:szCs w:val="20"/>
          <w:color w:val="auto"/>
        </w:rPr>
      </w:pPr>
    </w:p>
    <w:p>
      <w:pPr>
        <w:jc w:val="both"/>
        <w:ind w:right="240"/>
        <w:spacing w:after="0" w:line="24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xml:space="preserve"> operates under a formal charter, which is available on our website at </w:t>
      </w:r>
      <w:r>
        <w:rPr>
          <w:rFonts w:ascii="Arial" w:cs="Arial" w:eastAsia="Arial" w:hAnsi="Arial"/>
          <w:sz w:val="16"/>
          <w:szCs w:val="16"/>
          <w:u w:val="single" w:color="auto"/>
          <w:color w:val="auto"/>
        </w:rPr>
        <w:t>https://investor.aciworldwide.com/</w:t>
      </w:r>
      <w:r>
        <w:rPr>
          <w:rFonts w:ascii="Arial" w:cs="Arial" w:eastAsia="Arial" w:hAnsi="Arial"/>
          <w:sz w:val="16"/>
          <w:szCs w:val="16"/>
          <w:color w:val="auto"/>
        </w:rPr>
        <w:t>. Our Audit Committee assists our Board in its general oversight of financial reporting, internal controls and audit functions and is directly responsible for the appointment, retention, compensation and oversight of the work of our independent registered public accounting firm. Our Audit Committee also provides oversight of ACI’s enterprise risk management, business continuity and information security programs.</w:t>
      </w:r>
    </w:p>
    <w:p>
      <w:pPr>
        <w:spacing w:after="0" w:line="182"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The Audit Committee has the power to investigate any matter brought to its attention within the scope of its duties and the authority to retain counsel and advisors at our expense to fulfill its responsibilities and duties.</w:t>
      </w:r>
    </w:p>
    <w:p>
      <w:pPr>
        <w:spacing w:after="0" w:line="167" w:lineRule="exact"/>
        <w:rPr>
          <w:sz w:val="20"/>
          <w:szCs w:val="20"/>
          <w:color w:val="auto"/>
        </w:rPr>
      </w:pPr>
    </w:p>
    <w:p>
      <w:pPr>
        <w:jc w:val="both"/>
        <w:ind w:right="100"/>
        <w:spacing w:after="0" w:line="249" w:lineRule="auto"/>
        <w:rPr>
          <w:sz w:val="20"/>
          <w:szCs w:val="20"/>
          <w:color w:val="auto"/>
        </w:rPr>
      </w:pPr>
      <w:r>
        <w:rPr>
          <w:rFonts w:ascii="Arial" w:cs="Arial" w:eastAsia="Arial" w:hAnsi="Arial"/>
          <w:sz w:val="16"/>
          <w:szCs w:val="16"/>
          <w:color w:val="auto"/>
        </w:rPr>
        <w:t>Our Audit Committee is comprised of Ms. Estep, Mr. Hale, Mr. Peters, and Mr. Zabaneh. Mr. Peters is the chair of the committee. Each member other than Ms. Estep is an “audit committee financial expert” as defined under the rules of the SEC implementing Section 407 of the Sarbanes Oxley Act of 2002. The Audit Committee met nine times during the year ended December 31, 2022.</w:t>
      </w:r>
    </w:p>
    <w:p>
      <w:pPr>
        <w:spacing w:after="0" w:line="178"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Our Board has considered the independence and other characteristics of each member of our Audit Committee and has concluded that the composition of our Audit Committee meets the requirements for independence under the current requirements of SEC rules and regulations. Audit Committee members must satisfy additional independence criteria set forth under Rule 10A-3 under the Exchange Act. In order to be considered independent for purposes of the Rule 10A-3, an Audit Committee member may not, other than in his or her capacity as a member of the audit committee, accept consulting, advisory or other fees from us or be an affiliated person. Each of the members of our Audit Committee qualifies as an independent director pursuant to Rule 10A-3.</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See the “Report of the Audit Committee” below.</w:t>
      </w:r>
    </w:p>
    <w:p>
      <w:pPr>
        <w:spacing w:after="0" w:line="205"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b w:val="1"/>
          <w:bCs w:val="1"/>
          <w:i w:val="1"/>
          <w:iCs w:val="1"/>
          <w:color w:val="auto"/>
        </w:rPr>
        <w:t>Compensation and Leadership Development Committee</w:t>
      </w:r>
      <w:r>
        <w:rPr>
          <w:rFonts w:ascii="Arial" w:cs="Arial" w:eastAsia="Arial" w:hAnsi="Arial"/>
          <w:sz w:val="14"/>
          <w:szCs w:val="14"/>
          <w:color w:val="auto"/>
        </w:rPr>
        <w:t xml:space="preserve"> (the “Compensation Committee”) operates under a formal charter, which is available on our website at </w:t>
      </w:r>
      <w:r>
        <w:rPr>
          <w:rFonts w:ascii="Arial" w:cs="Arial" w:eastAsia="Arial" w:hAnsi="Arial"/>
          <w:sz w:val="14"/>
          <w:szCs w:val="14"/>
          <w:u w:val="single" w:color="auto"/>
          <w:color w:val="auto"/>
        </w:rPr>
        <w:t>https://investor.aciworldwide.com/</w:t>
      </w:r>
      <w:r>
        <w:rPr>
          <w:rFonts w:ascii="Arial" w:cs="Arial" w:eastAsia="Arial" w:hAnsi="Arial"/>
          <w:sz w:val="14"/>
          <w:szCs w:val="14"/>
          <w:color w:val="auto"/>
        </w:rPr>
        <w:t xml:space="preserve"> . Our Compensation Committee reviews and determines salaries, performance-based incentives and other matters relating to executive compensation; administers our equity award plans, including reviewing and granting equity awards to our executive officers; recommends to the independent directors CEO compensation based on the CEO’s performance; reviews and evaluates the performance of, and compensation for, executive officers other than our CEO; and provides general oversight of leadership development processes and strategies for executive and senior officers.</w:t>
      </w:r>
    </w:p>
    <w:p>
      <w:pPr>
        <w:spacing w:after="0" w:line="156"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Compensation Committee also has the power to investigate any matter brought to its attention within the scope of its duties and the authority to retain counsel and advisors at our expense to fulfill its responsibilities and duties.</w:t>
      </w:r>
    </w:p>
    <w:p>
      <w:pPr>
        <w:spacing w:after="0" w:line="167"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Our Compensation Committee is comprised of Mr. Hale, Ms. Harman, Mr. Lamouche and Mr. Zabaneh. Mr. Zabaneh is the chair of the committee. Each of the Compensation Committee members meets the independence requirements set forth in the rules of NASDAQ, and the “non-employee director” standard within the meaning of Rule 16b-3(b)(3) promulgated under the Exchange Act. The Compensation Committee met 11 times during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81915</wp:posOffset>
            </wp:positionV>
            <wp:extent cx="699135" cy="131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10</w:t>
      </w:r>
    </w:p>
    <w:p>
      <w:pPr>
        <w:sectPr>
          <w:pgSz w:w="11900" w:h="16838" w:orient="portrait"/>
          <w:cols w:equalWidth="0" w:num="1">
            <w:col w:w="9320"/>
          </w:cols>
          <w:pgMar w:left="1280" w:top="285" w:right="1299" w:bottom="1440" w:gutter="0" w:footer="0" w:header="0"/>
        </w:sectPr>
      </w:pPr>
    </w:p>
    <w:bookmarkStart w:id="16" w:name="page17"/>
    <w:bookmarkEnd w:id="16"/>
    <w:p>
      <w:pPr>
        <w:ind w:right="180"/>
        <w:spacing w:after="0" w:line="24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The Compensation Committee may delegate authority to a subcommittee or an individual Compensation Committee member as the Compensation Committee deems necessary, provided that the decisions of such members will be presented to the full Compensation Committee at its next scheduled meeting. For information regarding the role of executive officers and the Compensation Committee’s compensation consultant in determining or recommending the amount or form of executive compensation, see the Compensation Discussion and Analysis.</w:t>
      </w:r>
    </w:p>
    <w:p>
      <w:pPr>
        <w:spacing w:after="0" w:line="182"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Nominating and Corporate Governance Committee</w:t>
      </w:r>
      <w:r>
        <w:rPr>
          <w:rFonts w:ascii="Arial" w:cs="Arial" w:eastAsia="Arial" w:hAnsi="Arial"/>
          <w:sz w:val="16"/>
          <w:szCs w:val="16"/>
          <w:color w:val="auto"/>
        </w:rPr>
        <w:t xml:space="preserve"> (the “Corporate Governance Committee”) operates under a formal charter, which is available on our website at </w:t>
      </w:r>
      <w:r>
        <w:rPr>
          <w:rFonts w:ascii="Arial" w:cs="Arial" w:eastAsia="Arial" w:hAnsi="Arial"/>
          <w:sz w:val="16"/>
          <w:szCs w:val="16"/>
          <w:u w:val="single" w:color="auto"/>
          <w:color w:val="auto"/>
        </w:rPr>
        <w:t>https://investor.aciworldwide.com/</w:t>
      </w:r>
      <w:r>
        <w:rPr>
          <w:rFonts w:ascii="Arial" w:cs="Arial" w:eastAsia="Arial" w:hAnsi="Arial"/>
          <w:sz w:val="16"/>
          <w:szCs w:val="16"/>
          <w:color w:val="auto"/>
        </w:rPr>
        <w:t>.</w:t>
      </w:r>
    </w:p>
    <w:p>
      <w:pPr>
        <w:spacing w:after="0" w:line="167"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The Corporate Governance Committee assists our Board in ensuring that we are governed in a manner consistent with the interests of our stockholders, including the integration of corporate responsibility and ESG principles into our business strategy and decision making. The Corporate Governance Committee conducts the Board evaluations and assessments, including assessments of stockholder nominees to the Board, and recommends director nominees. The Corporate Governance Committee also assists the Board in its evaluation of, and succession planning for, our CEO.</w:t>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Corporate Governance Committee has the power to investigate any matter brought to its attention within the scope of its duties and the authority to retain counsel and advisors at our expense to fulfill its responsibilities and duties.</w:t>
      </w:r>
    </w:p>
    <w:p>
      <w:pPr>
        <w:spacing w:after="0" w:line="167"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The Corporate Governance Committee is comprised of Ms. Estep, Ms. Harman, Mr. Lamouche, and Mr. Peters. Ms. Harman is the chair of the committee. Each of the committee members meets the independence requirements set forth in the rules of NASDAQ. The Corporate Governance Committee met five times during the year ended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Meeting Attendance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Our Board held 24 meetings during 2022.</w:t>
      </w:r>
    </w:p>
    <w:p>
      <w:pPr>
        <w:spacing w:after="0" w:line="223"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2400" w:type="dxa"/>
            <w:vAlign w:val="bottom"/>
            <w:shd w:val="clear" w:color="auto" w:fill="284993"/>
          </w:tcPr>
          <w:p>
            <w:pPr>
              <w:spacing w:after="0"/>
              <w:rPr>
                <w:sz w:val="16"/>
                <w:szCs w:val="16"/>
                <w:color w:val="auto"/>
              </w:rPr>
            </w:pPr>
          </w:p>
        </w:tc>
        <w:tc>
          <w:tcPr>
            <w:tcW w:w="1720" w:type="dxa"/>
            <w:vAlign w:val="bottom"/>
            <w:shd w:val="clear" w:color="auto" w:fill="284993"/>
          </w:tcPr>
          <w:p>
            <w:pPr>
              <w:spacing w:after="0"/>
              <w:rPr>
                <w:sz w:val="16"/>
                <w:szCs w:val="16"/>
                <w:color w:val="auto"/>
              </w:rPr>
            </w:pPr>
          </w:p>
        </w:tc>
        <w:tc>
          <w:tcPr>
            <w:tcW w:w="1220" w:type="dxa"/>
            <w:vAlign w:val="bottom"/>
            <w:shd w:val="clear" w:color="auto" w:fill="284993"/>
          </w:tcPr>
          <w:p>
            <w:pPr>
              <w:spacing w:after="0"/>
              <w:rPr>
                <w:sz w:val="16"/>
                <w:szCs w:val="16"/>
                <w:color w:val="auto"/>
              </w:rPr>
            </w:pPr>
          </w:p>
        </w:tc>
        <w:tc>
          <w:tcPr>
            <w:tcW w:w="1980" w:type="dxa"/>
            <w:vAlign w:val="bottom"/>
            <w:shd w:val="clear" w:color="auto" w:fill="284993"/>
          </w:tcPr>
          <w:p>
            <w:pPr>
              <w:spacing w:after="0"/>
              <w:rPr>
                <w:sz w:val="16"/>
                <w:szCs w:val="16"/>
                <w:color w:val="auto"/>
              </w:rPr>
            </w:pPr>
          </w:p>
        </w:tc>
        <w:tc>
          <w:tcPr>
            <w:tcW w:w="1440" w:type="dxa"/>
            <w:vAlign w:val="bottom"/>
            <w:shd w:val="clear" w:color="auto" w:fill="284993"/>
          </w:tcPr>
          <w:p>
            <w:pPr>
              <w:jc w:val="center"/>
              <w:ind w:left="254"/>
              <w:spacing w:after="0"/>
              <w:rPr>
                <w:sz w:val="20"/>
                <w:szCs w:val="20"/>
                <w:color w:val="auto"/>
              </w:rPr>
            </w:pPr>
            <w:r>
              <w:rPr>
                <w:rFonts w:ascii="Arial" w:cs="Arial" w:eastAsia="Arial" w:hAnsi="Arial"/>
                <w:sz w:val="17"/>
                <w:szCs w:val="17"/>
                <w:b w:val="1"/>
                <w:bCs w:val="1"/>
                <w:color w:val="FFFFFF"/>
              </w:rPr>
              <w:t>Corporate</w:t>
            </w:r>
          </w:p>
        </w:tc>
      </w:tr>
      <w:tr>
        <w:trPr>
          <w:trHeight w:val="226"/>
        </w:trPr>
        <w:tc>
          <w:tcPr>
            <w:tcW w:w="2400" w:type="dxa"/>
            <w:vAlign w:val="bottom"/>
            <w:shd w:val="clear" w:color="auto" w:fill="284993"/>
          </w:tcPr>
          <w:p>
            <w:pPr>
              <w:ind w:left="160"/>
              <w:spacing w:after="0"/>
              <w:rPr>
                <w:sz w:val="20"/>
                <w:szCs w:val="20"/>
                <w:color w:val="auto"/>
              </w:rPr>
            </w:pPr>
            <w:r>
              <w:rPr>
                <w:rFonts w:ascii="Arial" w:cs="Arial" w:eastAsia="Arial" w:hAnsi="Arial"/>
                <w:sz w:val="17"/>
                <w:szCs w:val="17"/>
                <w:b w:val="1"/>
                <w:bCs w:val="1"/>
                <w:color w:val="FFFFFF"/>
              </w:rPr>
              <w:t>Type of Meeting</w:t>
            </w:r>
          </w:p>
        </w:tc>
        <w:tc>
          <w:tcPr>
            <w:tcW w:w="1720" w:type="dxa"/>
            <w:vAlign w:val="bottom"/>
            <w:shd w:val="clear" w:color="auto" w:fill="284993"/>
          </w:tcPr>
          <w:p>
            <w:pPr>
              <w:jc w:val="center"/>
              <w:spacing w:after="0"/>
              <w:rPr>
                <w:sz w:val="20"/>
                <w:szCs w:val="20"/>
                <w:color w:val="auto"/>
              </w:rPr>
            </w:pPr>
            <w:r>
              <w:rPr>
                <w:rFonts w:ascii="Arial" w:cs="Arial" w:eastAsia="Arial" w:hAnsi="Arial"/>
                <w:sz w:val="17"/>
                <w:szCs w:val="17"/>
                <w:b w:val="1"/>
                <w:bCs w:val="1"/>
                <w:color w:val="FFFFFF"/>
              </w:rPr>
              <w:t>Full Board</w:t>
            </w:r>
          </w:p>
        </w:tc>
        <w:tc>
          <w:tcPr>
            <w:tcW w:w="1220" w:type="dxa"/>
            <w:vAlign w:val="bottom"/>
            <w:shd w:val="clear" w:color="auto" w:fill="284993"/>
          </w:tcPr>
          <w:p>
            <w:pPr>
              <w:jc w:val="center"/>
              <w:spacing w:after="0"/>
              <w:rPr>
                <w:sz w:val="20"/>
                <w:szCs w:val="20"/>
                <w:color w:val="auto"/>
              </w:rPr>
            </w:pPr>
            <w:r>
              <w:rPr>
                <w:rFonts w:ascii="Arial" w:cs="Arial" w:eastAsia="Arial" w:hAnsi="Arial"/>
                <w:sz w:val="17"/>
                <w:szCs w:val="17"/>
                <w:b w:val="1"/>
                <w:bCs w:val="1"/>
                <w:color w:val="FFFFFF"/>
              </w:rPr>
              <w:t>Audit</w:t>
            </w:r>
          </w:p>
        </w:tc>
        <w:tc>
          <w:tcPr>
            <w:tcW w:w="1980" w:type="dxa"/>
            <w:vAlign w:val="bottom"/>
            <w:shd w:val="clear" w:color="auto" w:fill="284993"/>
          </w:tcPr>
          <w:p>
            <w:pPr>
              <w:jc w:val="center"/>
              <w:spacing w:after="0"/>
              <w:rPr>
                <w:sz w:val="20"/>
                <w:szCs w:val="20"/>
                <w:color w:val="auto"/>
              </w:rPr>
            </w:pPr>
            <w:r>
              <w:rPr>
                <w:rFonts w:ascii="Arial" w:cs="Arial" w:eastAsia="Arial" w:hAnsi="Arial"/>
                <w:sz w:val="17"/>
                <w:szCs w:val="17"/>
                <w:b w:val="1"/>
                <w:bCs w:val="1"/>
                <w:color w:val="FFFFFF"/>
              </w:rPr>
              <w:t>Compensation</w:t>
            </w:r>
          </w:p>
        </w:tc>
        <w:tc>
          <w:tcPr>
            <w:tcW w:w="1440" w:type="dxa"/>
            <w:vAlign w:val="bottom"/>
            <w:shd w:val="clear" w:color="auto" w:fill="284993"/>
          </w:tcPr>
          <w:p>
            <w:pPr>
              <w:jc w:val="center"/>
              <w:ind w:left="254"/>
              <w:spacing w:after="0"/>
              <w:rPr>
                <w:sz w:val="20"/>
                <w:szCs w:val="20"/>
                <w:color w:val="auto"/>
              </w:rPr>
            </w:pPr>
            <w:r>
              <w:rPr>
                <w:rFonts w:ascii="Arial" w:cs="Arial" w:eastAsia="Arial" w:hAnsi="Arial"/>
                <w:sz w:val="17"/>
                <w:szCs w:val="17"/>
                <w:b w:val="1"/>
                <w:bCs w:val="1"/>
                <w:color w:val="FFFFFF"/>
                <w:w w:val="99"/>
              </w:rPr>
              <w:t>Governance</w:t>
            </w:r>
          </w:p>
        </w:tc>
      </w:tr>
      <w:tr>
        <w:trPr>
          <w:trHeight w:val="194"/>
        </w:trPr>
        <w:tc>
          <w:tcPr>
            <w:tcW w:w="2400" w:type="dxa"/>
            <w:vAlign w:val="bottom"/>
            <w:tcBorders>
              <w:bottom w:val="single" w:sz="8" w:color="284993"/>
            </w:tcBorders>
          </w:tcPr>
          <w:p>
            <w:pPr>
              <w:ind w:left="120"/>
              <w:spacing w:after="0" w:line="194" w:lineRule="exact"/>
              <w:rPr>
                <w:sz w:val="20"/>
                <w:szCs w:val="20"/>
                <w:color w:val="auto"/>
              </w:rPr>
            </w:pPr>
            <w:r>
              <w:rPr>
                <w:rFonts w:ascii="Arial" w:cs="Arial" w:eastAsia="Arial" w:hAnsi="Arial"/>
                <w:sz w:val="17"/>
                <w:szCs w:val="17"/>
                <w:b w:val="1"/>
                <w:bCs w:val="1"/>
                <w:color w:val="auto"/>
              </w:rPr>
              <w:t>Total Meetings in 2022</w:t>
            </w:r>
          </w:p>
        </w:tc>
        <w:tc>
          <w:tcPr>
            <w:tcW w:w="1720" w:type="dxa"/>
            <w:vAlign w:val="bottom"/>
            <w:tcBorders>
              <w:bottom w:val="single" w:sz="8" w:color="284993"/>
            </w:tcBorders>
          </w:tcPr>
          <w:p>
            <w:pPr>
              <w:jc w:val="right"/>
              <w:ind w:right="634"/>
              <w:spacing w:after="0" w:line="194" w:lineRule="exact"/>
              <w:rPr>
                <w:sz w:val="20"/>
                <w:szCs w:val="20"/>
                <w:color w:val="auto"/>
              </w:rPr>
            </w:pPr>
            <w:r>
              <w:rPr>
                <w:rFonts w:ascii="Arial" w:cs="Arial" w:eastAsia="Arial" w:hAnsi="Arial"/>
                <w:sz w:val="17"/>
                <w:szCs w:val="17"/>
                <w:color w:val="auto"/>
              </w:rPr>
              <w:t>24</w:t>
            </w:r>
          </w:p>
        </w:tc>
        <w:tc>
          <w:tcPr>
            <w:tcW w:w="1220" w:type="dxa"/>
            <w:vAlign w:val="bottom"/>
            <w:tcBorders>
              <w:bottom w:val="single" w:sz="8" w:color="284993"/>
            </w:tcBorders>
          </w:tcPr>
          <w:p>
            <w:pPr>
              <w:jc w:val="right"/>
              <w:ind w:right="474"/>
              <w:spacing w:after="0" w:line="194" w:lineRule="exact"/>
              <w:rPr>
                <w:sz w:val="20"/>
                <w:szCs w:val="20"/>
                <w:color w:val="auto"/>
              </w:rPr>
            </w:pPr>
            <w:r>
              <w:rPr>
                <w:rFonts w:ascii="Arial" w:cs="Arial" w:eastAsia="Arial" w:hAnsi="Arial"/>
                <w:sz w:val="17"/>
                <w:szCs w:val="17"/>
                <w:color w:val="auto"/>
              </w:rPr>
              <w:t>9</w:t>
            </w:r>
          </w:p>
        </w:tc>
        <w:tc>
          <w:tcPr>
            <w:tcW w:w="1980" w:type="dxa"/>
            <w:vAlign w:val="bottom"/>
            <w:tcBorders>
              <w:bottom w:val="single" w:sz="8" w:color="284993"/>
            </w:tcBorders>
          </w:tcPr>
          <w:p>
            <w:pPr>
              <w:jc w:val="right"/>
              <w:ind w:right="814"/>
              <w:spacing w:after="0" w:line="194" w:lineRule="exact"/>
              <w:rPr>
                <w:sz w:val="20"/>
                <w:szCs w:val="20"/>
                <w:color w:val="auto"/>
              </w:rPr>
            </w:pPr>
            <w:r>
              <w:rPr>
                <w:rFonts w:ascii="Arial" w:cs="Arial" w:eastAsia="Arial" w:hAnsi="Arial"/>
                <w:sz w:val="17"/>
                <w:szCs w:val="17"/>
                <w:color w:val="auto"/>
              </w:rPr>
              <w:t>11</w:t>
            </w:r>
          </w:p>
        </w:tc>
        <w:tc>
          <w:tcPr>
            <w:tcW w:w="1440" w:type="dxa"/>
            <w:vAlign w:val="bottom"/>
            <w:tcBorders>
              <w:bottom w:val="single" w:sz="8" w:color="284993"/>
            </w:tcBorders>
          </w:tcPr>
          <w:p>
            <w:pPr>
              <w:jc w:val="center"/>
              <w:ind w:left="254"/>
              <w:spacing w:after="0" w:line="194" w:lineRule="exact"/>
              <w:rPr>
                <w:sz w:val="20"/>
                <w:szCs w:val="20"/>
                <w:color w:val="auto"/>
              </w:rPr>
            </w:pPr>
            <w:r>
              <w:rPr>
                <w:rFonts w:ascii="Arial" w:cs="Arial" w:eastAsia="Arial" w:hAnsi="Arial"/>
                <w:sz w:val="17"/>
                <w:szCs w:val="17"/>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-386080</wp:posOffset>
            </wp:positionV>
            <wp:extent cx="8255" cy="386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3867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-386080</wp:posOffset>
            </wp:positionV>
            <wp:extent cx="8255" cy="386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386715"/>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-386080</wp:posOffset>
            </wp:positionV>
            <wp:extent cx="8255" cy="386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386715"/>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-386080</wp:posOffset>
            </wp:positionV>
            <wp:extent cx="8255" cy="386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38671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Each director attended at least 75% of Board and applicable committee meetings in 2022.</w:t>
      </w:r>
    </w:p>
    <w:p>
      <w:pPr>
        <w:spacing w:after="0" w:line="205" w:lineRule="exact"/>
        <w:rPr>
          <w:sz w:val="20"/>
          <w:szCs w:val="20"/>
          <w:color w:val="auto"/>
        </w:rPr>
      </w:pPr>
    </w:p>
    <w:p>
      <w:pPr>
        <w:jc w:val="both"/>
        <w:ind w:right="260"/>
        <w:spacing w:after="0" w:line="263" w:lineRule="auto"/>
        <w:rPr>
          <w:sz w:val="20"/>
          <w:szCs w:val="20"/>
          <w:color w:val="auto"/>
        </w:rPr>
      </w:pPr>
      <w:r>
        <w:rPr>
          <w:rFonts w:ascii="Arial" w:cs="Arial" w:eastAsia="Arial" w:hAnsi="Arial"/>
          <w:sz w:val="16"/>
          <w:szCs w:val="16"/>
          <w:color w:val="auto"/>
        </w:rPr>
        <w:t>Director nominees are expected to attend our annual meetings of stockholders. All of the 2022 director nominees attended our 2022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Board Leadership Structure</w:t>
      </w:r>
    </w:p>
    <w:p>
      <w:pPr>
        <w:spacing w:after="0" w:line="123"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Mr. Sanchez is the Chairman of the Board. Mr. Warsop, our Interim CEO, is the only member of the Board who is not an independent director. We believe that this leadership structure enhances the accountability of our CEO to the Board and strengthens the Board’s independence from management.</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Board Evaluation and Nomination Process</w:t>
      </w:r>
    </w:p>
    <w:p>
      <w:pPr>
        <w:spacing w:after="0" w:line="123" w:lineRule="exact"/>
        <w:rPr>
          <w:sz w:val="20"/>
          <w:szCs w:val="20"/>
          <w:color w:val="auto"/>
        </w:rPr>
      </w:pPr>
    </w:p>
    <w:p>
      <w:pPr>
        <w:ind w:right="260"/>
        <w:spacing w:after="0" w:line="263" w:lineRule="auto"/>
        <w:rPr>
          <w:sz w:val="20"/>
          <w:szCs w:val="20"/>
          <w:color w:val="auto"/>
        </w:rPr>
      </w:pPr>
      <w:r>
        <w:rPr>
          <w:rFonts w:ascii="Arial" w:cs="Arial" w:eastAsia="Arial" w:hAnsi="Arial"/>
          <w:sz w:val="16"/>
          <w:szCs w:val="16"/>
          <w:color w:val="auto"/>
        </w:rPr>
        <w:t>The Board believes that a continuous evaluation process allows it to assess its effectiveness and proactively identify gaps in desired skills and attributes represented on the Board.</w:t>
      </w:r>
    </w:p>
    <w:p>
      <w:pPr>
        <w:spacing w:after="0" w:line="167"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The Corporate Governance Committee oversees an annual review process. An evaluation is completed with respect to each director, each committee and the Board as a whole. Additionally, committee goals are reviewed at each committee meeting, supporting the annual review process.</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Corporate Responsibility and Sustainability</w:t>
      </w:r>
    </w:p>
    <w:p>
      <w:pPr>
        <w:spacing w:after="0" w:line="123" w:lineRule="exact"/>
        <w:rPr>
          <w:sz w:val="20"/>
          <w:szCs w:val="20"/>
          <w:color w:val="auto"/>
        </w:rPr>
      </w:pPr>
    </w:p>
    <w:p>
      <w:pPr>
        <w:ind w:right="420"/>
        <w:spacing w:after="0" w:line="249" w:lineRule="auto"/>
        <w:rPr>
          <w:sz w:val="20"/>
          <w:szCs w:val="20"/>
          <w:color w:val="auto"/>
        </w:rPr>
      </w:pPr>
      <w:r>
        <w:rPr>
          <w:rFonts w:ascii="Arial" w:cs="Arial" w:eastAsia="Arial" w:hAnsi="Arial"/>
          <w:sz w:val="16"/>
          <w:szCs w:val="16"/>
          <w:color w:val="auto"/>
        </w:rPr>
        <w:t>ACI believes businesses have an increasingly important mandate to operate responsibly, and we aim to operate in a way that is socially, environmentally and financially sustainable. We find ways to improve the lives of our employees and positively impact the communities in which we live and work.</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11</w:t>
      </w:r>
    </w:p>
    <w:p>
      <w:pPr>
        <w:sectPr>
          <w:pgSz w:w="11900" w:h="16838" w:orient="portrait"/>
          <w:cols w:equalWidth="0" w:num="1">
            <w:col w:w="9320"/>
          </w:cols>
          <w:pgMar w:left="1280" w:top="296" w:right="1299" w:bottom="1440" w:gutter="0" w:footer="0" w:header="0"/>
        </w:sectPr>
      </w:pPr>
    </w:p>
    <w:bookmarkStart w:id="17" w:name="page18"/>
    <w:bookmarkEnd w:id="17"/>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ESG Governance</w:t>
      </w:r>
    </w:p>
    <w:p>
      <w:pPr>
        <w:spacing w:after="0" w:line="123"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ACI’s ESG governance structure includes four groups. The Board of Directors, through the Nominating and Corporate Governance Committee, has oversight responsibility. The Board reviews progress made against our ESG priorities and provides the final review and approval of our annual sustainability report. Executive Leadership Team members provide guidance and manage the execution of ESG priorities, especially those aligned to their business units. Key Senior Leadership Team members are dedicated to advancing ESG priorities. They also provide day-to-day initiative management. Working groups assembled from employee volunteers help advance the implementation of specific initiatives.</w:t>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Sustainable Solutions</w:t>
      </w:r>
    </w:p>
    <w:p>
      <w:pPr>
        <w:spacing w:after="0" w:line="123"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We recognize the essential role digital payment systems play in our modern economy and how they can open life’s possibilities to everyone, including people historically disadvantaged by location, education, disability, race, gender, ethnicity, wealth or circumstance. We are proud that our core products and services can help ensure inclusive and equitable access to the digital economy and can eliminate the need for paper-based bills and payments, saving trees the world needs to provide oxygen, improve air quality, conserve water, support wildlife and mitigate climate change.</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CSR Initiatives</w:t>
      </w:r>
    </w:p>
    <w:p>
      <w:pPr>
        <w:spacing w:after="0" w:line="123"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Some of our key environmental efforts include reducing our energy use and waste production through the implementation of LED lighting, managed HVAC systems, electronic signature and agreement software and more efficient data center technology. We have also adopted a single-stream recycling program in the U.S. and have programs in place globally to reduce paper and plastic consumption. We also work with credible vendors for responsible processing and recycling of electronic devices. In 2021, we completed an office optimization initiative that reduced our global office footprint and further lessened our energy use and waste production. In 2022, we continued to invest in energy improvements while also advancing our sustainability reporting. We published an enhanced Sustainability Report to provide all stakeholders with a more detailed narrative of our environmental, social and governance efforts. The report includes our first energy usage data and detailed appendices aligned to Sustainability Standards Board (SASB) and Global Reporting Initiative (GRI) reporting standards.</w:t>
      </w:r>
    </w:p>
    <w:p>
      <w:pPr>
        <w:spacing w:after="0" w:line="190"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Financial inclusion, gender parity in payments and STEM education are our social areas of focus. We have philanthropic relationships with Girls Who Code and Code.org to introduce more children from underrepresented groups to computer science. We also donate to Kiva, a non-profit that facilitates small loans to low-income entrepreneurs and students globally. We are a sponsor of Women in Payments and Paytech, organizations dedicated to giving women in the industry more opportunities to excel. In 2022, we launched RISE (Represent, Include, Strengthen, Development), a multi-faceted leadership development program that aims to inspire and empower high-potential ACI leaders from underrepresented groups to actively participate in business decision making, accelerating their professional advancement and ACI’s growth journey. In addition, our thousands of team members located in 45 countries around the world have a powerful impact in their own communities when they use their eight hours of paid volunteer time a month to give back to a variety of non-governmental organizations.</w:t>
      </w:r>
    </w:p>
    <w:p>
      <w:pPr>
        <w:spacing w:after="0" w:line="180"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Board Diversity</w:t>
      </w:r>
    </w:p>
    <w:p>
      <w:pPr>
        <w:spacing w:after="0" w:line="123"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Led by the chair of the Corporate Governance Committee, Mary Harman, the Board is committed to diversity and inclusiveness, including in respect of the composition of the Board itself. Two of the seven, or 29%, of the director nominees self-identify as gender diverse. Two of the director nominees self-identify as other than white.</w:t>
      </w:r>
    </w:p>
    <w:p>
      <w:pPr>
        <w:spacing w:after="0" w:line="178" w:lineRule="exact"/>
        <w:rPr>
          <w:sz w:val="20"/>
          <w:szCs w:val="20"/>
          <w:color w:val="auto"/>
        </w:rPr>
      </w:pPr>
    </w:p>
    <w:p>
      <w:pPr>
        <w:ind w:right="160"/>
        <w:spacing w:after="0" w:line="245" w:lineRule="auto"/>
        <w:rPr>
          <w:sz w:val="20"/>
          <w:szCs w:val="20"/>
          <w:color w:val="auto"/>
        </w:rPr>
      </w:pPr>
      <w:r>
        <w:rPr>
          <w:rFonts w:ascii="Arial" w:cs="Arial" w:eastAsia="Arial" w:hAnsi="Arial"/>
          <w:sz w:val="16"/>
          <w:szCs w:val="16"/>
          <w:color w:val="auto"/>
        </w:rPr>
        <w:t>The Board is actively engaged in a search for additional director candidates and is emphasizing gender diversity in its search criteria. The Board is also actively engaged in identifying our next Chief Executive Officer, who the Board expects will also serve as a director. The Board has determined that it is in our best interest to conclude the Chief Executive Officer appointment prior to nominating additional non-executive directors to serve on the Board.</w:t>
      </w:r>
    </w:p>
    <w:p>
      <w:pPr>
        <w:spacing w:after="0" w:line="181" w:lineRule="exact"/>
        <w:rPr>
          <w:sz w:val="20"/>
          <w:szCs w:val="20"/>
          <w:color w:val="auto"/>
        </w:rPr>
      </w:pPr>
    </w:p>
    <w:p>
      <w:pPr>
        <w:ind w:right="80"/>
        <w:spacing w:after="0" w:line="335" w:lineRule="auto"/>
        <w:rPr>
          <w:sz w:val="20"/>
          <w:szCs w:val="20"/>
          <w:color w:val="auto"/>
        </w:rPr>
      </w:pPr>
      <w:r>
        <w:rPr>
          <w:rFonts w:ascii="Arial" w:cs="Arial" w:eastAsia="Arial" w:hAnsi="Arial"/>
          <w:sz w:val="14"/>
          <w:szCs w:val="14"/>
          <w:color w:val="auto"/>
        </w:rPr>
        <w:t>Upon conclusion of these activities, the Board expects that both the number and overall proportion of its gender-diverse directors will increase. On or before the date of the 2024 annual meeting of stockholders, the Board expects to be greater than 30% gender diverse.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43180</wp:posOffset>
            </wp:positionV>
            <wp:extent cx="699135" cy="1314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12</w:t>
      </w:r>
    </w:p>
    <w:p>
      <w:pPr>
        <w:sectPr>
          <w:pgSz w:w="11900" w:h="16838" w:orient="portrait"/>
          <w:cols w:equalWidth="0" w:num="1">
            <w:col w:w="9320"/>
          </w:cols>
          <w:pgMar w:left="1280" w:top="285" w:right="1299" w:bottom="1440" w:gutter="0" w:footer="0" w:header="0"/>
        </w:sectPr>
      </w:pPr>
    </w:p>
    <w:bookmarkStart w:id="18" w:name="page19"/>
    <w:bookmarkEnd w:id="18"/>
    <w:p>
      <w:pPr>
        <w:ind w:right="580"/>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The following Board Diversity Matrix sets forth diversity statistics regarding each of (i) the Board as of April 18, 2023, and (ii) the director nominees.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Board Diversity Matrix (As of April 18, 2023)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shd w:val="clear" w:color="auto" w:fill="284993"/>
          </w:tcPr>
          <w:p>
            <w:pPr>
              <w:ind w:left="80"/>
              <w:spacing w:after="0"/>
              <w:rPr>
                <w:sz w:val="20"/>
                <w:szCs w:val="20"/>
                <w:color w:val="auto"/>
              </w:rPr>
            </w:pPr>
            <w:r>
              <w:rPr>
                <w:rFonts w:ascii="Arial" w:cs="Arial" w:eastAsia="Arial" w:hAnsi="Arial"/>
                <w:sz w:val="16"/>
                <w:szCs w:val="16"/>
                <w:b w:val="1"/>
                <w:bCs w:val="1"/>
                <w:color w:val="FFFFFF"/>
              </w:rPr>
              <w:t>Board Size:</w:t>
            </w:r>
          </w:p>
        </w:tc>
        <w:tc>
          <w:tcPr>
            <w:tcW w:w="1560" w:type="dxa"/>
            <w:vAlign w:val="bottom"/>
            <w:shd w:val="clear" w:color="auto" w:fill="284993"/>
          </w:tcPr>
          <w:p>
            <w:pPr>
              <w:spacing w:after="0"/>
              <w:rPr>
                <w:sz w:val="16"/>
                <w:szCs w:val="16"/>
                <w:color w:val="auto"/>
              </w:rPr>
            </w:pPr>
          </w:p>
        </w:tc>
        <w:tc>
          <w:tcPr>
            <w:tcW w:w="1060" w:type="dxa"/>
            <w:vAlign w:val="bottom"/>
            <w:shd w:val="clear" w:color="auto" w:fill="284993"/>
          </w:tcPr>
          <w:p>
            <w:pPr>
              <w:spacing w:after="0"/>
              <w:rPr>
                <w:sz w:val="16"/>
                <w:szCs w:val="16"/>
                <w:color w:val="auto"/>
              </w:rPr>
            </w:pPr>
          </w:p>
        </w:tc>
        <w:tc>
          <w:tcPr>
            <w:tcW w:w="1480" w:type="dxa"/>
            <w:vAlign w:val="bottom"/>
            <w:shd w:val="clear" w:color="auto" w:fill="284993"/>
          </w:tcPr>
          <w:p>
            <w:pPr>
              <w:spacing w:after="0"/>
              <w:rPr>
                <w:sz w:val="16"/>
                <w:szCs w:val="16"/>
                <w:color w:val="auto"/>
              </w:rPr>
            </w:pPr>
          </w:p>
        </w:tc>
        <w:tc>
          <w:tcPr>
            <w:tcW w:w="1540" w:type="dxa"/>
            <w:vAlign w:val="bottom"/>
            <w:shd w:val="clear" w:color="auto" w:fill="284993"/>
          </w:tcPr>
          <w:p>
            <w:pPr>
              <w:spacing w:after="0"/>
              <w:rPr>
                <w:sz w:val="16"/>
                <w:szCs w:val="16"/>
                <w:color w:val="auto"/>
              </w:rPr>
            </w:pPr>
          </w:p>
        </w:tc>
        <w:tc>
          <w:tcPr>
            <w:tcW w:w="20" w:type="dxa"/>
            <w:vAlign w:val="bottom"/>
          </w:tcPr>
          <w:p>
            <w:pPr>
              <w:spacing w:after="0"/>
              <w:rPr>
                <w:sz w:val="16"/>
                <w:szCs w:val="16"/>
                <w:color w:val="auto"/>
              </w:rPr>
            </w:pPr>
          </w:p>
        </w:tc>
      </w:tr>
      <w:tr>
        <w:trPr>
          <w:trHeight w:val="181"/>
        </w:trPr>
        <w:tc>
          <w:tcPr>
            <w:tcW w:w="368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Total Number of Directors</w:t>
            </w:r>
          </w:p>
        </w:tc>
        <w:tc>
          <w:tcPr>
            <w:tcW w:w="1560" w:type="dxa"/>
            <w:vAlign w:val="bottom"/>
            <w:shd w:val="clear" w:color="auto" w:fill="9DBDE4"/>
          </w:tcPr>
          <w:p>
            <w:pPr>
              <w:spacing w:after="0"/>
              <w:rPr>
                <w:sz w:val="15"/>
                <w:szCs w:val="15"/>
                <w:color w:val="auto"/>
              </w:rPr>
            </w:pPr>
          </w:p>
        </w:tc>
        <w:tc>
          <w:tcPr>
            <w:tcW w:w="1060" w:type="dxa"/>
            <w:vAlign w:val="bottom"/>
            <w:shd w:val="clear" w:color="auto" w:fill="9DBDE4"/>
          </w:tcPr>
          <w:p>
            <w:pPr>
              <w:spacing w:after="0"/>
              <w:rPr>
                <w:sz w:val="15"/>
                <w:szCs w:val="15"/>
                <w:color w:val="auto"/>
              </w:rPr>
            </w:pPr>
          </w:p>
        </w:tc>
        <w:tc>
          <w:tcPr>
            <w:tcW w:w="1480" w:type="dxa"/>
            <w:vAlign w:val="bottom"/>
            <w:shd w:val="clear" w:color="auto" w:fill="9DBDE4"/>
          </w:tcPr>
          <w:p>
            <w:pPr>
              <w:jc w:val="center"/>
              <w:ind w:right="362"/>
              <w:spacing w:after="0" w:line="181" w:lineRule="exact"/>
              <w:rPr>
                <w:sz w:val="20"/>
                <w:szCs w:val="20"/>
                <w:color w:val="auto"/>
              </w:rPr>
            </w:pPr>
            <w:r>
              <w:rPr>
                <w:rFonts w:ascii="Arial" w:cs="Arial" w:eastAsia="Arial" w:hAnsi="Arial"/>
                <w:sz w:val="16"/>
                <w:szCs w:val="16"/>
                <w:color w:val="auto"/>
                <w:w w:val="89"/>
              </w:rPr>
              <w:t>8</w:t>
            </w:r>
          </w:p>
        </w:tc>
        <w:tc>
          <w:tcPr>
            <w:tcW w:w="1540" w:type="dxa"/>
            <w:vAlign w:val="bottom"/>
            <w:shd w:val="clear" w:color="auto" w:fill="9DBDE4"/>
          </w:tcPr>
          <w:p>
            <w:pPr>
              <w:spacing w:after="0"/>
              <w:rPr>
                <w:sz w:val="15"/>
                <w:szCs w:val="15"/>
                <w:color w:val="auto"/>
              </w:rPr>
            </w:pPr>
          </w:p>
        </w:tc>
        <w:tc>
          <w:tcPr>
            <w:tcW w:w="20" w:type="dxa"/>
            <w:vAlign w:val="bottom"/>
          </w:tcPr>
          <w:p>
            <w:pPr>
              <w:spacing w:after="0"/>
              <w:rPr>
                <w:sz w:val="15"/>
                <w:szCs w:val="15"/>
                <w:color w:val="auto"/>
              </w:rPr>
            </w:pPr>
          </w:p>
        </w:tc>
      </w:tr>
      <w:tr>
        <w:trPr>
          <w:trHeight w:val="167"/>
        </w:trPr>
        <w:tc>
          <w:tcPr>
            <w:tcW w:w="3680" w:type="dxa"/>
            <w:vAlign w:val="bottom"/>
          </w:tcPr>
          <w:p>
            <w:pPr>
              <w:spacing w:after="0"/>
              <w:rPr>
                <w:sz w:val="14"/>
                <w:szCs w:val="14"/>
                <w:color w:val="auto"/>
              </w:rPr>
            </w:pPr>
          </w:p>
        </w:tc>
        <w:tc>
          <w:tcPr>
            <w:tcW w:w="1560" w:type="dxa"/>
            <w:vAlign w:val="bottom"/>
            <w:shd w:val="clear" w:color="auto" w:fill="284993"/>
          </w:tcPr>
          <w:p>
            <w:pPr>
              <w:spacing w:after="0"/>
              <w:rPr>
                <w:sz w:val="14"/>
                <w:szCs w:val="14"/>
                <w:color w:val="auto"/>
              </w:rPr>
            </w:pPr>
          </w:p>
        </w:tc>
        <w:tc>
          <w:tcPr>
            <w:tcW w:w="1060" w:type="dxa"/>
            <w:vAlign w:val="bottom"/>
            <w:shd w:val="clear" w:color="auto" w:fill="284993"/>
          </w:tcPr>
          <w:p>
            <w:pPr>
              <w:spacing w:after="0"/>
              <w:rPr>
                <w:sz w:val="14"/>
                <w:szCs w:val="14"/>
                <w:color w:val="auto"/>
              </w:rPr>
            </w:pPr>
          </w:p>
        </w:tc>
        <w:tc>
          <w:tcPr>
            <w:tcW w:w="1480" w:type="dxa"/>
            <w:vAlign w:val="bottom"/>
            <w:shd w:val="clear" w:color="auto" w:fill="284993"/>
          </w:tcPr>
          <w:p>
            <w:pPr>
              <w:spacing w:after="0"/>
              <w:rPr>
                <w:sz w:val="14"/>
                <w:szCs w:val="14"/>
                <w:color w:val="auto"/>
              </w:rPr>
            </w:pPr>
          </w:p>
        </w:tc>
        <w:tc>
          <w:tcPr>
            <w:tcW w:w="1540" w:type="dxa"/>
            <w:vAlign w:val="bottom"/>
            <w:shd w:val="clear" w:color="auto" w:fill="284993"/>
          </w:tcPr>
          <w:p>
            <w:pPr>
              <w:jc w:val="center"/>
              <w:ind w:left="162"/>
              <w:spacing w:after="0" w:line="167" w:lineRule="exact"/>
              <w:rPr>
                <w:sz w:val="20"/>
                <w:szCs w:val="20"/>
                <w:color w:val="auto"/>
              </w:rPr>
            </w:pPr>
            <w:r>
              <w:rPr>
                <w:rFonts w:ascii="Arial" w:cs="Arial" w:eastAsia="Arial" w:hAnsi="Arial"/>
                <w:sz w:val="16"/>
                <w:szCs w:val="16"/>
                <w:b w:val="1"/>
                <w:bCs w:val="1"/>
                <w:color w:val="FFFFFF"/>
                <w:w w:val="97"/>
              </w:rPr>
              <w:t>Did not</w:t>
            </w:r>
          </w:p>
        </w:tc>
        <w:tc>
          <w:tcPr>
            <w:tcW w:w="20" w:type="dxa"/>
            <w:vAlign w:val="bottom"/>
          </w:tcPr>
          <w:p>
            <w:pPr>
              <w:spacing w:after="0"/>
              <w:rPr>
                <w:sz w:val="14"/>
                <w:szCs w:val="14"/>
                <w:color w:val="auto"/>
              </w:rPr>
            </w:pPr>
          </w:p>
        </w:tc>
      </w:tr>
      <w:tr>
        <w:trPr>
          <w:trHeight w:val="208"/>
        </w:trPr>
        <w:tc>
          <w:tcPr>
            <w:tcW w:w="3680" w:type="dxa"/>
            <w:vAlign w:val="bottom"/>
          </w:tcPr>
          <w:p>
            <w:pPr>
              <w:spacing w:after="0"/>
              <w:rPr>
                <w:sz w:val="18"/>
                <w:szCs w:val="18"/>
                <w:color w:val="auto"/>
              </w:rPr>
            </w:pPr>
          </w:p>
        </w:tc>
        <w:tc>
          <w:tcPr>
            <w:tcW w:w="1560" w:type="dxa"/>
            <w:vAlign w:val="bottom"/>
            <w:shd w:val="clear" w:color="auto" w:fill="284993"/>
          </w:tcPr>
          <w:p>
            <w:pPr>
              <w:ind w:left="680"/>
              <w:spacing w:after="0"/>
              <w:rPr>
                <w:sz w:val="20"/>
                <w:szCs w:val="20"/>
                <w:color w:val="auto"/>
              </w:rPr>
            </w:pPr>
            <w:r>
              <w:rPr>
                <w:rFonts w:ascii="Arial" w:cs="Arial" w:eastAsia="Arial" w:hAnsi="Arial"/>
                <w:sz w:val="16"/>
                <w:szCs w:val="16"/>
                <w:b w:val="1"/>
                <w:bCs w:val="1"/>
                <w:color w:val="FFFFFF"/>
              </w:rPr>
              <w:t>Female</w:t>
            </w:r>
          </w:p>
        </w:tc>
        <w:tc>
          <w:tcPr>
            <w:tcW w:w="1060" w:type="dxa"/>
            <w:vAlign w:val="bottom"/>
            <w:shd w:val="clear" w:color="auto" w:fill="284993"/>
          </w:tcPr>
          <w:p>
            <w:pPr>
              <w:ind w:left="360"/>
              <w:spacing w:after="0"/>
              <w:rPr>
                <w:sz w:val="20"/>
                <w:szCs w:val="20"/>
                <w:color w:val="auto"/>
              </w:rPr>
            </w:pPr>
            <w:r>
              <w:rPr>
                <w:rFonts w:ascii="Arial" w:cs="Arial" w:eastAsia="Arial" w:hAnsi="Arial"/>
                <w:sz w:val="16"/>
                <w:szCs w:val="16"/>
                <w:b w:val="1"/>
                <w:bCs w:val="1"/>
                <w:color w:val="FFFFFF"/>
              </w:rPr>
              <w:t>Male</w:t>
            </w:r>
          </w:p>
        </w:tc>
        <w:tc>
          <w:tcPr>
            <w:tcW w:w="1480" w:type="dxa"/>
            <w:vAlign w:val="bottom"/>
            <w:shd w:val="clear" w:color="auto" w:fill="284993"/>
          </w:tcPr>
          <w:p>
            <w:pPr>
              <w:jc w:val="center"/>
              <w:ind w:left="2"/>
              <w:spacing w:after="0"/>
              <w:rPr>
                <w:sz w:val="20"/>
                <w:szCs w:val="20"/>
                <w:color w:val="auto"/>
              </w:rPr>
            </w:pPr>
            <w:r>
              <w:rPr>
                <w:rFonts w:ascii="Arial" w:cs="Arial" w:eastAsia="Arial" w:hAnsi="Arial"/>
                <w:sz w:val="16"/>
                <w:szCs w:val="16"/>
                <w:b w:val="1"/>
                <w:bCs w:val="1"/>
                <w:color w:val="FFFFFF"/>
                <w:w w:val="97"/>
              </w:rPr>
              <w:t>Non-Binary</w:t>
            </w:r>
          </w:p>
        </w:tc>
        <w:tc>
          <w:tcPr>
            <w:tcW w:w="1540" w:type="dxa"/>
            <w:vAlign w:val="bottom"/>
            <w:shd w:val="clear" w:color="auto" w:fill="284993"/>
          </w:tcPr>
          <w:p>
            <w:pPr>
              <w:jc w:val="center"/>
              <w:ind w:left="162"/>
              <w:spacing w:after="0"/>
              <w:rPr>
                <w:sz w:val="20"/>
                <w:szCs w:val="20"/>
                <w:color w:val="auto"/>
              </w:rPr>
            </w:pPr>
            <w:r>
              <w:rPr>
                <w:rFonts w:ascii="Arial" w:cs="Arial" w:eastAsia="Arial" w:hAnsi="Arial"/>
                <w:sz w:val="16"/>
                <w:szCs w:val="16"/>
                <w:b w:val="1"/>
                <w:bCs w:val="1"/>
                <w:color w:val="FFFFFF"/>
                <w:w w:val="96"/>
              </w:rPr>
              <w:t>Disclose Gender</w:t>
            </w:r>
          </w:p>
        </w:tc>
        <w:tc>
          <w:tcPr>
            <w:tcW w:w="20" w:type="dxa"/>
            <w:vAlign w:val="bottom"/>
          </w:tcPr>
          <w:p>
            <w:pPr>
              <w:spacing w:after="0"/>
              <w:rPr>
                <w:sz w:val="18"/>
                <w:szCs w:val="18"/>
                <w:color w:val="auto"/>
              </w:rPr>
            </w:pPr>
          </w:p>
        </w:tc>
      </w:tr>
      <w:tr>
        <w:trPr>
          <w:trHeight w:val="194"/>
        </w:trPr>
        <w:tc>
          <w:tcPr>
            <w:tcW w:w="3680" w:type="dxa"/>
            <w:vAlign w:val="bottom"/>
            <w:shd w:val="clear" w:color="auto" w:fill="284993"/>
          </w:tcPr>
          <w:p>
            <w:pPr>
              <w:ind w:left="80"/>
              <w:spacing w:after="0"/>
              <w:rPr>
                <w:sz w:val="20"/>
                <w:szCs w:val="20"/>
                <w:color w:val="auto"/>
              </w:rPr>
            </w:pPr>
            <w:r>
              <w:rPr>
                <w:rFonts w:ascii="Arial" w:cs="Arial" w:eastAsia="Arial" w:hAnsi="Arial"/>
                <w:sz w:val="16"/>
                <w:szCs w:val="16"/>
                <w:b w:val="1"/>
                <w:bCs w:val="1"/>
                <w:color w:val="FFFFFF"/>
              </w:rPr>
              <w:t>Gender Identity:</w:t>
            </w:r>
          </w:p>
        </w:tc>
        <w:tc>
          <w:tcPr>
            <w:tcW w:w="1560" w:type="dxa"/>
            <w:vAlign w:val="bottom"/>
            <w:shd w:val="clear" w:color="auto" w:fill="284993"/>
          </w:tcPr>
          <w:p>
            <w:pPr>
              <w:spacing w:after="0"/>
              <w:rPr>
                <w:sz w:val="16"/>
                <w:szCs w:val="16"/>
                <w:color w:val="auto"/>
              </w:rPr>
            </w:pPr>
          </w:p>
        </w:tc>
        <w:tc>
          <w:tcPr>
            <w:tcW w:w="1060" w:type="dxa"/>
            <w:vAlign w:val="bottom"/>
            <w:shd w:val="clear" w:color="auto" w:fill="284993"/>
          </w:tcPr>
          <w:p>
            <w:pPr>
              <w:spacing w:after="0"/>
              <w:rPr>
                <w:sz w:val="16"/>
                <w:szCs w:val="16"/>
                <w:color w:val="auto"/>
              </w:rPr>
            </w:pPr>
          </w:p>
        </w:tc>
        <w:tc>
          <w:tcPr>
            <w:tcW w:w="1480" w:type="dxa"/>
            <w:vAlign w:val="bottom"/>
            <w:shd w:val="clear" w:color="auto" w:fill="284993"/>
          </w:tcPr>
          <w:p>
            <w:pPr>
              <w:spacing w:after="0"/>
              <w:rPr>
                <w:sz w:val="16"/>
                <w:szCs w:val="16"/>
                <w:color w:val="auto"/>
              </w:rPr>
            </w:pPr>
          </w:p>
        </w:tc>
        <w:tc>
          <w:tcPr>
            <w:tcW w:w="1540" w:type="dxa"/>
            <w:vAlign w:val="bottom"/>
            <w:shd w:val="clear" w:color="auto" w:fill="284993"/>
          </w:tcPr>
          <w:p>
            <w:pPr>
              <w:spacing w:after="0"/>
              <w:rPr>
                <w:sz w:val="16"/>
                <w:szCs w:val="16"/>
                <w:color w:val="auto"/>
              </w:rPr>
            </w:pPr>
          </w:p>
        </w:tc>
        <w:tc>
          <w:tcPr>
            <w:tcW w:w="20" w:type="dxa"/>
            <w:vAlign w:val="bottom"/>
          </w:tcPr>
          <w:p>
            <w:pPr>
              <w:spacing w:after="0"/>
              <w:rPr>
                <w:sz w:val="16"/>
                <w:szCs w:val="16"/>
                <w:color w:val="auto"/>
              </w:rPr>
            </w:pPr>
          </w:p>
        </w:tc>
      </w:tr>
      <w:tr>
        <w:trPr>
          <w:trHeight w:val="181"/>
        </w:trPr>
        <w:tc>
          <w:tcPr>
            <w:tcW w:w="3680" w:type="dxa"/>
            <w:vAlign w:val="bottom"/>
          </w:tcPr>
          <w:p>
            <w:pPr>
              <w:ind w:left="80"/>
              <w:spacing w:after="0" w:line="181" w:lineRule="exact"/>
              <w:rPr>
                <w:sz w:val="20"/>
                <w:szCs w:val="20"/>
                <w:color w:val="auto"/>
              </w:rPr>
            </w:pPr>
            <w:r>
              <w:rPr>
                <w:rFonts w:ascii="Arial" w:cs="Arial" w:eastAsia="Arial" w:hAnsi="Arial"/>
                <w:sz w:val="16"/>
                <w:szCs w:val="16"/>
                <w:color w:val="auto"/>
              </w:rPr>
              <w:t>Directors</w:t>
            </w:r>
          </w:p>
        </w:tc>
        <w:tc>
          <w:tcPr>
            <w:tcW w:w="1560" w:type="dxa"/>
            <w:vAlign w:val="bottom"/>
          </w:tcPr>
          <w:p>
            <w:pPr>
              <w:jc w:val="center"/>
              <w:ind w:left="242"/>
              <w:spacing w:after="0" w:line="181" w:lineRule="exact"/>
              <w:rPr>
                <w:sz w:val="20"/>
                <w:szCs w:val="20"/>
                <w:color w:val="auto"/>
              </w:rPr>
            </w:pPr>
            <w:r>
              <w:rPr>
                <w:rFonts w:ascii="Arial" w:cs="Arial" w:eastAsia="Arial" w:hAnsi="Arial"/>
                <w:sz w:val="16"/>
                <w:szCs w:val="16"/>
                <w:color w:val="auto"/>
                <w:w w:val="89"/>
              </w:rPr>
              <w:t>2</w:t>
            </w:r>
          </w:p>
        </w:tc>
        <w:tc>
          <w:tcPr>
            <w:tcW w:w="1060" w:type="dxa"/>
            <w:vAlign w:val="bottom"/>
          </w:tcPr>
          <w:p>
            <w:pPr>
              <w:jc w:val="center"/>
              <w:spacing w:after="0" w:line="181" w:lineRule="exact"/>
              <w:rPr>
                <w:sz w:val="20"/>
                <w:szCs w:val="20"/>
                <w:color w:val="auto"/>
              </w:rPr>
            </w:pPr>
            <w:r>
              <w:rPr>
                <w:rFonts w:ascii="Arial" w:cs="Arial" w:eastAsia="Arial" w:hAnsi="Arial"/>
                <w:sz w:val="16"/>
                <w:szCs w:val="16"/>
                <w:color w:val="auto"/>
                <w:w w:val="89"/>
              </w:rPr>
              <w:t>6</w:t>
            </w:r>
          </w:p>
        </w:tc>
        <w:tc>
          <w:tcPr>
            <w:tcW w:w="1480" w:type="dxa"/>
            <w:vAlign w:val="bottom"/>
          </w:tcPr>
          <w:p>
            <w:pPr>
              <w:jc w:val="center"/>
              <w:ind w:left="22"/>
              <w:spacing w:after="0" w:line="181" w:lineRule="exact"/>
              <w:rPr>
                <w:sz w:val="20"/>
                <w:szCs w:val="20"/>
                <w:color w:val="auto"/>
              </w:rPr>
            </w:pPr>
            <w:r>
              <w:rPr>
                <w:rFonts w:ascii="Arial" w:cs="Arial" w:eastAsia="Arial" w:hAnsi="Arial"/>
                <w:sz w:val="16"/>
                <w:szCs w:val="16"/>
                <w:color w:val="auto"/>
              </w:rPr>
              <w:t>-</w:t>
            </w:r>
          </w:p>
        </w:tc>
        <w:tc>
          <w:tcPr>
            <w:tcW w:w="1540" w:type="dxa"/>
            <w:vAlign w:val="bottom"/>
          </w:tcPr>
          <w:p>
            <w:pPr>
              <w:jc w:val="center"/>
              <w:ind w:left="16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680" w:type="dxa"/>
            <w:vAlign w:val="bottom"/>
            <w:shd w:val="clear" w:color="auto" w:fill="284993"/>
          </w:tcPr>
          <w:p>
            <w:pPr>
              <w:ind w:left="80"/>
              <w:spacing w:after="0" w:line="181" w:lineRule="exact"/>
              <w:rPr>
                <w:sz w:val="20"/>
                <w:szCs w:val="20"/>
                <w:color w:val="auto"/>
              </w:rPr>
            </w:pPr>
            <w:r>
              <w:rPr>
                <w:rFonts w:ascii="Arial" w:cs="Arial" w:eastAsia="Arial" w:hAnsi="Arial"/>
                <w:sz w:val="16"/>
                <w:szCs w:val="16"/>
                <w:b w:val="1"/>
                <w:bCs w:val="1"/>
                <w:color w:val="FFFFFF"/>
              </w:rPr>
              <w:t>Demographic Background:</w:t>
            </w:r>
          </w:p>
        </w:tc>
        <w:tc>
          <w:tcPr>
            <w:tcW w:w="1560" w:type="dxa"/>
            <w:vAlign w:val="bottom"/>
            <w:shd w:val="clear" w:color="auto" w:fill="284993"/>
          </w:tcPr>
          <w:p>
            <w:pPr>
              <w:spacing w:after="0"/>
              <w:rPr>
                <w:sz w:val="15"/>
                <w:szCs w:val="15"/>
                <w:color w:val="auto"/>
              </w:rPr>
            </w:pPr>
          </w:p>
        </w:tc>
        <w:tc>
          <w:tcPr>
            <w:tcW w:w="1060" w:type="dxa"/>
            <w:vAlign w:val="bottom"/>
            <w:shd w:val="clear" w:color="auto" w:fill="284993"/>
          </w:tcPr>
          <w:p>
            <w:pPr>
              <w:spacing w:after="0"/>
              <w:rPr>
                <w:sz w:val="15"/>
                <w:szCs w:val="15"/>
                <w:color w:val="auto"/>
              </w:rPr>
            </w:pPr>
          </w:p>
        </w:tc>
        <w:tc>
          <w:tcPr>
            <w:tcW w:w="1480" w:type="dxa"/>
            <w:vAlign w:val="bottom"/>
            <w:shd w:val="clear" w:color="auto" w:fill="284993"/>
          </w:tcPr>
          <w:p>
            <w:pPr>
              <w:spacing w:after="0"/>
              <w:rPr>
                <w:sz w:val="15"/>
                <w:szCs w:val="15"/>
                <w:color w:val="auto"/>
              </w:rPr>
            </w:pPr>
          </w:p>
        </w:tc>
        <w:tc>
          <w:tcPr>
            <w:tcW w:w="1540" w:type="dxa"/>
            <w:vAlign w:val="bottom"/>
            <w:shd w:val="clear" w:color="auto" w:fill="284993"/>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368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African American or Black</w:t>
            </w:r>
          </w:p>
        </w:tc>
        <w:tc>
          <w:tcPr>
            <w:tcW w:w="1560" w:type="dxa"/>
            <w:vAlign w:val="bottom"/>
            <w:shd w:val="clear" w:color="auto" w:fill="9DBDE4"/>
          </w:tcPr>
          <w:p>
            <w:pPr>
              <w:jc w:val="center"/>
              <w:ind w:left="242"/>
              <w:spacing w:after="0" w:line="181" w:lineRule="exact"/>
              <w:rPr>
                <w:sz w:val="20"/>
                <w:szCs w:val="20"/>
                <w:color w:val="auto"/>
              </w:rPr>
            </w:pPr>
            <w:r>
              <w:rPr>
                <w:rFonts w:ascii="Arial" w:cs="Arial" w:eastAsia="Arial" w:hAnsi="Arial"/>
                <w:sz w:val="16"/>
                <w:szCs w:val="16"/>
                <w:color w:val="auto"/>
                <w:w w:val="74"/>
              </w:rPr>
              <w:t>-</w:t>
            </w:r>
          </w:p>
        </w:tc>
        <w:tc>
          <w:tcPr>
            <w:tcW w:w="1060" w:type="dxa"/>
            <w:vAlign w:val="bottom"/>
            <w:shd w:val="clear" w:color="auto" w:fill="9DBDE4"/>
          </w:tcPr>
          <w:p>
            <w:pPr>
              <w:jc w:val="center"/>
              <w:spacing w:after="0" w:line="181" w:lineRule="exact"/>
              <w:rPr>
                <w:sz w:val="20"/>
                <w:szCs w:val="20"/>
                <w:color w:val="auto"/>
              </w:rPr>
            </w:pPr>
            <w:r>
              <w:rPr>
                <w:rFonts w:ascii="Arial" w:cs="Arial" w:eastAsia="Arial" w:hAnsi="Arial"/>
                <w:sz w:val="16"/>
                <w:szCs w:val="16"/>
                <w:color w:val="auto"/>
                <w:w w:val="74"/>
              </w:rPr>
              <w:t>-</w:t>
            </w:r>
          </w:p>
        </w:tc>
        <w:tc>
          <w:tcPr>
            <w:tcW w:w="1480" w:type="dxa"/>
            <w:vAlign w:val="bottom"/>
            <w:shd w:val="clear" w:color="auto" w:fill="9DBDE4"/>
          </w:tcPr>
          <w:p>
            <w:pPr>
              <w:jc w:val="center"/>
              <w:ind w:left="22"/>
              <w:spacing w:after="0" w:line="181" w:lineRule="exact"/>
              <w:rPr>
                <w:sz w:val="20"/>
                <w:szCs w:val="20"/>
                <w:color w:val="auto"/>
              </w:rPr>
            </w:pPr>
            <w:r>
              <w:rPr>
                <w:rFonts w:ascii="Arial" w:cs="Arial" w:eastAsia="Arial" w:hAnsi="Arial"/>
                <w:sz w:val="16"/>
                <w:szCs w:val="16"/>
                <w:color w:val="auto"/>
              </w:rPr>
              <w:t>-</w:t>
            </w:r>
          </w:p>
        </w:tc>
        <w:tc>
          <w:tcPr>
            <w:tcW w:w="1540" w:type="dxa"/>
            <w:vAlign w:val="bottom"/>
            <w:shd w:val="clear" w:color="auto" w:fill="9DBDE4"/>
          </w:tcPr>
          <w:p>
            <w:pPr>
              <w:jc w:val="center"/>
              <w:ind w:left="16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680" w:type="dxa"/>
            <w:vAlign w:val="bottom"/>
          </w:tcPr>
          <w:p>
            <w:pPr>
              <w:ind w:left="80"/>
              <w:spacing w:after="0" w:line="181" w:lineRule="exact"/>
              <w:rPr>
                <w:sz w:val="20"/>
                <w:szCs w:val="20"/>
                <w:color w:val="auto"/>
              </w:rPr>
            </w:pPr>
            <w:r>
              <w:rPr>
                <w:rFonts w:ascii="Arial" w:cs="Arial" w:eastAsia="Arial" w:hAnsi="Arial"/>
                <w:sz w:val="16"/>
                <w:szCs w:val="16"/>
                <w:color w:val="auto"/>
              </w:rPr>
              <w:t>Alaskan Native or Native American</w:t>
            </w:r>
          </w:p>
        </w:tc>
        <w:tc>
          <w:tcPr>
            <w:tcW w:w="1560" w:type="dxa"/>
            <w:vAlign w:val="bottom"/>
          </w:tcPr>
          <w:p>
            <w:pPr>
              <w:jc w:val="center"/>
              <w:ind w:left="242"/>
              <w:spacing w:after="0" w:line="181" w:lineRule="exact"/>
              <w:rPr>
                <w:sz w:val="20"/>
                <w:szCs w:val="20"/>
                <w:color w:val="auto"/>
              </w:rPr>
            </w:pPr>
            <w:r>
              <w:rPr>
                <w:rFonts w:ascii="Arial" w:cs="Arial" w:eastAsia="Arial" w:hAnsi="Arial"/>
                <w:sz w:val="16"/>
                <w:szCs w:val="16"/>
                <w:color w:val="auto"/>
                <w:w w:val="74"/>
              </w:rPr>
              <w:t>-</w:t>
            </w:r>
          </w:p>
        </w:tc>
        <w:tc>
          <w:tcPr>
            <w:tcW w:w="1060" w:type="dxa"/>
            <w:vAlign w:val="bottom"/>
          </w:tcPr>
          <w:p>
            <w:pPr>
              <w:jc w:val="center"/>
              <w:spacing w:after="0" w:line="181" w:lineRule="exact"/>
              <w:rPr>
                <w:sz w:val="20"/>
                <w:szCs w:val="20"/>
                <w:color w:val="auto"/>
              </w:rPr>
            </w:pPr>
            <w:r>
              <w:rPr>
                <w:rFonts w:ascii="Arial" w:cs="Arial" w:eastAsia="Arial" w:hAnsi="Arial"/>
                <w:sz w:val="16"/>
                <w:szCs w:val="16"/>
                <w:color w:val="auto"/>
                <w:w w:val="74"/>
              </w:rPr>
              <w:t>-</w:t>
            </w:r>
          </w:p>
        </w:tc>
        <w:tc>
          <w:tcPr>
            <w:tcW w:w="1480" w:type="dxa"/>
            <w:vAlign w:val="bottom"/>
          </w:tcPr>
          <w:p>
            <w:pPr>
              <w:jc w:val="center"/>
              <w:ind w:left="22"/>
              <w:spacing w:after="0" w:line="181" w:lineRule="exact"/>
              <w:rPr>
                <w:sz w:val="20"/>
                <w:szCs w:val="20"/>
                <w:color w:val="auto"/>
              </w:rPr>
            </w:pPr>
            <w:r>
              <w:rPr>
                <w:rFonts w:ascii="Arial" w:cs="Arial" w:eastAsia="Arial" w:hAnsi="Arial"/>
                <w:sz w:val="16"/>
                <w:szCs w:val="16"/>
                <w:color w:val="auto"/>
              </w:rPr>
              <w:t>-</w:t>
            </w:r>
          </w:p>
        </w:tc>
        <w:tc>
          <w:tcPr>
            <w:tcW w:w="1540" w:type="dxa"/>
            <w:vAlign w:val="bottom"/>
          </w:tcPr>
          <w:p>
            <w:pPr>
              <w:jc w:val="center"/>
              <w:ind w:left="16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68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Asian</w:t>
            </w:r>
          </w:p>
        </w:tc>
        <w:tc>
          <w:tcPr>
            <w:tcW w:w="1560" w:type="dxa"/>
            <w:vAlign w:val="bottom"/>
            <w:shd w:val="clear" w:color="auto" w:fill="9DBDE4"/>
          </w:tcPr>
          <w:p>
            <w:pPr>
              <w:jc w:val="center"/>
              <w:ind w:left="242"/>
              <w:spacing w:after="0" w:line="181" w:lineRule="exact"/>
              <w:rPr>
                <w:sz w:val="20"/>
                <w:szCs w:val="20"/>
                <w:color w:val="auto"/>
              </w:rPr>
            </w:pPr>
            <w:r>
              <w:rPr>
                <w:rFonts w:ascii="Arial" w:cs="Arial" w:eastAsia="Arial" w:hAnsi="Arial"/>
                <w:sz w:val="16"/>
                <w:szCs w:val="16"/>
                <w:color w:val="auto"/>
                <w:w w:val="74"/>
              </w:rPr>
              <w:t>-</w:t>
            </w:r>
          </w:p>
        </w:tc>
        <w:tc>
          <w:tcPr>
            <w:tcW w:w="1060" w:type="dxa"/>
            <w:vAlign w:val="bottom"/>
            <w:shd w:val="clear" w:color="auto" w:fill="9DBDE4"/>
          </w:tcPr>
          <w:p>
            <w:pPr>
              <w:jc w:val="center"/>
              <w:spacing w:after="0" w:line="181" w:lineRule="exact"/>
              <w:rPr>
                <w:sz w:val="20"/>
                <w:szCs w:val="20"/>
                <w:color w:val="auto"/>
              </w:rPr>
            </w:pPr>
            <w:r>
              <w:rPr>
                <w:rFonts w:ascii="Arial" w:cs="Arial" w:eastAsia="Arial" w:hAnsi="Arial"/>
                <w:sz w:val="16"/>
                <w:szCs w:val="16"/>
                <w:color w:val="auto"/>
                <w:w w:val="74"/>
              </w:rPr>
              <w:t>-</w:t>
            </w:r>
          </w:p>
        </w:tc>
        <w:tc>
          <w:tcPr>
            <w:tcW w:w="1480" w:type="dxa"/>
            <w:vAlign w:val="bottom"/>
            <w:shd w:val="clear" w:color="auto" w:fill="9DBDE4"/>
          </w:tcPr>
          <w:p>
            <w:pPr>
              <w:jc w:val="center"/>
              <w:ind w:left="22"/>
              <w:spacing w:after="0" w:line="181" w:lineRule="exact"/>
              <w:rPr>
                <w:sz w:val="20"/>
                <w:szCs w:val="20"/>
                <w:color w:val="auto"/>
              </w:rPr>
            </w:pPr>
            <w:r>
              <w:rPr>
                <w:rFonts w:ascii="Arial" w:cs="Arial" w:eastAsia="Arial" w:hAnsi="Arial"/>
                <w:sz w:val="16"/>
                <w:szCs w:val="16"/>
                <w:color w:val="auto"/>
              </w:rPr>
              <w:t>-</w:t>
            </w:r>
          </w:p>
        </w:tc>
        <w:tc>
          <w:tcPr>
            <w:tcW w:w="1540" w:type="dxa"/>
            <w:vAlign w:val="bottom"/>
            <w:shd w:val="clear" w:color="auto" w:fill="9DBDE4"/>
          </w:tcPr>
          <w:p>
            <w:pPr>
              <w:jc w:val="center"/>
              <w:ind w:left="16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680" w:type="dxa"/>
            <w:vAlign w:val="bottom"/>
          </w:tcPr>
          <w:p>
            <w:pPr>
              <w:ind w:left="80"/>
              <w:spacing w:after="0" w:line="181" w:lineRule="exact"/>
              <w:rPr>
                <w:sz w:val="20"/>
                <w:szCs w:val="20"/>
                <w:color w:val="auto"/>
              </w:rPr>
            </w:pPr>
            <w:r>
              <w:rPr>
                <w:rFonts w:ascii="Arial" w:cs="Arial" w:eastAsia="Arial" w:hAnsi="Arial"/>
                <w:sz w:val="16"/>
                <w:szCs w:val="16"/>
                <w:color w:val="auto"/>
              </w:rPr>
              <w:t>Hispanic or Latinx</w:t>
            </w:r>
          </w:p>
        </w:tc>
        <w:tc>
          <w:tcPr>
            <w:tcW w:w="1560" w:type="dxa"/>
            <w:vAlign w:val="bottom"/>
          </w:tcPr>
          <w:p>
            <w:pPr>
              <w:jc w:val="center"/>
              <w:ind w:left="242"/>
              <w:spacing w:after="0" w:line="181" w:lineRule="exact"/>
              <w:rPr>
                <w:sz w:val="20"/>
                <w:szCs w:val="20"/>
                <w:color w:val="auto"/>
              </w:rPr>
            </w:pPr>
            <w:r>
              <w:rPr>
                <w:rFonts w:ascii="Arial" w:cs="Arial" w:eastAsia="Arial" w:hAnsi="Arial"/>
                <w:sz w:val="16"/>
                <w:szCs w:val="16"/>
                <w:color w:val="auto"/>
                <w:w w:val="74"/>
              </w:rPr>
              <w:t>-</w:t>
            </w:r>
          </w:p>
        </w:tc>
        <w:tc>
          <w:tcPr>
            <w:tcW w:w="1060" w:type="dxa"/>
            <w:vAlign w:val="bottom"/>
          </w:tcPr>
          <w:p>
            <w:pPr>
              <w:jc w:val="center"/>
              <w:spacing w:after="0" w:line="181" w:lineRule="exact"/>
              <w:rPr>
                <w:sz w:val="20"/>
                <w:szCs w:val="20"/>
                <w:color w:val="auto"/>
              </w:rPr>
            </w:pPr>
            <w:r>
              <w:rPr>
                <w:rFonts w:ascii="Arial" w:cs="Arial" w:eastAsia="Arial" w:hAnsi="Arial"/>
                <w:sz w:val="16"/>
                <w:szCs w:val="16"/>
                <w:color w:val="auto"/>
                <w:w w:val="89"/>
              </w:rPr>
              <w:t>1</w:t>
            </w:r>
          </w:p>
        </w:tc>
        <w:tc>
          <w:tcPr>
            <w:tcW w:w="1480" w:type="dxa"/>
            <w:vAlign w:val="bottom"/>
          </w:tcPr>
          <w:p>
            <w:pPr>
              <w:jc w:val="center"/>
              <w:ind w:left="22"/>
              <w:spacing w:after="0" w:line="181" w:lineRule="exact"/>
              <w:rPr>
                <w:sz w:val="20"/>
                <w:szCs w:val="20"/>
                <w:color w:val="auto"/>
              </w:rPr>
            </w:pPr>
            <w:r>
              <w:rPr>
                <w:rFonts w:ascii="Arial" w:cs="Arial" w:eastAsia="Arial" w:hAnsi="Arial"/>
                <w:sz w:val="16"/>
                <w:szCs w:val="16"/>
                <w:color w:val="auto"/>
              </w:rPr>
              <w:t>-</w:t>
            </w:r>
          </w:p>
        </w:tc>
        <w:tc>
          <w:tcPr>
            <w:tcW w:w="1540" w:type="dxa"/>
            <w:vAlign w:val="bottom"/>
          </w:tcPr>
          <w:p>
            <w:pPr>
              <w:jc w:val="center"/>
              <w:ind w:left="16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68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Middle Eastern</w:t>
            </w:r>
          </w:p>
        </w:tc>
        <w:tc>
          <w:tcPr>
            <w:tcW w:w="1560" w:type="dxa"/>
            <w:vAlign w:val="bottom"/>
            <w:shd w:val="clear" w:color="auto" w:fill="9DBDE4"/>
          </w:tcPr>
          <w:p>
            <w:pPr>
              <w:jc w:val="center"/>
              <w:ind w:left="242"/>
              <w:spacing w:after="0" w:line="181" w:lineRule="exact"/>
              <w:rPr>
                <w:sz w:val="20"/>
                <w:szCs w:val="20"/>
                <w:color w:val="auto"/>
              </w:rPr>
            </w:pPr>
            <w:r>
              <w:rPr>
                <w:rFonts w:ascii="Arial" w:cs="Arial" w:eastAsia="Arial" w:hAnsi="Arial"/>
                <w:sz w:val="16"/>
                <w:szCs w:val="16"/>
                <w:color w:val="auto"/>
                <w:w w:val="74"/>
              </w:rPr>
              <w:t>-</w:t>
            </w:r>
          </w:p>
        </w:tc>
        <w:tc>
          <w:tcPr>
            <w:tcW w:w="1060" w:type="dxa"/>
            <w:vAlign w:val="bottom"/>
            <w:shd w:val="clear" w:color="auto" w:fill="9DBDE4"/>
          </w:tcPr>
          <w:p>
            <w:pPr>
              <w:jc w:val="center"/>
              <w:spacing w:after="0" w:line="181" w:lineRule="exact"/>
              <w:rPr>
                <w:sz w:val="20"/>
                <w:szCs w:val="20"/>
                <w:color w:val="auto"/>
              </w:rPr>
            </w:pPr>
            <w:r>
              <w:rPr>
                <w:rFonts w:ascii="Arial" w:cs="Arial" w:eastAsia="Arial" w:hAnsi="Arial"/>
                <w:sz w:val="16"/>
                <w:szCs w:val="16"/>
                <w:color w:val="auto"/>
                <w:w w:val="89"/>
              </w:rPr>
              <w:t>1</w:t>
            </w:r>
          </w:p>
        </w:tc>
        <w:tc>
          <w:tcPr>
            <w:tcW w:w="1480" w:type="dxa"/>
            <w:vAlign w:val="bottom"/>
            <w:shd w:val="clear" w:color="auto" w:fill="9DBDE4"/>
          </w:tcPr>
          <w:p>
            <w:pPr>
              <w:jc w:val="center"/>
              <w:ind w:left="22"/>
              <w:spacing w:after="0" w:line="181" w:lineRule="exact"/>
              <w:rPr>
                <w:sz w:val="20"/>
                <w:szCs w:val="20"/>
                <w:color w:val="auto"/>
              </w:rPr>
            </w:pPr>
            <w:r>
              <w:rPr>
                <w:rFonts w:ascii="Arial" w:cs="Arial" w:eastAsia="Arial" w:hAnsi="Arial"/>
                <w:sz w:val="16"/>
                <w:szCs w:val="16"/>
                <w:color w:val="auto"/>
              </w:rPr>
              <w:t>-</w:t>
            </w:r>
          </w:p>
        </w:tc>
        <w:tc>
          <w:tcPr>
            <w:tcW w:w="1540" w:type="dxa"/>
            <w:vAlign w:val="bottom"/>
            <w:shd w:val="clear" w:color="auto" w:fill="9DBDE4"/>
          </w:tcPr>
          <w:p>
            <w:pPr>
              <w:jc w:val="center"/>
              <w:ind w:left="16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680" w:type="dxa"/>
            <w:vAlign w:val="bottom"/>
          </w:tcPr>
          <w:p>
            <w:pPr>
              <w:ind w:left="80"/>
              <w:spacing w:after="0" w:line="181" w:lineRule="exact"/>
              <w:rPr>
                <w:sz w:val="20"/>
                <w:szCs w:val="20"/>
                <w:color w:val="auto"/>
              </w:rPr>
            </w:pPr>
            <w:r>
              <w:rPr>
                <w:rFonts w:ascii="Arial" w:cs="Arial" w:eastAsia="Arial" w:hAnsi="Arial"/>
                <w:sz w:val="16"/>
                <w:szCs w:val="16"/>
                <w:color w:val="auto"/>
              </w:rPr>
              <w:t>Native Hawaiian or Pacific Islander</w:t>
            </w:r>
          </w:p>
        </w:tc>
        <w:tc>
          <w:tcPr>
            <w:tcW w:w="1560" w:type="dxa"/>
            <w:vAlign w:val="bottom"/>
          </w:tcPr>
          <w:p>
            <w:pPr>
              <w:jc w:val="center"/>
              <w:ind w:left="242"/>
              <w:spacing w:after="0" w:line="181" w:lineRule="exact"/>
              <w:rPr>
                <w:sz w:val="20"/>
                <w:szCs w:val="20"/>
                <w:color w:val="auto"/>
              </w:rPr>
            </w:pPr>
            <w:r>
              <w:rPr>
                <w:rFonts w:ascii="Arial" w:cs="Arial" w:eastAsia="Arial" w:hAnsi="Arial"/>
                <w:sz w:val="16"/>
                <w:szCs w:val="16"/>
                <w:color w:val="auto"/>
                <w:w w:val="74"/>
              </w:rPr>
              <w:t>-</w:t>
            </w:r>
          </w:p>
        </w:tc>
        <w:tc>
          <w:tcPr>
            <w:tcW w:w="1060" w:type="dxa"/>
            <w:vAlign w:val="bottom"/>
          </w:tcPr>
          <w:p>
            <w:pPr>
              <w:jc w:val="center"/>
              <w:spacing w:after="0" w:line="181" w:lineRule="exact"/>
              <w:rPr>
                <w:sz w:val="20"/>
                <w:szCs w:val="20"/>
                <w:color w:val="auto"/>
              </w:rPr>
            </w:pPr>
            <w:r>
              <w:rPr>
                <w:rFonts w:ascii="Arial" w:cs="Arial" w:eastAsia="Arial" w:hAnsi="Arial"/>
                <w:sz w:val="16"/>
                <w:szCs w:val="16"/>
                <w:color w:val="auto"/>
                <w:w w:val="74"/>
              </w:rPr>
              <w:t>-</w:t>
            </w:r>
          </w:p>
        </w:tc>
        <w:tc>
          <w:tcPr>
            <w:tcW w:w="1480" w:type="dxa"/>
            <w:vAlign w:val="bottom"/>
          </w:tcPr>
          <w:p>
            <w:pPr>
              <w:jc w:val="center"/>
              <w:ind w:left="22"/>
              <w:spacing w:after="0" w:line="181" w:lineRule="exact"/>
              <w:rPr>
                <w:sz w:val="20"/>
                <w:szCs w:val="20"/>
                <w:color w:val="auto"/>
              </w:rPr>
            </w:pPr>
            <w:r>
              <w:rPr>
                <w:rFonts w:ascii="Arial" w:cs="Arial" w:eastAsia="Arial" w:hAnsi="Arial"/>
                <w:sz w:val="16"/>
                <w:szCs w:val="16"/>
                <w:color w:val="auto"/>
              </w:rPr>
              <w:t>-</w:t>
            </w:r>
          </w:p>
        </w:tc>
        <w:tc>
          <w:tcPr>
            <w:tcW w:w="1540" w:type="dxa"/>
            <w:vAlign w:val="bottom"/>
          </w:tcPr>
          <w:p>
            <w:pPr>
              <w:jc w:val="center"/>
              <w:ind w:left="16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68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White</w:t>
            </w:r>
          </w:p>
        </w:tc>
        <w:tc>
          <w:tcPr>
            <w:tcW w:w="1560" w:type="dxa"/>
            <w:vAlign w:val="bottom"/>
            <w:shd w:val="clear" w:color="auto" w:fill="9DBDE4"/>
          </w:tcPr>
          <w:p>
            <w:pPr>
              <w:jc w:val="center"/>
              <w:ind w:left="242"/>
              <w:spacing w:after="0" w:line="181" w:lineRule="exact"/>
              <w:rPr>
                <w:sz w:val="20"/>
                <w:szCs w:val="20"/>
                <w:color w:val="auto"/>
              </w:rPr>
            </w:pPr>
            <w:r>
              <w:rPr>
                <w:rFonts w:ascii="Arial" w:cs="Arial" w:eastAsia="Arial" w:hAnsi="Arial"/>
                <w:sz w:val="16"/>
                <w:szCs w:val="16"/>
                <w:color w:val="auto"/>
                <w:w w:val="89"/>
              </w:rPr>
              <w:t>2</w:t>
            </w:r>
          </w:p>
        </w:tc>
        <w:tc>
          <w:tcPr>
            <w:tcW w:w="1060" w:type="dxa"/>
            <w:vAlign w:val="bottom"/>
            <w:shd w:val="clear" w:color="auto" w:fill="9DBDE4"/>
          </w:tcPr>
          <w:p>
            <w:pPr>
              <w:jc w:val="center"/>
              <w:spacing w:after="0" w:line="181" w:lineRule="exact"/>
              <w:rPr>
                <w:sz w:val="20"/>
                <w:szCs w:val="20"/>
                <w:color w:val="auto"/>
              </w:rPr>
            </w:pPr>
            <w:r>
              <w:rPr>
                <w:rFonts w:ascii="Arial" w:cs="Arial" w:eastAsia="Arial" w:hAnsi="Arial"/>
                <w:sz w:val="16"/>
                <w:szCs w:val="16"/>
                <w:color w:val="auto"/>
                <w:w w:val="89"/>
              </w:rPr>
              <w:t>4</w:t>
            </w:r>
          </w:p>
        </w:tc>
        <w:tc>
          <w:tcPr>
            <w:tcW w:w="1480" w:type="dxa"/>
            <w:vAlign w:val="bottom"/>
            <w:shd w:val="clear" w:color="auto" w:fill="9DBDE4"/>
          </w:tcPr>
          <w:p>
            <w:pPr>
              <w:jc w:val="center"/>
              <w:ind w:left="22"/>
              <w:spacing w:after="0" w:line="181" w:lineRule="exact"/>
              <w:rPr>
                <w:sz w:val="20"/>
                <w:szCs w:val="20"/>
                <w:color w:val="auto"/>
              </w:rPr>
            </w:pPr>
            <w:r>
              <w:rPr>
                <w:rFonts w:ascii="Arial" w:cs="Arial" w:eastAsia="Arial" w:hAnsi="Arial"/>
                <w:sz w:val="16"/>
                <w:szCs w:val="16"/>
                <w:color w:val="auto"/>
              </w:rPr>
              <w:t>-</w:t>
            </w:r>
          </w:p>
        </w:tc>
        <w:tc>
          <w:tcPr>
            <w:tcW w:w="1540" w:type="dxa"/>
            <w:vAlign w:val="bottom"/>
            <w:shd w:val="clear" w:color="auto" w:fill="9DBDE4"/>
          </w:tcPr>
          <w:p>
            <w:pPr>
              <w:jc w:val="center"/>
              <w:ind w:left="16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680" w:type="dxa"/>
            <w:vAlign w:val="bottom"/>
          </w:tcPr>
          <w:p>
            <w:pPr>
              <w:ind w:left="80"/>
              <w:spacing w:after="0" w:line="181" w:lineRule="exact"/>
              <w:rPr>
                <w:sz w:val="20"/>
                <w:szCs w:val="20"/>
                <w:color w:val="auto"/>
              </w:rPr>
            </w:pPr>
            <w:r>
              <w:rPr>
                <w:rFonts w:ascii="Arial" w:cs="Arial" w:eastAsia="Arial" w:hAnsi="Arial"/>
                <w:sz w:val="16"/>
                <w:szCs w:val="16"/>
                <w:color w:val="auto"/>
              </w:rPr>
              <w:t>Two or More Races or Ethnicities</w:t>
            </w:r>
          </w:p>
        </w:tc>
        <w:tc>
          <w:tcPr>
            <w:tcW w:w="1560" w:type="dxa"/>
            <w:vAlign w:val="bottom"/>
          </w:tcPr>
          <w:p>
            <w:pPr>
              <w:jc w:val="center"/>
              <w:ind w:left="242"/>
              <w:spacing w:after="0" w:line="181" w:lineRule="exact"/>
              <w:rPr>
                <w:sz w:val="20"/>
                <w:szCs w:val="20"/>
                <w:color w:val="auto"/>
              </w:rPr>
            </w:pPr>
            <w:r>
              <w:rPr>
                <w:rFonts w:ascii="Arial" w:cs="Arial" w:eastAsia="Arial" w:hAnsi="Arial"/>
                <w:sz w:val="16"/>
                <w:szCs w:val="16"/>
                <w:color w:val="auto"/>
                <w:w w:val="74"/>
              </w:rPr>
              <w:t>-</w:t>
            </w:r>
          </w:p>
        </w:tc>
        <w:tc>
          <w:tcPr>
            <w:tcW w:w="1060" w:type="dxa"/>
            <w:vAlign w:val="bottom"/>
          </w:tcPr>
          <w:p>
            <w:pPr>
              <w:jc w:val="center"/>
              <w:spacing w:after="0" w:line="181" w:lineRule="exact"/>
              <w:rPr>
                <w:sz w:val="20"/>
                <w:szCs w:val="20"/>
                <w:color w:val="auto"/>
              </w:rPr>
            </w:pPr>
            <w:r>
              <w:rPr>
                <w:rFonts w:ascii="Arial" w:cs="Arial" w:eastAsia="Arial" w:hAnsi="Arial"/>
                <w:sz w:val="16"/>
                <w:szCs w:val="16"/>
                <w:color w:val="auto"/>
                <w:w w:val="74"/>
              </w:rPr>
              <w:t>-</w:t>
            </w:r>
          </w:p>
        </w:tc>
        <w:tc>
          <w:tcPr>
            <w:tcW w:w="1480" w:type="dxa"/>
            <w:vAlign w:val="bottom"/>
          </w:tcPr>
          <w:p>
            <w:pPr>
              <w:jc w:val="center"/>
              <w:ind w:left="22"/>
              <w:spacing w:after="0" w:line="181" w:lineRule="exact"/>
              <w:rPr>
                <w:sz w:val="20"/>
                <w:szCs w:val="20"/>
                <w:color w:val="auto"/>
              </w:rPr>
            </w:pPr>
            <w:r>
              <w:rPr>
                <w:rFonts w:ascii="Arial" w:cs="Arial" w:eastAsia="Arial" w:hAnsi="Arial"/>
                <w:sz w:val="16"/>
                <w:szCs w:val="16"/>
                <w:color w:val="auto"/>
              </w:rPr>
              <w:t>-</w:t>
            </w:r>
          </w:p>
        </w:tc>
        <w:tc>
          <w:tcPr>
            <w:tcW w:w="1540" w:type="dxa"/>
            <w:vAlign w:val="bottom"/>
          </w:tcPr>
          <w:p>
            <w:pPr>
              <w:jc w:val="center"/>
              <w:ind w:left="16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68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LGBTQ+</w:t>
            </w:r>
          </w:p>
        </w:tc>
        <w:tc>
          <w:tcPr>
            <w:tcW w:w="1560" w:type="dxa"/>
            <w:vAlign w:val="bottom"/>
            <w:shd w:val="clear" w:color="auto" w:fill="9DBDE4"/>
          </w:tcPr>
          <w:p>
            <w:pPr>
              <w:spacing w:after="0"/>
              <w:rPr>
                <w:sz w:val="15"/>
                <w:szCs w:val="15"/>
                <w:color w:val="auto"/>
              </w:rPr>
            </w:pPr>
          </w:p>
        </w:tc>
        <w:tc>
          <w:tcPr>
            <w:tcW w:w="1060" w:type="dxa"/>
            <w:vAlign w:val="bottom"/>
            <w:shd w:val="clear" w:color="auto" w:fill="9DBDE4"/>
          </w:tcPr>
          <w:p>
            <w:pPr>
              <w:spacing w:after="0"/>
              <w:rPr>
                <w:sz w:val="15"/>
                <w:szCs w:val="15"/>
                <w:color w:val="auto"/>
              </w:rPr>
            </w:pPr>
          </w:p>
        </w:tc>
        <w:tc>
          <w:tcPr>
            <w:tcW w:w="1480" w:type="dxa"/>
            <w:vAlign w:val="bottom"/>
            <w:shd w:val="clear" w:color="auto" w:fill="9DBDE4"/>
          </w:tcPr>
          <w:p>
            <w:pPr>
              <w:jc w:val="center"/>
              <w:ind w:right="382"/>
              <w:spacing w:after="0" w:line="181" w:lineRule="exact"/>
              <w:rPr>
                <w:sz w:val="20"/>
                <w:szCs w:val="20"/>
                <w:color w:val="auto"/>
              </w:rPr>
            </w:pPr>
            <w:r>
              <w:rPr>
                <w:rFonts w:ascii="Arial" w:cs="Arial" w:eastAsia="Arial" w:hAnsi="Arial"/>
                <w:sz w:val="16"/>
                <w:szCs w:val="16"/>
                <w:color w:val="auto"/>
              </w:rPr>
              <w:t>-</w:t>
            </w:r>
          </w:p>
        </w:tc>
        <w:tc>
          <w:tcPr>
            <w:tcW w:w="1540" w:type="dxa"/>
            <w:vAlign w:val="bottom"/>
            <w:shd w:val="clear" w:color="auto" w:fill="9DBDE4"/>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3680" w:type="dxa"/>
            <w:vAlign w:val="bottom"/>
            <w:tcBorders>
              <w:bottom w:val="single" w:sz="8" w:color="284993"/>
            </w:tcBorders>
          </w:tcPr>
          <w:p>
            <w:pPr>
              <w:ind w:left="80"/>
              <w:spacing w:after="0" w:line="181" w:lineRule="exact"/>
              <w:rPr>
                <w:sz w:val="20"/>
                <w:szCs w:val="20"/>
                <w:color w:val="auto"/>
              </w:rPr>
            </w:pPr>
            <w:r>
              <w:rPr>
                <w:rFonts w:ascii="Arial" w:cs="Arial" w:eastAsia="Arial" w:hAnsi="Arial"/>
                <w:sz w:val="16"/>
                <w:szCs w:val="16"/>
                <w:color w:val="auto"/>
              </w:rPr>
              <w:t>Did Not Disclose Demographic Background</w:t>
            </w:r>
          </w:p>
        </w:tc>
        <w:tc>
          <w:tcPr>
            <w:tcW w:w="1560" w:type="dxa"/>
            <w:vAlign w:val="bottom"/>
            <w:tcBorders>
              <w:bottom w:val="single" w:sz="8" w:color="284993"/>
            </w:tcBorders>
          </w:tcPr>
          <w:p>
            <w:pPr>
              <w:spacing w:after="0"/>
              <w:rPr>
                <w:sz w:val="15"/>
                <w:szCs w:val="15"/>
                <w:color w:val="auto"/>
              </w:rPr>
            </w:pPr>
          </w:p>
        </w:tc>
        <w:tc>
          <w:tcPr>
            <w:tcW w:w="1060" w:type="dxa"/>
            <w:vAlign w:val="bottom"/>
            <w:tcBorders>
              <w:bottom w:val="single" w:sz="8" w:color="284993"/>
            </w:tcBorders>
          </w:tcPr>
          <w:p>
            <w:pPr>
              <w:spacing w:after="0"/>
              <w:rPr>
                <w:sz w:val="15"/>
                <w:szCs w:val="15"/>
                <w:color w:val="auto"/>
              </w:rPr>
            </w:pPr>
          </w:p>
        </w:tc>
        <w:tc>
          <w:tcPr>
            <w:tcW w:w="1480" w:type="dxa"/>
            <w:vAlign w:val="bottom"/>
            <w:tcBorders>
              <w:bottom w:val="single" w:sz="8" w:color="284993"/>
            </w:tcBorders>
          </w:tcPr>
          <w:p>
            <w:pPr>
              <w:jc w:val="center"/>
              <w:ind w:right="382"/>
              <w:spacing w:after="0" w:line="181"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284993"/>
            </w:tcBorders>
          </w:tcPr>
          <w:p>
            <w:pPr>
              <w:spacing w:after="0"/>
              <w:rPr>
                <w:sz w:val="15"/>
                <w:szCs w:val="15"/>
                <w:color w:val="auto"/>
              </w:rPr>
            </w:pPr>
          </w:p>
        </w:tc>
        <w:tc>
          <w:tcPr>
            <w:tcW w:w="20" w:type="dxa"/>
            <w:vAlign w:val="bottom"/>
            <w:tcBorders>
              <w:bottom w:val="single" w:sz="8" w:color="284993"/>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-1750695</wp:posOffset>
            </wp:positionV>
            <wp:extent cx="3593465" cy="17513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93465" cy="1751330"/>
                    </a:xfrm>
                    <a:prstGeom prst="rect">
                      <a:avLst/>
                    </a:prstGeom>
                    <a:noFill/>
                  </pic:spPr>
                </pic:pic>
              </a:graphicData>
            </a:graphic>
          </wp:anchor>
        </w:drawing>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Board Diversity Matrix (Director Nominees)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shd w:val="clear" w:color="auto" w:fill="284993"/>
          </w:tcPr>
          <w:p>
            <w:pPr>
              <w:ind w:left="80"/>
              <w:spacing w:after="0"/>
              <w:rPr>
                <w:sz w:val="20"/>
                <w:szCs w:val="20"/>
                <w:color w:val="auto"/>
              </w:rPr>
            </w:pPr>
            <w:r>
              <w:rPr>
                <w:rFonts w:ascii="Arial" w:cs="Arial" w:eastAsia="Arial" w:hAnsi="Arial"/>
                <w:sz w:val="16"/>
                <w:szCs w:val="16"/>
                <w:b w:val="1"/>
                <w:bCs w:val="1"/>
                <w:color w:val="FFFFFF"/>
              </w:rPr>
              <w:t>Size:</w:t>
            </w:r>
          </w:p>
        </w:tc>
        <w:tc>
          <w:tcPr>
            <w:tcW w:w="1560" w:type="dxa"/>
            <w:vAlign w:val="bottom"/>
            <w:shd w:val="clear" w:color="auto" w:fill="284993"/>
          </w:tcPr>
          <w:p>
            <w:pPr>
              <w:spacing w:after="0"/>
              <w:rPr>
                <w:sz w:val="16"/>
                <w:szCs w:val="16"/>
                <w:color w:val="auto"/>
              </w:rPr>
            </w:pPr>
          </w:p>
        </w:tc>
        <w:tc>
          <w:tcPr>
            <w:tcW w:w="1080" w:type="dxa"/>
            <w:vAlign w:val="bottom"/>
            <w:shd w:val="clear" w:color="auto" w:fill="284993"/>
          </w:tcPr>
          <w:p>
            <w:pPr>
              <w:spacing w:after="0"/>
              <w:rPr>
                <w:sz w:val="16"/>
                <w:szCs w:val="16"/>
                <w:color w:val="auto"/>
              </w:rPr>
            </w:pPr>
          </w:p>
        </w:tc>
        <w:tc>
          <w:tcPr>
            <w:tcW w:w="1460" w:type="dxa"/>
            <w:vAlign w:val="bottom"/>
            <w:shd w:val="clear" w:color="auto" w:fill="284993"/>
          </w:tcPr>
          <w:p>
            <w:pPr>
              <w:spacing w:after="0"/>
              <w:rPr>
                <w:sz w:val="16"/>
                <w:szCs w:val="16"/>
                <w:color w:val="auto"/>
              </w:rPr>
            </w:pPr>
          </w:p>
        </w:tc>
        <w:tc>
          <w:tcPr>
            <w:tcW w:w="1520" w:type="dxa"/>
            <w:vAlign w:val="bottom"/>
            <w:shd w:val="clear" w:color="auto" w:fill="284993"/>
          </w:tcPr>
          <w:p>
            <w:pPr>
              <w:spacing w:after="0"/>
              <w:rPr>
                <w:sz w:val="16"/>
                <w:szCs w:val="16"/>
                <w:color w:val="auto"/>
              </w:rPr>
            </w:pPr>
          </w:p>
        </w:tc>
        <w:tc>
          <w:tcPr>
            <w:tcW w:w="20" w:type="dxa"/>
            <w:vAlign w:val="bottom"/>
          </w:tcPr>
          <w:p>
            <w:pPr>
              <w:spacing w:after="0"/>
              <w:rPr>
                <w:sz w:val="16"/>
                <w:szCs w:val="16"/>
                <w:color w:val="auto"/>
              </w:rPr>
            </w:pPr>
          </w:p>
        </w:tc>
      </w:tr>
      <w:tr>
        <w:trPr>
          <w:trHeight w:val="181"/>
        </w:trPr>
        <w:tc>
          <w:tcPr>
            <w:tcW w:w="370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Total Number of Director Nominees</w:t>
            </w:r>
          </w:p>
        </w:tc>
        <w:tc>
          <w:tcPr>
            <w:tcW w:w="1560" w:type="dxa"/>
            <w:vAlign w:val="bottom"/>
            <w:shd w:val="clear" w:color="auto" w:fill="9DBDE4"/>
          </w:tcPr>
          <w:p>
            <w:pPr>
              <w:spacing w:after="0"/>
              <w:rPr>
                <w:sz w:val="15"/>
                <w:szCs w:val="15"/>
                <w:color w:val="auto"/>
              </w:rPr>
            </w:pPr>
          </w:p>
        </w:tc>
        <w:tc>
          <w:tcPr>
            <w:tcW w:w="1080" w:type="dxa"/>
            <w:vAlign w:val="bottom"/>
            <w:shd w:val="clear" w:color="auto" w:fill="9DBDE4"/>
          </w:tcPr>
          <w:p>
            <w:pPr>
              <w:spacing w:after="0"/>
              <w:rPr>
                <w:sz w:val="15"/>
                <w:szCs w:val="15"/>
                <w:color w:val="auto"/>
              </w:rPr>
            </w:pPr>
          </w:p>
        </w:tc>
        <w:tc>
          <w:tcPr>
            <w:tcW w:w="1460" w:type="dxa"/>
            <w:vAlign w:val="bottom"/>
            <w:shd w:val="clear" w:color="auto" w:fill="9DBDE4"/>
          </w:tcPr>
          <w:p>
            <w:pPr>
              <w:jc w:val="center"/>
              <w:ind w:right="422"/>
              <w:spacing w:after="0" w:line="181" w:lineRule="exact"/>
              <w:rPr>
                <w:sz w:val="20"/>
                <w:szCs w:val="20"/>
                <w:color w:val="auto"/>
              </w:rPr>
            </w:pPr>
            <w:r>
              <w:rPr>
                <w:rFonts w:ascii="Arial" w:cs="Arial" w:eastAsia="Arial" w:hAnsi="Arial"/>
                <w:sz w:val="16"/>
                <w:szCs w:val="16"/>
                <w:color w:val="auto"/>
                <w:w w:val="89"/>
              </w:rPr>
              <w:t>7</w:t>
            </w:r>
          </w:p>
        </w:tc>
        <w:tc>
          <w:tcPr>
            <w:tcW w:w="1520" w:type="dxa"/>
            <w:vAlign w:val="bottom"/>
            <w:shd w:val="clear" w:color="auto" w:fill="9DBDE4"/>
          </w:tcPr>
          <w:p>
            <w:pPr>
              <w:spacing w:after="0"/>
              <w:rPr>
                <w:sz w:val="15"/>
                <w:szCs w:val="15"/>
                <w:color w:val="auto"/>
              </w:rPr>
            </w:pPr>
          </w:p>
        </w:tc>
        <w:tc>
          <w:tcPr>
            <w:tcW w:w="20" w:type="dxa"/>
            <w:vAlign w:val="bottom"/>
          </w:tcPr>
          <w:p>
            <w:pPr>
              <w:spacing w:after="0"/>
              <w:rPr>
                <w:sz w:val="15"/>
                <w:szCs w:val="15"/>
                <w:color w:val="auto"/>
              </w:rPr>
            </w:pPr>
          </w:p>
        </w:tc>
      </w:tr>
      <w:tr>
        <w:trPr>
          <w:trHeight w:val="167"/>
        </w:trPr>
        <w:tc>
          <w:tcPr>
            <w:tcW w:w="3700" w:type="dxa"/>
            <w:vAlign w:val="bottom"/>
          </w:tcPr>
          <w:p>
            <w:pPr>
              <w:spacing w:after="0"/>
              <w:rPr>
                <w:sz w:val="14"/>
                <w:szCs w:val="14"/>
                <w:color w:val="auto"/>
              </w:rPr>
            </w:pPr>
          </w:p>
        </w:tc>
        <w:tc>
          <w:tcPr>
            <w:tcW w:w="1560" w:type="dxa"/>
            <w:vAlign w:val="bottom"/>
            <w:shd w:val="clear" w:color="auto" w:fill="284993"/>
          </w:tcPr>
          <w:p>
            <w:pPr>
              <w:spacing w:after="0"/>
              <w:rPr>
                <w:sz w:val="14"/>
                <w:szCs w:val="14"/>
                <w:color w:val="auto"/>
              </w:rPr>
            </w:pPr>
          </w:p>
        </w:tc>
        <w:tc>
          <w:tcPr>
            <w:tcW w:w="1080" w:type="dxa"/>
            <w:vAlign w:val="bottom"/>
            <w:shd w:val="clear" w:color="auto" w:fill="284993"/>
          </w:tcPr>
          <w:p>
            <w:pPr>
              <w:spacing w:after="0"/>
              <w:rPr>
                <w:sz w:val="14"/>
                <w:szCs w:val="14"/>
                <w:color w:val="auto"/>
              </w:rPr>
            </w:pPr>
          </w:p>
        </w:tc>
        <w:tc>
          <w:tcPr>
            <w:tcW w:w="1460" w:type="dxa"/>
            <w:vAlign w:val="bottom"/>
            <w:shd w:val="clear" w:color="auto" w:fill="284993"/>
          </w:tcPr>
          <w:p>
            <w:pPr>
              <w:spacing w:after="0"/>
              <w:rPr>
                <w:sz w:val="14"/>
                <w:szCs w:val="14"/>
                <w:color w:val="auto"/>
              </w:rPr>
            </w:pPr>
          </w:p>
        </w:tc>
        <w:tc>
          <w:tcPr>
            <w:tcW w:w="1520" w:type="dxa"/>
            <w:vAlign w:val="bottom"/>
            <w:shd w:val="clear" w:color="auto" w:fill="284993"/>
          </w:tcPr>
          <w:p>
            <w:pPr>
              <w:jc w:val="center"/>
              <w:ind w:left="182"/>
              <w:spacing w:after="0" w:line="167" w:lineRule="exact"/>
              <w:rPr>
                <w:sz w:val="20"/>
                <w:szCs w:val="20"/>
                <w:color w:val="auto"/>
              </w:rPr>
            </w:pPr>
            <w:r>
              <w:rPr>
                <w:rFonts w:ascii="Arial" w:cs="Arial" w:eastAsia="Arial" w:hAnsi="Arial"/>
                <w:sz w:val="16"/>
                <w:szCs w:val="16"/>
                <w:b w:val="1"/>
                <w:bCs w:val="1"/>
                <w:color w:val="FFFFFF"/>
                <w:w w:val="97"/>
              </w:rPr>
              <w:t>Did not</w:t>
            </w:r>
          </w:p>
        </w:tc>
        <w:tc>
          <w:tcPr>
            <w:tcW w:w="20" w:type="dxa"/>
            <w:vAlign w:val="bottom"/>
          </w:tcPr>
          <w:p>
            <w:pPr>
              <w:spacing w:after="0"/>
              <w:rPr>
                <w:sz w:val="14"/>
                <w:szCs w:val="14"/>
                <w:color w:val="auto"/>
              </w:rPr>
            </w:pPr>
          </w:p>
        </w:tc>
      </w:tr>
      <w:tr>
        <w:trPr>
          <w:trHeight w:val="208"/>
        </w:trPr>
        <w:tc>
          <w:tcPr>
            <w:tcW w:w="3700" w:type="dxa"/>
            <w:vAlign w:val="bottom"/>
          </w:tcPr>
          <w:p>
            <w:pPr>
              <w:spacing w:after="0"/>
              <w:rPr>
                <w:sz w:val="18"/>
                <w:szCs w:val="18"/>
                <w:color w:val="auto"/>
              </w:rPr>
            </w:pPr>
          </w:p>
        </w:tc>
        <w:tc>
          <w:tcPr>
            <w:tcW w:w="1560" w:type="dxa"/>
            <w:vAlign w:val="bottom"/>
            <w:shd w:val="clear" w:color="auto" w:fill="284993"/>
          </w:tcPr>
          <w:p>
            <w:pPr>
              <w:ind w:left="660"/>
              <w:spacing w:after="0"/>
              <w:rPr>
                <w:sz w:val="20"/>
                <w:szCs w:val="20"/>
                <w:color w:val="auto"/>
              </w:rPr>
            </w:pPr>
            <w:r>
              <w:rPr>
                <w:rFonts w:ascii="Arial" w:cs="Arial" w:eastAsia="Arial" w:hAnsi="Arial"/>
                <w:sz w:val="16"/>
                <w:szCs w:val="16"/>
                <w:b w:val="1"/>
                <w:bCs w:val="1"/>
                <w:color w:val="FFFFFF"/>
              </w:rPr>
              <w:t>Female</w:t>
            </w:r>
          </w:p>
        </w:tc>
        <w:tc>
          <w:tcPr>
            <w:tcW w:w="1080" w:type="dxa"/>
            <w:vAlign w:val="bottom"/>
            <w:shd w:val="clear" w:color="auto" w:fill="284993"/>
          </w:tcPr>
          <w:p>
            <w:pPr>
              <w:ind w:left="380"/>
              <w:spacing w:after="0"/>
              <w:rPr>
                <w:sz w:val="20"/>
                <w:szCs w:val="20"/>
                <w:color w:val="auto"/>
              </w:rPr>
            </w:pPr>
            <w:r>
              <w:rPr>
                <w:rFonts w:ascii="Arial" w:cs="Arial" w:eastAsia="Arial" w:hAnsi="Arial"/>
                <w:sz w:val="16"/>
                <w:szCs w:val="16"/>
                <w:b w:val="1"/>
                <w:bCs w:val="1"/>
                <w:color w:val="FFFFFF"/>
              </w:rPr>
              <w:t>Male</w:t>
            </w:r>
          </w:p>
        </w:tc>
        <w:tc>
          <w:tcPr>
            <w:tcW w:w="1460" w:type="dxa"/>
            <w:vAlign w:val="bottom"/>
            <w:shd w:val="clear" w:color="auto" w:fill="284993"/>
          </w:tcPr>
          <w:p>
            <w:pPr>
              <w:jc w:val="center"/>
              <w:ind w:left="22"/>
              <w:spacing w:after="0"/>
              <w:rPr>
                <w:sz w:val="20"/>
                <w:szCs w:val="20"/>
                <w:color w:val="auto"/>
              </w:rPr>
            </w:pPr>
            <w:r>
              <w:rPr>
                <w:rFonts w:ascii="Arial" w:cs="Arial" w:eastAsia="Arial" w:hAnsi="Arial"/>
                <w:sz w:val="16"/>
                <w:szCs w:val="16"/>
                <w:b w:val="1"/>
                <w:bCs w:val="1"/>
                <w:color w:val="FFFFFF"/>
                <w:w w:val="97"/>
              </w:rPr>
              <w:t>Non-Binary</w:t>
            </w:r>
          </w:p>
        </w:tc>
        <w:tc>
          <w:tcPr>
            <w:tcW w:w="1520" w:type="dxa"/>
            <w:vAlign w:val="bottom"/>
            <w:shd w:val="clear" w:color="auto" w:fill="284993"/>
          </w:tcPr>
          <w:p>
            <w:pPr>
              <w:jc w:val="center"/>
              <w:ind w:left="142"/>
              <w:spacing w:after="0"/>
              <w:rPr>
                <w:sz w:val="20"/>
                <w:szCs w:val="20"/>
                <w:color w:val="auto"/>
              </w:rPr>
            </w:pPr>
            <w:r>
              <w:rPr>
                <w:rFonts w:ascii="Arial" w:cs="Arial" w:eastAsia="Arial" w:hAnsi="Arial"/>
                <w:sz w:val="16"/>
                <w:szCs w:val="16"/>
                <w:b w:val="1"/>
                <w:bCs w:val="1"/>
                <w:color w:val="FFFFFF"/>
                <w:w w:val="96"/>
              </w:rPr>
              <w:t>Disclose Gender</w:t>
            </w:r>
          </w:p>
        </w:tc>
        <w:tc>
          <w:tcPr>
            <w:tcW w:w="20" w:type="dxa"/>
            <w:vAlign w:val="bottom"/>
          </w:tcPr>
          <w:p>
            <w:pPr>
              <w:spacing w:after="0"/>
              <w:rPr>
                <w:sz w:val="18"/>
                <w:szCs w:val="18"/>
                <w:color w:val="auto"/>
              </w:rPr>
            </w:pPr>
          </w:p>
        </w:tc>
      </w:tr>
      <w:tr>
        <w:trPr>
          <w:trHeight w:val="194"/>
        </w:trPr>
        <w:tc>
          <w:tcPr>
            <w:tcW w:w="3700" w:type="dxa"/>
            <w:vAlign w:val="bottom"/>
            <w:shd w:val="clear" w:color="auto" w:fill="284993"/>
          </w:tcPr>
          <w:p>
            <w:pPr>
              <w:ind w:left="80"/>
              <w:spacing w:after="0"/>
              <w:rPr>
                <w:sz w:val="20"/>
                <w:szCs w:val="20"/>
                <w:color w:val="auto"/>
              </w:rPr>
            </w:pPr>
            <w:r>
              <w:rPr>
                <w:rFonts w:ascii="Arial" w:cs="Arial" w:eastAsia="Arial" w:hAnsi="Arial"/>
                <w:sz w:val="16"/>
                <w:szCs w:val="16"/>
                <w:b w:val="1"/>
                <w:bCs w:val="1"/>
                <w:color w:val="FFFFFF"/>
              </w:rPr>
              <w:t>Gender Identity:</w:t>
            </w:r>
          </w:p>
        </w:tc>
        <w:tc>
          <w:tcPr>
            <w:tcW w:w="1560" w:type="dxa"/>
            <w:vAlign w:val="bottom"/>
            <w:shd w:val="clear" w:color="auto" w:fill="284993"/>
          </w:tcPr>
          <w:p>
            <w:pPr>
              <w:spacing w:after="0"/>
              <w:rPr>
                <w:sz w:val="16"/>
                <w:szCs w:val="16"/>
                <w:color w:val="auto"/>
              </w:rPr>
            </w:pPr>
          </w:p>
        </w:tc>
        <w:tc>
          <w:tcPr>
            <w:tcW w:w="1080" w:type="dxa"/>
            <w:vAlign w:val="bottom"/>
            <w:shd w:val="clear" w:color="auto" w:fill="284993"/>
          </w:tcPr>
          <w:p>
            <w:pPr>
              <w:spacing w:after="0"/>
              <w:rPr>
                <w:sz w:val="16"/>
                <w:szCs w:val="16"/>
                <w:color w:val="auto"/>
              </w:rPr>
            </w:pPr>
          </w:p>
        </w:tc>
        <w:tc>
          <w:tcPr>
            <w:tcW w:w="1460" w:type="dxa"/>
            <w:vAlign w:val="bottom"/>
            <w:shd w:val="clear" w:color="auto" w:fill="284993"/>
          </w:tcPr>
          <w:p>
            <w:pPr>
              <w:spacing w:after="0"/>
              <w:rPr>
                <w:sz w:val="16"/>
                <w:szCs w:val="16"/>
                <w:color w:val="auto"/>
              </w:rPr>
            </w:pPr>
          </w:p>
        </w:tc>
        <w:tc>
          <w:tcPr>
            <w:tcW w:w="1520" w:type="dxa"/>
            <w:vAlign w:val="bottom"/>
            <w:shd w:val="clear" w:color="auto" w:fill="284993"/>
          </w:tcPr>
          <w:p>
            <w:pPr>
              <w:spacing w:after="0"/>
              <w:rPr>
                <w:sz w:val="16"/>
                <w:szCs w:val="16"/>
                <w:color w:val="auto"/>
              </w:rPr>
            </w:pPr>
          </w:p>
        </w:tc>
        <w:tc>
          <w:tcPr>
            <w:tcW w:w="20" w:type="dxa"/>
            <w:vAlign w:val="bottom"/>
          </w:tcPr>
          <w:p>
            <w:pPr>
              <w:spacing w:after="0"/>
              <w:rPr>
                <w:sz w:val="16"/>
                <w:szCs w:val="16"/>
                <w:color w:val="auto"/>
              </w:rPr>
            </w:pPr>
          </w:p>
        </w:tc>
      </w:tr>
      <w:tr>
        <w:trPr>
          <w:trHeight w:val="181"/>
        </w:trPr>
        <w:tc>
          <w:tcPr>
            <w:tcW w:w="3700" w:type="dxa"/>
            <w:vAlign w:val="bottom"/>
          </w:tcPr>
          <w:p>
            <w:pPr>
              <w:ind w:left="80"/>
              <w:spacing w:after="0" w:line="181" w:lineRule="exact"/>
              <w:rPr>
                <w:sz w:val="20"/>
                <w:szCs w:val="20"/>
                <w:color w:val="auto"/>
              </w:rPr>
            </w:pPr>
            <w:r>
              <w:rPr>
                <w:rFonts w:ascii="Arial" w:cs="Arial" w:eastAsia="Arial" w:hAnsi="Arial"/>
                <w:sz w:val="16"/>
                <w:szCs w:val="16"/>
                <w:color w:val="auto"/>
              </w:rPr>
              <w:t>Directors</w:t>
            </w:r>
          </w:p>
        </w:tc>
        <w:tc>
          <w:tcPr>
            <w:tcW w:w="1560" w:type="dxa"/>
            <w:vAlign w:val="bottom"/>
          </w:tcPr>
          <w:p>
            <w:pPr>
              <w:jc w:val="center"/>
              <w:ind w:left="222"/>
              <w:spacing w:after="0" w:line="181" w:lineRule="exact"/>
              <w:rPr>
                <w:sz w:val="20"/>
                <w:szCs w:val="20"/>
                <w:color w:val="auto"/>
              </w:rPr>
            </w:pPr>
            <w:r>
              <w:rPr>
                <w:rFonts w:ascii="Arial" w:cs="Arial" w:eastAsia="Arial" w:hAnsi="Arial"/>
                <w:sz w:val="16"/>
                <w:szCs w:val="16"/>
                <w:color w:val="auto"/>
              </w:rPr>
              <w:t>2</w:t>
            </w:r>
          </w:p>
        </w:tc>
        <w:tc>
          <w:tcPr>
            <w:tcW w:w="1080" w:type="dxa"/>
            <w:vAlign w:val="bottom"/>
          </w:tcPr>
          <w:p>
            <w:pPr>
              <w:jc w:val="center"/>
              <w:spacing w:after="0" w:line="181" w:lineRule="exact"/>
              <w:rPr>
                <w:sz w:val="20"/>
                <w:szCs w:val="20"/>
                <w:color w:val="auto"/>
              </w:rPr>
            </w:pPr>
            <w:r>
              <w:rPr>
                <w:rFonts w:ascii="Arial" w:cs="Arial" w:eastAsia="Arial" w:hAnsi="Arial"/>
                <w:sz w:val="16"/>
                <w:szCs w:val="16"/>
                <w:color w:val="auto"/>
                <w:w w:val="89"/>
              </w:rPr>
              <w:t>5</w:t>
            </w:r>
          </w:p>
        </w:tc>
        <w:tc>
          <w:tcPr>
            <w:tcW w:w="1460" w:type="dxa"/>
            <w:vAlign w:val="bottom"/>
          </w:tcPr>
          <w:p>
            <w:pPr>
              <w:jc w:val="center"/>
              <w:ind w:left="42"/>
              <w:spacing w:after="0" w:line="181" w:lineRule="exact"/>
              <w:rPr>
                <w:sz w:val="20"/>
                <w:szCs w:val="20"/>
                <w:color w:val="auto"/>
              </w:rPr>
            </w:pPr>
            <w:r>
              <w:rPr>
                <w:rFonts w:ascii="Arial" w:cs="Arial" w:eastAsia="Arial" w:hAnsi="Arial"/>
                <w:sz w:val="16"/>
                <w:szCs w:val="16"/>
                <w:color w:val="auto"/>
              </w:rPr>
              <w:t>-</w:t>
            </w:r>
          </w:p>
        </w:tc>
        <w:tc>
          <w:tcPr>
            <w:tcW w:w="1520" w:type="dxa"/>
            <w:vAlign w:val="bottom"/>
          </w:tcPr>
          <w:p>
            <w:pPr>
              <w:jc w:val="center"/>
              <w:ind w:left="18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700" w:type="dxa"/>
            <w:vAlign w:val="bottom"/>
            <w:shd w:val="clear" w:color="auto" w:fill="284993"/>
          </w:tcPr>
          <w:p>
            <w:pPr>
              <w:ind w:left="80"/>
              <w:spacing w:after="0" w:line="181" w:lineRule="exact"/>
              <w:rPr>
                <w:sz w:val="20"/>
                <w:szCs w:val="20"/>
                <w:color w:val="auto"/>
              </w:rPr>
            </w:pPr>
            <w:r>
              <w:rPr>
                <w:rFonts w:ascii="Arial" w:cs="Arial" w:eastAsia="Arial" w:hAnsi="Arial"/>
                <w:sz w:val="16"/>
                <w:szCs w:val="16"/>
                <w:b w:val="1"/>
                <w:bCs w:val="1"/>
                <w:color w:val="FFFFFF"/>
              </w:rPr>
              <w:t>Demographic Background:</w:t>
            </w:r>
          </w:p>
        </w:tc>
        <w:tc>
          <w:tcPr>
            <w:tcW w:w="1560" w:type="dxa"/>
            <w:vAlign w:val="bottom"/>
            <w:shd w:val="clear" w:color="auto" w:fill="284993"/>
          </w:tcPr>
          <w:p>
            <w:pPr>
              <w:spacing w:after="0"/>
              <w:rPr>
                <w:sz w:val="15"/>
                <w:szCs w:val="15"/>
                <w:color w:val="auto"/>
              </w:rPr>
            </w:pPr>
          </w:p>
        </w:tc>
        <w:tc>
          <w:tcPr>
            <w:tcW w:w="1080" w:type="dxa"/>
            <w:vAlign w:val="bottom"/>
            <w:shd w:val="clear" w:color="auto" w:fill="284993"/>
          </w:tcPr>
          <w:p>
            <w:pPr>
              <w:spacing w:after="0"/>
              <w:rPr>
                <w:sz w:val="15"/>
                <w:szCs w:val="15"/>
                <w:color w:val="auto"/>
              </w:rPr>
            </w:pPr>
          </w:p>
        </w:tc>
        <w:tc>
          <w:tcPr>
            <w:tcW w:w="1460" w:type="dxa"/>
            <w:vAlign w:val="bottom"/>
            <w:shd w:val="clear" w:color="auto" w:fill="284993"/>
          </w:tcPr>
          <w:p>
            <w:pPr>
              <w:spacing w:after="0"/>
              <w:rPr>
                <w:sz w:val="15"/>
                <w:szCs w:val="15"/>
                <w:color w:val="auto"/>
              </w:rPr>
            </w:pPr>
          </w:p>
        </w:tc>
        <w:tc>
          <w:tcPr>
            <w:tcW w:w="1520" w:type="dxa"/>
            <w:vAlign w:val="bottom"/>
            <w:shd w:val="clear" w:color="auto" w:fill="284993"/>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370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African American or Black</w:t>
            </w:r>
          </w:p>
        </w:tc>
        <w:tc>
          <w:tcPr>
            <w:tcW w:w="1560" w:type="dxa"/>
            <w:vAlign w:val="bottom"/>
            <w:shd w:val="clear" w:color="auto" w:fill="9DBDE4"/>
          </w:tcPr>
          <w:p>
            <w:pPr>
              <w:jc w:val="center"/>
              <w:ind w:left="222"/>
              <w:spacing w:after="0" w:line="181" w:lineRule="exact"/>
              <w:rPr>
                <w:sz w:val="20"/>
                <w:szCs w:val="20"/>
                <w:color w:val="auto"/>
              </w:rPr>
            </w:pPr>
            <w:r>
              <w:rPr>
                <w:rFonts w:ascii="Arial" w:cs="Arial" w:eastAsia="Arial" w:hAnsi="Arial"/>
                <w:sz w:val="16"/>
                <w:szCs w:val="16"/>
                <w:color w:val="auto"/>
              </w:rPr>
              <w:t>-</w:t>
            </w:r>
          </w:p>
        </w:tc>
        <w:tc>
          <w:tcPr>
            <w:tcW w:w="1080" w:type="dxa"/>
            <w:vAlign w:val="bottom"/>
            <w:shd w:val="clear" w:color="auto" w:fill="9DBDE4"/>
          </w:tcPr>
          <w:p>
            <w:pPr>
              <w:jc w:val="center"/>
              <w:spacing w:after="0" w:line="181" w:lineRule="exact"/>
              <w:rPr>
                <w:sz w:val="20"/>
                <w:szCs w:val="20"/>
                <w:color w:val="auto"/>
              </w:rPr>
            </w:pPr>
            <w:r>
              <w:rPr>
                <w:rFonts w:ascii="Arial" w:cs="Arial" w:eastAsia="Arial" w:hAnsi="Arial"/>
                <w:sz w:val="16"/>
                <w:szCs w:val="16"/>
                <w:color w:val="auto"/>
                <w:w w:val="74"/>
              </w:rPr>
              <w:t>-</w:t>
            </w:r>
          </w:p>
        </w:tc>
        <w:tc>
          <w:tcPr>
            <w:tcW w:w="1460" w:type="dxa"/>
            <w:vAlign w:val="bottom"/>
            <w:shd w:val="clear" w:color="auto" w:fill="9DBDE4"/>
          </w:tcPr>
          <w:p>
            <w:pPr>
              <w:jc w:val="center"/>
              <w:ind w:left="42"/>
              <w:spacing w:after="0" w:line="181" w:lineRule="exact"/>
              <w:rPr>
                <w:sz w:val="20"/>
                <w:szCs w:val="20"/>
                <w:color w:val="auto"/>
              </w:rPr>
            </w:pPr>
            <w:r>
              <w:rPr>
                <w:rFonts w:ascii="Arial" w:cs="Arial" w:eastAsia="Arial" w:hAnsi="Arial"/>
                <w:sz w:val="16"/>
                <w:szCs w:val="16"/>
                <w:color w:val="auto"/>
              </w:rPr>
              <w:t>-</w:t>
            </w:r>
          </w:p>
        </w:tc>
        <w:tc>
          <w:tcPr>
            <w:tcW w:w="1520" w:type="dxa"/>
            <w:vAlign w:val="bottom"/>
            <w:shd w:val="clear" w:color="auto" w:fill="9DBDE4"/>
          </w:tcPr>
          <w:p>
            <w:pPr>
              <w:jc w:val="center"/>
              <w:ind w:left="18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700" w:type="dxa"/>
            <w:vAlign w:val="bottom"/>
          </w:tcPr>
          <w:p>
            <w:pPr>
              <w:ind w:left="80"/>
              <w:spacing w:after="0" w:line="181" w:lineRule="exact"/>
              <w:rPr>
                <w:sz w:val="20"/>
                <w:szCs w:val="20"/>
                <w:color w:val="auto"/>
              </w:rPr>
            </w:pPr>
            <w:r>
              <w:rPr>
                <w:rFonts w:ascii="Arial" w:cs="Arial" w:eastAsia="Arial" w:hAnsi="Arial"/>
                <w:sz w:val="16"/>
                <w:szCs w:val="16"/>
                <w:color w:val="auto"/>
              </w:rPr>
              <w:t>Alaskan Native or Native American</w:t>
            </w:r>
          </w:p>
        </w:tc>
        <w:tc>
          <w:tcPr>
            <w:tcW w:w="1560" w:type="dxa"/>
            <w:vAlign w:val="bottom"/>
          </w:tcPr>
          <w:p>
            <w:pPr>
              <w:jc w:val="center"/>
              <w:ind w:left="222"/>
              <w:spacing w:after="0" w:line="181" w:lineRule="exact"/>
              <w:rPr>
                <w:sz w:val="20"/>
                <w:szCs w:val="20"/>
                <w:color w:val="auto"/>
              </w:rPr>
            </w:pPr>
            <w:r>
              <w:rPr>
                <w:rFonts w:ascii="Arial" w:cs="Arial" w:eastAsia="Arial" w:hAnsi="Arial"/>
                <w:sz w:val="16"/>
                <w:szCs w:val="16"/>
                <w:color w:val="auto"/>
              </w:rPr>
              <w:t>-</w:t>
            </w:r>
          </w:p>
        </w:tc>
        <w:tc>
          <w:tcPr>
            <w:tcW w:w="1080" w:type="dxa"/>
            <w:vAlign w:val="bottom"/>
          </w:tcPr>
          <w:p>
            <w:pPr>
              <w:jc w:val="center"/>
              <w:spacing w:after="0" w:line="181" w:lineRule="exact"/>
              <w:rPr>
                <w:sz w:val="20"/>
                <w:szCs w:val="20"/>
                <w:color w:val="auto"/>
              </w:rPr>
            </w:pPr>
            <w:r>
              <w:rPr>
                <w:rFonts w:ascii="Arial" w:cs="Arial" w:eastAsia="Arial" w:hAnsi="Arial"/>
                <w:sz w:val="16"/>
                <w:szCs w:val="16"/>
                <w:color w:val="auto"/>
                <w:w w:val="74"/>
              </w:rPr>
              <w:t>-</w:t>
            </w:r>
          </w:p>
        </w:tc>
        <w:tc>
          <w:tcPr>
            <w:tcW w:w="1460" w:type="dxa"/>
            <w:vAlign w:val="bottom"/>
          </w:tcPr>
          <w:p>
            <w:pPr>
              <w:jc w:val="center"/>
              <w:ind w:left="42"/>
              <w:spacing w:after="0" w:line="181" w:lineRule="exact"/>
              <w:rPr>
                <w:sz w:val="20"/>
                <w:szCs w:val="20"/>
                <w:color w:val="auto"/>
              </w:rPr>
            </w:pPr>
            <w:r>
              <w:rPr>
                <w:rFonts w:ascii="Arial" w:cs="Arial" w:eastAsia="Arial" w:hAnsi="Arial"/>
                <w:sz w:val="16"/>
                <w:szCs w:val="16"/>
                <w:color w:val="auto"/>
              </w:rPr>
              <w:t>-</w:t>
            </w:r>
          </w:p>
        </w:tc>
        <w:tc>
          <w:tcPr>
            <w:tcW w:w="1520" w:type="dxa"/>
            <w:vAlign w:val="bottom"/>
          </w:tcPr>
          <w:p>
            <w:pPr>
              <w:jc w:val="center"/>
              <w:ind w:left="18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70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Asian</w:t>
            </w:r>
          </w:p>
        </w:tc>
        <w:tc>
          <w:tcPr>
            <w:tcW w:w="1560" w:type="dxa"/>
            <w:vAlign w:val="bottom"/>
            <w:shd w:val="clear" w:color="auto" w:fill="9DBDE4"/>
          </w:tcPr>
          <w:p>
            <w:pPr>
              <w:jc w:val="center"/>
              <w:ind w:left="222"/>
              <w:spacing w:after="0" w:line="181" w:lineRule="exact"/>
              <w:rPr>
                <w:sz w:val="20"/>
                <w:szCs w:val="20"/>
                <w:color w:val="auto"/>
              </w:rPr>
            </w:pPr>
            <w:r>
              <w:rPr>
                <w:rFonts w:ascii="Arial" w:cs="Arial" w:eastAsia="Arial" w:hAnsi="Arial"/>
                <w:sz w:val="16"/>
                <w:szCs w:val="16"/>
                <w:color w:val="auto"/>
              </w:rPr>
              <w:t>-</w:t>
            </w:r>
          </w:p>
        </w:tc>
        <w:tc>
          <w:tcPr>
            <w:tcW w:w="1080" w:type="dxa"/>
            <w:vAlign w:val="bottom"/>
            <w:shd w:val="clear" w:color="auto" w:fill="9DBDE4"/>
          </w:tcPr>
          <w:p>
            <w:pPr>
              <w:jc w:val="center"/>
              <w:spacing w:after="0" w:line="181" w:lineRule="exact"/>
              <w:rPr>
                <w:sz w:val="20"/>
                <w:szCs w:val="20"/>
                <w:color w:val="auto"/>
              </w:rPr>
            </w:pPr>
            <w:r>
              <w:rPr>
                <w:rFonts w:ascii="Arial" w:cs="Arial" w:eastAsia="Arial" w:hAnsi="Arial"/>
                <w:sz w:val="16"/>
                <w:szCs w:val="16"/>
                <w:color w:val="auto"/>
                <w:w w:val="74"/>
              </w:rPr>
              <w:t>-</w:t>
            </w:r>
          </w:p>
        </w:tc>
        <w:tc>
          <w:tcPr>
            <w:tcW w:w="1460" w:type="dxa"/>
            <w:vAlign w:val="bottom"/>
            <w:shd w:val="clear" w:color="auto" w:fill="9DBDE4"/>
          </w:tcPr>
          <w:p>
            <w:pPr>
              <w:jc w:val="center"/>
              <w:ind w:left="42"/>
              <w:spacing w:after="0" w:line="181" w:lineRule="exact"/>
              <w:rPr>
                <w:sz w:val="20"/>
                <w:szCs w:val="20"/>
                <w:color w:val="auto"/>
              </w:rPr>
            </w:pPr>
            <w:r>
              <w:rPr>
                <w:rFonts w:ascii="Arial" w:cs="Arial" w:eastAsia="Arial" w:hAnsi="Arial"/>
                <w:sz w:val="16"/>
                <w:szCs w:val="16"/>
                <w:color w:val="auto"/>
              </w:rPr>
              <w:t>-</w:t>
            </w:r>
          </w:p>
        </w:tc>
        <w:tc>
          <w:tcPr>
            <w:tcW w:w="1520" w:type="dxa"/>
            <w:vAlign w:val="bottom"/>
            <w:shd w:val="clear" w:color="auto" w:fill="9DBDE4"/>
          </w:tcPr>
          <w:p>
            <w:pPr>
              <w:jc w:val="center"/>
              <w:ind w:left="18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700" w:type="dxa"/>
            <w:vAlign w:val="bottom"/>
          </w:tcPr>
          <w:p>
            <w:pPr>
              <w:ind w:left="80"/>
              <w:spacing w:after="0" w:line="181" w:lineRule="exact"/>
              <w:rPr>
                <w:sz w:val="20"/>
                <w:szCs w:val="20"/>
                <w:color w:val="auto"/>
              </w:rPr>
            </w:pPr>
            <w:r>
              <w:rPr>
                <w:rFonts w:ascii="Arial" w:cs="Arial" w:eastAsia="Arial" w:hAnsi="Arial"/>
                <w:sz w:val="16"/>
                <w:szCs w:val="16"/>
                <w:color w:val="auto"/>
              </w:rPr>
              <w:t>Hispanic or Latinx</w:t>
            </w:r>
          </w:p>
        </w:tc>
        <w:tc>
          <w:tcPr>
            <w:tcW w:w="1560" w:type="dxa"/>
            <w:vAlign w:val="bottom"/>
          </w:tcPr>
          <w:p>
            <w:pPr>
              <w:jc w:val="center"/>
              <w:ind w:left="222"/>
              <w:spacing w:after="0" w:line="181" w:lineRule="exact"/>
              <w:rPr>
                <w:sz w:val="20"/>
                <w:szCs w:val="20"/>
                <w:color w:val="auto"/>
              </w:rPr>
            </w:pPr>
            <w:r>
              <w:rPr>
                <w:rFonts w:ascii="Arial" w:cs="Arial" w:eastAsia="Arial" w:hAnsi="Arial"/>
                <w:sz w:val="16"/>
                <w:szCs w:val="16"/>
                <w:color w:val="auto"/>
              </w:rPr>
              <w:t>-</w:t>
            </w:r>
          </w:p>
        </w:tc>
        <w:tc>
          <w:tcPr>
            <w:tcW w:w="1080" w:type="dxa"/>
            <w:vAlign w:val="bottom"/>
          </w:tcPr>
          <w:p>
            <w:pPr>
              <w:jc w:val="center"/>
              <w:spacing w:after="0" w:line="181" w:lineRule="exact"/>
              <w:rPr>
                <w:sz w:val="20"/>
                <w:szCs w:val="20"/>
                <w:color w:val="auto"/>
              </w:rPr>
            </w:pPr>
            <w:r>
              <w:rPr>
                <w:rFonts w:ascii="Arial" w:cs="Arial" w:eastAsia="Arial" w:hAnsi="Arial"/>
                <w:sz w:val="16"/>
                <w:szCs w:val="16"/>
                <w:color w:val="auto"/>
                <w:w w:val="89"/>
              </w:rPr>
              <w:t>1</w:t>
            </w:r>
          </w:p>
        </w:tc>
        <w:tc>
          <w:tcPr>
            <w:tcW w:w="1460" w:type="dxa"/>
            <w:vAlign w:val="bottom"/>
          </w:tcPr>
          <w:p>
            <w:pPr>
              <w:jc w:val="center"/>
              <w:ind w:left="42"/>
              <w:spacing w:after="0" w:line="181" w:lineRule="exact"/>
              <w:rPr>
                <w:sz w:val="20"/>
                <w:szCs w:val="20"/>
                <w:color w:val="auto"/>
              </w:rPr>
            </w:pPr>
            <w:r>
              <w:rPr>
                <w:rFonts w:ascii="Arial" w:cs="Arial" w:eastAsia="Arial" w:hAnsi="Arial"/>
                <w:sz w:val="16"/>
                <w:szCs w:val="16"/>
                <w:color w:val="auto"/>
              </w:rPr>
              <w:t>-</w:t>
            </w:r>
          </w:p>
        </w:tc>
        <w:tc>
          <w:tcPr>
            <w:tcW w:w="1520" w:type="dxa"/>
            <w:vAlign w:val="bottom"/>
          </w:tcPr>
          <w:p>
            <w:pPr>
              <w:jc w:val="center"/>
              <w:ind w:left="18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70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Middle Eastern</w:t>
            </w:r>
          </w:p>
        </w:tc>
        <w:tc>
          <w:tcPr>
            <w:tcW w:w="1560" w:type="dxa"/>
            <w:vAlign w:val="bottom"/>
            <w:shd w:val="clear" w:color="auto" w:fill="9DBDE4"/>
          </w:tcPr>
          <w:p>
            <w:pPr>
              <w:jc w:val="center"/>
              <w:ind w:left="222"/>
              <w:spacing w:after="0" w:line="181" w:lineRule="exact"/>
              <w:rPr>
                <w:sz w:val="20"/>
                <w:szCs w:val="20"/>
                <w:color w:val="auto"/>
              </w:rPr>
            </w:pPr>
            <w:r>
              <w:rPr>
                <w:rFonts w:ascii="Arial" w:cs="Arial" w:eastAsia="Arial" w:hAnsi="Arial"/>
                <w:sz w:val="16"/>
                <w:szCs w:val="16"/>
                <w:color w:val="auto"/>
              </w:rPr>
              <w:t>-</w:t>
            </w:r>
          </w:p>
        </w:tc>
        <w:tc>
          <w:tcPr>
            <w:tcW w:w="1080" w:type="dxa"/>
            <w:vAlign w:val="bottom"/>
            <w:shd w:val="clear" w:color="auto" w:fill="9DBDE4"/>
          </w:tcPr>
          <w:p>
            <w:pPr>
              <w:jc w:val="center"/>
              <w:spacing w:after="0" w:line="181" w:lineRule="exact"/>
              <w:rPr>
                <w:sz w:val="20"/>
                <w:szCs w:val="20"/>
                <w:color w:val="auto"/>
              </w:rPr>
            </w:pPr>
            <w:r>
              <w:rPr>
                <w:rFonts w:ascii="Arial" w:cs="Arial" w:eastAsia="Arial" w:hAnsi="Arial"/>
                <w:sz w:val="16"/>
                <w:szCs w:val="16"/>
                <w:color w:val="auto"/>
                <w:w w:val="89"/>
              </w:rPr>
              <w:t>1</w:t>
            </w:r>
          </w:p>
        </w:tc>
        <w:tc>
          <w:tcPr>
            <w:tcW w:w="1460" w:type="dxa"/>
            <w:vAlign w:val="bottom"/>
            <w:shd w:val="clear" w:color="auto" w:fill="9DBDE4"/>
          </w:tcPr>
          <w:p>
            <w:pPr>
              <w:jc w:val="center"/>
              <w:ind w:left="42"/>
              <w:spacing w:after="0" w:line="181" w:lineRule="exact"/>
              <w:rPr>
                <w:sz w:val="20"/>
                <w:szCs w:val="20"/>
                <w:color w:val="auto"/>
              </w:rPr>
            </w:pPr>
            <w:r>
              <w:rPr>
                <w:rFonts w:ascii="Arial" w:cs="Arial" w:eastAsia="Arial" w:hAnsi="Arial"/>
                <w:sz w:val="16"/>
                <w:szCs w:val="16"/>
                <w:color w:val="auto"/>
              </w:rPr>
              <w:t>-</w:t>
            </w:r>
          </w:p>
        </w:tc>
        <w:tc>
          <w:tcPr>
            <w:tcW w:w="1520" w:type="dxa"/>
            <w:vAlign w:val="bottom"/>
            <w:shd w:val="clear" w:color="auto" w:fill="9DBDE4"/>
          </w:tcPr>
          <w:p>
            <w:pPr>
              <w:jc w:val="center"/>
              <w:ind w:left="18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700" w:type="dxa"/>
            <w:vAlign w:val="bottom"/>
          </w:tcPr>
          <w:p>
            <w:pPr>
              <w:ind w:left="80"/>
              <w:spacing w:after="0" w:line="181" w:lineRule="exact"/>
              <w:rPr>
                <w:sz w:val="20"/>
                <w:szCs w:val="20"/>
                <w:color w:val="auto"/>
              </w:rPr>
            </w:pPr>
            <w:r>
              <w:rPr>
                <w:rFonts w:ascii="Arial" w:cs="Arial" w:eastAsia="Arial" w:hAnsi="Arial"/>
                <w:sz w:val="16"/>
                <w:szCs w:val="16"/>
                <w:color w:val="auto"/>
              </w:rPr>
              <w:t>Native Hawaiian or Pacific Islander</w:t>
            </w:r>
          </w:p>
        </w:tc>
        <w:tc>
          <w:tcPr>
            <w:tcW w:w="1560" w:type="dxa"/>
            <w:vAlign w:val="bottom"/>
          </w:tcPr>
          <w:p>
            <w:pPr>
              <w:jc w:val="center"/>
              <w:ind w:left="222"/>
              <w:spacing w:after="0" w:line="181" w:lineRule="exact"/>
              <w:rPr>
                <w:sz w:val="20"/>
                <w:szCs w:val="20"/>
                <w:color w:val="auto"/>
              </w:rPr>
            </w:pPr>
            <w:r>
              <w:rPr>
                <w:rFonts w:ascii="Arial" w:cs="Arial" w:eastAsia="Arial" w:hAnsi="Arial"/>
                <w:sz w:val="16"/>
                <w:szCs w:val="16"/>
                <w:color w:val="auto"/>
              </w:rPr>
              <w:t>-</w:t>
            </w:r>
          </w:p>
        </w:tc>
        <w:tc>
          <w:tcPr>
            <w:tcW w:w="1080" w:type="dxa"/>
            <w:vAlign w:val="bottom"/>
          </w:tcPr>
          <w:p>
            <w:pPr>
              <w:jc w:val="center"/>
              <w:spacing w:after="0" w:line="181" w:lineRule="exact"/>
              <w:rPr>
                <w:sz w:val="20"/>
                <w:szCs w:val="20"/>
                <w:color w:val="auto"/>
              </w:rPr>
            </w:pPr>
            <w:r>
              <w:rPr>
                <w:rFonts w:ascii="Arial" w:cs="Arial" w:eastAsia="Arial" w:hAnsi="Arial"/>
                <w:sz w:val="16"/>
                <w:szCs w:val="16"/>
                <w:color w:val="auto"/>
                <w:w w:val="74"/>
              </w:rPr>
              <w:t>-</w:t>
            </w:r>
          </w:p>
        </w:tc>
        <w:tc>
          <w:tcPr>
            <w:tcW w:w="1460" w:type="dxa"/>
            <w:vAlign w:val="bottom"/>
          </w:tcPr>
          <w:p>
            <w:pPr>
              <w:jc w:val="center"/>
              <w:ind w:left="42"/>
              <w:spacing w:after="0" w:line="181" w:lineRule="exact"/>
              <w:rPr>
                <w:sz w:val="20"/>
                <w:szCs w:val="20"/>
                <w:color w:val="auto"/>
              </w:rPr>
            </w:pPr>
            <w:r>
              <w:rPr>
                <w:rFonts w:ascii="Arial" w:cs="Arial" w:eastAsia="Arial" w:hAnsi="Arial"/>
                <w:sz w:val="16"/>
                <w:szCs w:val="16"/>
                <w:color w:val="auto"/>
              </w:rPr>
              <w:t>-</w:t>
            </w:r>
          </w:p>
        </w:tc>
        <w:tc>
          <w:tcPr>
            <w:tcW w:w="1520" w:type="dxa"/>
            <w:vAlign w:val="bottom"/>
          </w:tcPr>
          <w:p>
            <w:pPr>
              <w:jc w:val="center"/>
              <w:ind w:left="18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70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White</w:t>
            </w:r>
          </w:p>
        </w:tc>
        <w:tc>
          <w:tcPr>
            <w:tcW w:w="1560" w:type="dxa"/>
            <w:vAlign w:val="bottom"/>
            <w:shd w:val="clear" w:color="auto" w:fill="9DBDE4"/>
          </w:tcPr>
          <w:p>
            <w:pPr>
              <w:jc w:val="center"/>
              <w:ind w:left="222"/>
              <w:spacing w:after="0" w:line="181" w:lineRule="exact"/>
              <w:rPr>
                <w:sz w:val="20"/>
                <w:szCs w:val="20"/>
                <w:color w:val="auto"/>
              </w:rPr>
            </w:pPr>
            <w:r>
              <w:rPr>
                <w:rFonts w:ascii="Arial" w:cs="Arial" w:eastAsia="Arial" w:hAnsi="Arial"/>
                <w:sz w:val="16"/>
                <w:szCs w:val="16"/>
                <w:color w:val="auto"/>
              </w:rPr>
              <w:t>2</w:t>
            </w:r>
          </w:p>
        </w:tc>
        <w:tc>
          <w:tcPr>
            <w:tcW w:w="1080" w:type="dxa"/>
            <w:vAlign w:val="bottom"/>
            <w:shd w:val="clear" w:color="auto" w:fill="9DBDE4"/>
          </w:tcPr>
          <w:p>
            <w:pPr>
              <w:jc w:val="center"/>
              <w:spacing w:after="0" w:line="181" w:lineRule="exact"/>
              <w:rPr>
                <w:sz w:val="20"/>
                <w:szCs w:val="20"/>
                <w:color w:val="auto"/>
              </w:rPr>
            </w:pPr>
            <w:r>
              <w:rPr>
                <w:rFonts w:ascii="Arial" w:cs="Arial" w:eastAsia="Arial" w:hAnsi="Arial"/>
                <w:sz w:val="16"/>
                <w:szCs w:val="16"/>
                <w:color w:val="auto"/>
                <w:w w:val="89"/>
              </w:rPr>
              <w:t>3</w:t>
            </w:r>
          </w:p>
        </w:tc>
        <w:tc>
          <w:tcPr>
            <w:tcW w:w="1460" w:type="dxa"/>
            <w:vAlign w:val="bottom"/>
            <w:shd w:val="clear" w:color="auto" w:fill="9DBDE4"/>
          </w:tcPr>
          <w:p>
            <w:pPr>
              <w:jc w:val="center"/>
              <w:ind w:left="42"/>
              <w:spacing w:after="0" w:line="181" w:lineRule="exact"/>
              <w:rPr>
                <w:sz w:val="20"/>
                <w:szCs w:val="20"/>
                <w:color w:val="auto"/>
              </w:rPr>
            </w:pPr>
            <w:r>
              <w:rPr>
                <w:rFonts w:ascii="Arial" w:cs="Arial" w:eastAsia="Arial" w:hAnsi="Arial"/>
                <w:sz w:val="16"/>
                <w:szCs w:val="16"/>
                <w:color w:val="auto"/>
              </w:rPr>
              <w:t>-</w:t>
            </w:r>
          </w:p>
        </w:tc>
        <w:tc>
          <w:tcPr>
            <w:tcW w:w="1520" w:type="dxa"/>
            <w:vAlign w:val="bottom"/>
            <w:shd w:val="clear" w:color="auto" w:fill="9DBDE4"/>
          </w:tcPr>
          <w:p>
            <w:pPr>
              <w:jc w:val="center"/>
              <w:ind w:left="18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700" w:type="dxa"/>
            <w:vAlign w:val="bottom"/>
          </w:tcPr>
          <w:p>
            <w:pPr>
              <w:ind w:left="80"/>
              <w:spacing w:after="0" w:line="181" w:lineRule="exact"/>
              <w:rPr>
                <w:sz w:val="20"/>
                <w:szCs w:val="20"/>
                <w:color w:val="auto"/>
              </w:rPr>
            </w:pPr>
            <w:r>
              <w:rPr>
                <w:rFonts w:ascii="Arial" w:cs="Arial" w:eastAsia="Arial" w:hAnsi="Arial"/>
                <w:sz w:val="16"/>
                <w:szCs w:val="16"/>
                <w:color w:val="auto"/>
              </w:rPr>
              <w:t>Two or More Races or Ethnicities</w:t>
            </w:r>
          </w:p>
        </w:tc>
        <w:tc>
          <w:tcPr>
            <w:tcW w:w="1560" w:type="dxa"/>
            <w:vAlign w:val="bottom"/>
          </w:tcPr>
          <w:p>
            <w:pPr>
              <w:jc w:val="center"/>
              <w:ind w:left="222"/>
              <w:spacing w:after="0" w:line="181" w:lineRule="exact"/>
              <w:rPr>
                <w:sz w:val="20"/>
                <w:szCs w:val="20"/>
                <w:color w:val="auto"/>
              </w:rPr>
            </w:pPr>
            <w:r>
              <w:rPr>
                <w:rFonts w:ascii="Arial" w:cs="Arial" w:eastAsia="Arial" w:hAnsi="Arial"/>
                <w:sz w:val="16"/>
                <w:szCs w:val="16"/>
                <w:color w:val="auto"/>
              </w:rPr>
              <w:t>-</w:t>
            </w:r>
          </w:p>
        </w:tc>
        <w:tc>
          <w:tcPr>
            <w:tcW w:w="1080" w:type="dxa"/>
            <w:vAlign w:val="bottom"/>
          </w:tcPr>
          <w:p>
            <w:pPr>
              <w:jc w:val="center"/>
              <w:spacing w:after="0" w:line="181" w:lineRule="exact"/>
              <w:rPr>
                <w:sz w:val="20"/>
                <w:szCs w:val="20"/>
                <w:color w:val="auto"/>
              </w:rPr>
            </w:pPr>
            <w:r>
              <w:rPr>
                <w:rFonts w:ascii="Arial" w:cs="Arial" w:eastAsia="Arial" w:hAnsi="Arial"/>
                <w:sz w:val="16"/>
                <w:szCs w:val="16"/>
                <w:color w:val="auto"/>
                <w:w w:val="74"/>
              </w:rPr>
              <w:t>-</w:t>
            </w:r>
          </w:p>
        </w:tc>
        <w:tc>
          <w:tcPr>
            <w:tcW w:w="1460" w:type="dxa"/>
            <w:vAlign w:val="bottom"/>
          </w:tcPr>
          <w:p>
            <w:pPr>
              <w:jc w:val="center"/>
              <w:ind w:left="42"/>
              <w:spacing w:after="0" w:line="181" w:lineRule="exact"/>
              <w:rPr>
                <w:sz w:val="20"/>
                <w:szCs w:val="20"/>
                <w:color w:val="auto"/>
              </w:rPr>
            </w:pPr>
            <w:r>
              <w:rPr>
                <w:rFonts w:ascii="Arial" w:cs="Arial" w:eastAsia="Arial" w:hAnsi="Arial"/>
                <w:sz w:val="16"/>
                <w:szCs w:val="16"/>
                <w:color w:val="auto"/>
              </w:rPr>
              <w:t>-</w:t>
            </w:r>
          </w:p>
        </w:tc>
        <w:tc>
          <w:tcPr>
            <w:tcW w:w="1520" w:type="dxa"/>
            <w:vAlign w:val="bottom"/>
          </w:tcPr>
          <w:p>
            <w:pPr>
              <w:jc w:val="center"/>
              <w:ind w:left="182"/>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1"/>
        </w:trPr>
        <w:tc>
          <w:tcPr>
            <w:tcW w:w="370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LGBTQ+</w:t>
            </w:r>
          </w:p>
        </w:tc>
        <w:tc>
          <w:tcPr>
            <w:tcW w:w="1560" w:type="dxa"/>
            <w:vAlign w:val="bottom"/>
            <w:shd w:val="clear" w:color="auto" w:fill="9DBDE4"/>
          </w:tcPr>
          <w:p>
            <w:pPr>
              <w:spacing w:after="0"/>
              <w:rPr>
                <w:sz w:val="15"/>
                <w:szCs w:val="15"/>
                <w:color w:val="auto"/>
              </w:rPr>
            </w:pPr>
          </w:p>
        </w:tc>
        <w:tc>
          <w:tcPr>
            <w:tcW w:w="1080" w:type="dxa"/>
            <w:vAlign w:val="bottom"/>
            <w:shd w:val="clear" w:color="auto" w:fill="9DBDE4"/>
          </w:tcPr>
          <w:p>
            <w:pPr>
              <w:spacing w:after="0"/>
              <w:rPr>
                <w:sz w:val="15"/>
                <w:szCs w:val="15"/>
                <w:color w:val="auto"/>
              </w:rPr>
            </w:pPr>
          </w:p>
        </w:tc>
        <w:tc>
          <w:tcPr>
            <w:tcW w:w="1460" w:type="dxa"/>
            <w:vAlign w:val="bottom"/>
            <w:shd w:val="clear" w:color="auto" w:fill="9DBDE4"/>
          </w:tcPr>
          <w:p>
            <w:pPr>
              <w:jc w:val="center"/>
              <w:ind w:right="422"/>
              <w:spacing w:after="0" w:line="181" w:lineRule="exact"/>
              <w:rPr>
                <w:sz w:val="20"/>
                <w:szCs w:val="20"/>
                <w:color w:val="auto"/>
              </w:rPr>
            </w:pPr>
            <w:r>
              <w:rPr>
                <w:rFonts w:ascii="Arial" w:cs="Arial" w:eastAsia="Arial" w:hAnsi="Arial"/>
                <w:sz w:val="16"/>
                <w:szCs w:val="16"/>
                <w:color w:val="auto"/>
                <w:w w:val="74"/>
              </w:rPr>
              <w:t>-</w:t>
            </w:r>
          </w:p>
        </w:tc>
        <w:tc>
          <w:tcPr>
            <w:tcW w:w="1520" w:type="dxa"/>
            <w:vAlign w:val="bottom"/>
            <w:shd w:val="clear" w:color="auto" w:fill="9DBDE4"/>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3700" w:type="dxa"/>
            <w:vAlign w:val="bottom"/>
            <w:tcBorders>
              <w:bottom w:val="single" w:sz="8" w:color="284993"/>
            </w:tcBorders>
          </w:tcPr>
          <w:p>
            <w:pPr>
              <w:ind w:left="80"/>
              <w:spacing w:after="0" w:line="181" w:lineRule="exact"/>
              <w:rPr>
                <w:sz w:val="20"/>
                <w:szCs w:val="20"/>
                <w:color w:val="auto"/>
              </w:rPr>
            </w:pPr>
            <w:r>
              <w:rPr>
                <w:rFonts w:ascii="Arial" w:cs="Arial" w:eastAsia="Arial" w:hAnsi="Arial"/>
                <w:sz w:val="16"/>
                <w:szCs w:val="16"/>
                <w:color w:val="auto"/>
              </w:rPr>
              <w:t>Did Not Disclose Demographic Background</w:t>
            </w:r>
          </w:p>
        </w:tc>
        <w:tc>
          <w:tcPr>
            <w:tcW w:w="1560" w:type="dxa"/>
            <w:vAlign w:val="bottom"/>
            <w:tcBorders>
              <w:bottom w:val="single" w:sz="8" w:color="284993"/>
            </w:tcBorders>
          </w:tcPr>
          <w:p>
            <w:pPr>
              <w:spacing w:after="0"/>
              <w:rPr>
                <w:sz w:val="15"/>
                <w:szCs w:val="15"/>
                <w:color w:val="auto"/>
              </w:rPr>
            </w:pPr>
          </w:p>
        </w:tc>
        <w:tc>
          <w:tcPr>
            <w:tcW w:w="1080" w:type="dxa"/>
            <w:vAlign w:val="bottom"/>
            <w:tcBorders>
              <w:bottom w:val="single" w:sz="8" w:color="284993"/>
            </w:tcBorders>
          </w:tcPr>
          <w:p>
            <w:pPr>
              <w:spacing w:after="0"/>
              <w:rPr>
                <w:sz w:val="15"/>
                <w:szCs w:val="15"/>
                <w:color w:val="auto"/>
              </w:rPr>
            </w:pPr>
          </w:p>
        </w:tc>
        <w:tc>
          <w:tcPr>
            <w:tcW w:w="1460" w:type="dxa"/>
            <w:vAlign w:val="bottom"/>
            <w:tcBorders>
              <w:bottom w:val="single" w:sz="8" w:color="284993"/>
            </w:tcBorders>
          </w:tcPr>
          <w:p>
            <w:pPr>
              <w:jc w:val="center"/>
              <w:ind w:right="422"/>
              <w:spacing w:after="0" w:line="181" w:lineRule="exact"/>
              <w:rPr>
                <w:sz w:val="20"/>
                <w:szCs w:val="20"/>
                <w:color w:val="auto"/>
              </w:rPr>
            </w:pPr>
            <w:r>
              <w:rPr>
                <w:rFonts w:ascii="Arial" w:cs="Arial" w:eastAsia="Arial" w:hAnsi="Arial"/>
                <w:sz w:val="16"/>
                <w:szCs w:val="16"/>
                <w:color w:val="auto"/>
                <w:w w:val="74"/>
              </w:rPr>
              <w:t>-</w:t>
            </w:r>
          </w:p>
        </w:tc>
        <w:tc>
          <w:tcPr>
            <w:tcW w:w="1520" w:type="dxa"/>
            <w:vAlign w:val="bottom"/>
            <w:tcBorders>
              <w:bottom w:val="single" w:sz="8" w:color="284993"/>
            </w:tcBorders>
          </w:tcPr>
          <w:p>
            <w:pPr>
              <w:spacing w:after="0"/>
              <w:rPr>
                <w:sz w:val="15"/>
                <w:szCs w:val="15"/>
                <w:color w:val="auto"/>
              </w:rPr>
            </w:pPr>
          </w:p>
        </w:tc>
        <w:tc>
          <w:tcPr>
            <w:tcW w:w="20" w:type="dxa"/>
            <w:vAlign w:val="bottom"/>
            <w:tcBorders>
              <w:bottom w:val="single" w:sz="8" w:color="284993"/>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-1750695</wp:posOffset>
            </wp:positionV>
            <wp:extent cx="3585210" cy="17513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85210" cy="175133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Board’s Role in Risk Oversight</w:t>
      </w:r>
    </w:p>
    <w:p>
      <w:pPr>
        <w:spacing w:after="0" w:line="123"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Risk is inherent with every business and we face a number of risks, including strategic, financial, operational, cybersecurity, legal/compliance, governance and reputational risks. Our management is responsible for the day-to-day management of the risks that we face. Our Board as a whole has responsibility for the oversight of enterprise risk management. Our Board provides broad oversight of ACI’s risk management programs. In this oversight role, our Board considers the effectiveness of the Company’s risk management processes. The involvement of our full Board in the risk oversight process allows our Board to assess management’s tolerance for risk and also to determine what constitutes an appropriate level of risk for ACI.</w:t>
      </w:r>
    </w:p>
    <w:p>
      <w:pPr>
        <w:spacing w:after="0" w:line="125" w:lineRule="exact"/>
        <w:rPr>
          <w:sz w:val="20"/>
          <w:szCs w:val="20"/>
          <w:color w:val="auto"/>
        </w:rPr>
      </w:pPr>
    </w:p>
    <w:p>
      <w:pPr>
        <w:ind w:left="7420"/>
        <w:spacing w:after="0"/>
        <w:rPr>
          <w:sz w:val="20"/>
          <w:szCs w:val="20"/>
          <w:color w:val="auto"/>
        </w:rPr>
      </w:pPr>
      <w:r>
        <w:rPr>
          <w:rFonts w:ascii="Arial" w:cs="Arial" w:eastAsia="Arial" w:hAnsi="Arial"/>
          <w:sz w:val="13"/>
          <w:szCs w:val="13"/>
          <w:color w:val="auto"/>
        </w:rPr>
        <w:t xml:space="preserve">2023 PROXY STATEMENT </w:t>
      </w:r>
      <w:r>
        <w:rPr>
          <w:rFonts w:ascii="Arial" w:cs="Arial" w:eastAsia="Arial" w:hAnsi="Arial"/>
          <w:sz w:val="13"/>
          <w:szCs w:val="13"/>
          <w:b w:val="1"/>
          <w:bCs w:val="1"/>
          <w:color w:val="284993"/>
        </w:rPr>
        <w:t>13</w:t>
      </w:r>
    </w:p>
    <w:p>
      <w:pPr>
        <w:sectPr>
          <w:pgSz w:w="11900" w:h="16838" w:orient="portrait"/>
          <w:cols w:equalWidth="0" w:num="1">
            <w:col w:w="9340"/>
          </w:cols>
          <w:pgMar w:left="1280" w:top="296" w:right="1279" w:bottom="1440" w:gutter="0" w:footer="0" w:header="0"/>
        </w:sectPr>
      </w:pPr>
    </w:p>
    <w:bookmarkStart w:id="19" w:name="page20"/>
    <w:bookmarkEnd w:id="19"/>
    <w:p>
      <w:pPr>
        <w:ind w:right="320"/>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While our Board provides broad oversight, various committees of the Board oversee risk management in their respective areas and regularly report on their activities to the entire Board.</w:t>
      </w:r>
    </w:p>
    <w:p>
      <w:pPr>
        <w:spacing w:after="0" w:line="167"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The Audit Committee focuses on assessing and mitigating financial risk, including internal controls, and receives an annual risk assessment report from ACI’s internal auditors. As part of its annual audit, ACI’s independent registered accounting firm, Deloitte &amp; Touche LLP, also provides the Audit Committee with a risk assessment identifying risks of material misstatements and related controls. The Audit Committee reviews these and other reports on risks facing the Company at its meetings throughout the year. The Audit Committee also reviews with management ACI’s enterprise risk management, business continuity and information security programs.</w:t>
      </w:r>
    </w:p>
    <w:p>
      <w:pPr>
        <w:spacing w:after="0" w:line="154"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The Compensation Committee reviews and oversees the management of potential material risks related to ACI’s compensation policies and practices. Compensia, the independent compensation consultant retained by the Compensation Committee, provides an annual assessment of such risks. The Compensation Committee reviews this annual assessment and evaluates such risks as it considers compensation and benefits matters throughout the year.</w:t>
      </w:r>
    </w:p>
    <w:p>
      <w:pPr>
        <w:spacing w:after="0" w:line="181"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The oversight roles of the Board and the committees are supported by management reporting processes that are designed to provide the Board and the committees with visibility into the identification, assessment and management of critical risks.</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Code of Business Conduct and Ethics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 our Code of Business Conduct and Ethics our directors and employees, including our executive officers, must promptly report any transaction, relationship, or circumstance that creates or may create a conflict of interest. Any conflict of interest for our non-director and non-executive officer employees is prohibited unless a waiver is obtained from our General Counsel. Conflicts of interest involving our directors and executive officers are prohibited unless waived by our Board. Any waiver of a conflict of interest involving one of our directors or executive officers will be promptly disclosed in accordance with applicable law and NASDAQ listing requirements. The full text of our Code of Business Conduct and Ethics is, and any amendment to or waiver from a provision of our Code of Business Conduct and Ethics will be, posted on our website at </w:t>
      </w:r>
      <w:r>
        <w:rPr>
          <w:rFonts w:ascii="Arial" w:cs="Arial" w:eastAsia="Arial" w:hAnsi="Arial"/>
          <w:sz w:val="16"/>
          <w:szCs w:val="16"/>
          <w:u w:val="single" w:color="auto"/>
          <w:color w:val="auto"/>
        </w:rPr>
        <w:t>https://investor.aciworldwide.com/corporate-governance</w:t>
      </w:r>
      <w:r>
        <w:rPr>
          <w:rFonts w:ascii="Arial" w:cs="Arial" w:eastAsia="Arial" w:hAnsi="Arial"/>
          <w:sz w:val="16"/>
          <w:szCs w:val="16"/>
          <w:color w:val="auto"/>
        </w:rPr>
        <w:t>.</w:t>
      </w:r>
    </w:p>
    <w:p>
      <w:pPr>
        <w:spacing w:after="0" w:line="188"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 xml:space="preserve">We also have a Code of Ethics for the CEO and Senior Financial Officers that requires that our CEO, CFO, Chief Accounting Officer, Controller and persons performing similar functions avoid actual and apparent conflicts of interest in personal and professional relationships and that they disclose to the Audit Committee any material transaction or relationship that reasonably could be expected to give rise to a conflict. The full text of our Code of Ethics for the CEO and Senior Financial Officers is, and any amendment to or waiver from a provision of our Code of Ethics for the CEO and Senior Financial Officers will be, posted on our website at </w:t>
      </w:r>
      <w:r>
        <w:rPr>
          <w:rFonts w:ascii="Arial" w:cs="Arial" w:eastAsia="Arial" w:hAnsi="Arial"/>
          <w:sz w:val="16"/>
          <w:szCs w:val="16"/>
          <w:u w:val="single" w:color="auto"/>
          <w:color w:val="auto"/>
        </w:rPr>
        <w:t>https://investor.aciworldwide.com/corporate-governance</w:t>
      </w:r>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Compensation Risk Analysis</w:t>
      </w:r>
    </w:p>
    <w:p>
      <w:pPr>
        <w:spacing w:after="0" w:line="123" w:lineRule="exact"/>
        <w:rPr>
          <w:sz w:val="20"/>
          <w:szCs w:val="20"/>
          <w:color w:val="auto"/>
        </w:rPr>
      </w:pPr>
    </w:p>
    <w:p>
      <w:pPr>
        <w:ind w:right="160"/>
        <w:spacing w:after="0" w:line="245" w:lineRule="auto"/>
        <w:rPr>
          <w:sz w:val="20"/>
          <w:szCs w:val="20"/>
          <w:color w:val="auto"/>
        </w:rPr>
      </w:pPr>
      <w:r>
        <w:rPr>
          <w:rFonts w:ascii="Arial" w:cs="Arial" w:eastAsia="Arial" w:hAnsi="Arial"/>
          <w:sz w:val="16"/>
          <w:szCs w:val="16"/>
          <w:color w:val="auto"/>
        </w:rPr>
        <w:t>The Compensation Committee has concluded that ACI’s compensation policies and practices do not create risks that are reasonably likely to have a material adverse effect on ACI. The Compensation Committee believes that the following features of its compensation program help ensure that management performance is focused on long-term stockholder value creation without encouraging unnecessary or excessive risk-taking:</w:t>
      </w:r>
    </w:p>
    <w:p>
      <w:pPr>
        <w:spacing w:after="0" w:line="207" w:lineRule="exact"/>
        <w:rPr>
          <w:sz w:val="20"/>
          <w:szCs w:val="20"/>
          <w:color w:val="auto"/>
        </w:rPr>
      </w:pPr>
    </w:p>
    <w:p>
      <w:pPr>
        <w:ind w:left="360" w:hanging="267"/>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balance of fixed and variable compensation, with variable compensation tied to both short-term and long-term objectives;</w:t>
      </w:r>
    </w:p>
    <w:p>
      <w:pPr>
        <w:spacing w:after="0" w:line="230" w:lineRule="exact"/>
        <w:rPr>
          <w:rFonts w:ascii="Arial" w:cs="Arial" w:eastAsia="Arial" w:hAnsi="Arial"/>
          <w:sz w:val="16"/>
          <w:szCs w:val="16"/>
          <w:color w:val="auto"/>
        </w:rPr>
      </w:pPr>
    </w:p>
    <w:p>
      <w:pPr>
        <w:ind w:left="360" w:hanging="267"/>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Annual incentive awards tied to ACI’s financial performance, with caps on payout amounts;</w:t>
      </w:r>
    </w:p>
    <w:p>
      <w:pPr>
        <w:spacing w:after="0" w:line="230" w:lineRule="exact"/>
        <w:rPr>
          <w:rFonts w:ascii="Arial" w:cs="Arial" w:eastAsia="Arial" w:hAnsi="Arial"/>
          <w:sz w:val="16"/>
          <w:szCs w:val="16"/>
          <w:color w:val="auto"/>
        </w:rPr>
      </w:pPr>
    </w:p>
    <w:p>
      <w:pPr>
        <w:ind w:left="360" w:right="580" w:hanging="267"/>
        <w:spacing w:after="0" w:line="263"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use of time-based and performance-based equity awards that generally vest, if at all, over several years and align our executives’ interests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72390</wp:posOffset>
            </wp:positionV>
            <wp:extent cx="699135" cy="1314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14</w:t>
      </w:r>
    </w:p>
    <w:p>
      <w:pPr>
        <w:sectPr>
          <w:pgSz w:w="11900" w:h="16838" w:orient="portrait"/>
          <w:cols w:equalWidth="0" w:num="1">
            <w:col w:w="9320"/>
          </w:cols>
          <w:pgMar w:left="1280" w:top="296" w:right="1299" w:bottom="1440" w:gutter="0" w:footer="0" w:header="0"/>
        </w:sectPr>
      </w:pPr>
    </w:p>
    <w:bookmarkStart w:id="20" w:name="page21"/>
    <w:bookmarkEnd w:id="20"/>
    <w:p>
      <w:pPr>
        <w:ind w:left="267" w:hanging="267"/>
        <w:spacing w:after="0"/>
        <w:tabs>
          <w:tab w:leader="none" w:pos="267"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The Compensation Committee’s ability to exercise discretion in determining incentive program payouts;</w:t>
      </w:r>
    </w:p>
    <w:p>
      <w:pPr>
        <w:spacing w:after="0" w:line="230" w:lineRule="exact"/>
        <w:rPr>
          <w:rFonts w:ascii="Arial" w:cs="Arial" w:eastAsia="Arial" w:hAnsi="Arial"/>
          <w:sz w:val="16"/>
          <w:szCs w:val="16"/>
          <w:color w:val="auto"/>
        </w:rPr>
      </w:pPr>
    </w:p>
    <w:p>
      <w:pPr>
        <w:ind w:left="267" w:right="160" w:hanging="267"/>
        <w:spacing w:after="0" w:line="263" w:lineRule="auto"/>
        <w:tabs>
          <w:tab w:leader="none" w:pos="2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recoupment and forfeiture policy pertaining to annual incentive payouts and long-term incentive equity awards applicable to all employees, including our executive officers; and</w:t>
      </w:r>
    </w:p>
    <w:p>
      <w:pPr>
        <w:spacing w:after="0" w:line="192" w:lineRule="exact"/>
        <w:rPr>
          <w:rFonts w:ascii="Arial" w:cs="Arial" w:eastAsia="Arial" w:hAnsi="Arial"/>
          <w:sz w:val="16"/>
          <w:szCs w:val="16"/>
          <w:color w:val="auto"/>
        </w:rPr>
      </w:pPr>
    </w:p>
    <w:p>
      <w:pPr>
        <w:ind w:left="267" w:hanging="267"/>
        <w:spacing w:after="0"/>
        <w:tabs>
          <w:tab w:leader="none" w:pos="2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Stock ownership guidelines for our executive officers that further align our executives’ interests with those of our stockholders.</w:t>
      </w:r>
    </w:p>
    <w:p>
      <w:pPr>
        <w:spacing w:after="0" w:line="142" w:lineRule="exact"/>
        <w:rPr>
          <w:rFonts w:ascii="Arial" w:cs="Arial" w:eastAsia="Arial" w:hAnsi="Arial"/>
          <w:sz w:val="16"/>
          <w:szCs w:val="16"/>
          <w:color w:val="auto"/>
        </w:rPr>
      </w:pPr>
    </w:p>
    <w:p>
      <w:pPr>
        <w:ind w:left="7327"/>
        <w:spacing w:after="0"/>
        <w:rPr>
          <w:rFonts w:ascii="Arial" w:cs="Arial" w:eastAsia="Arial" w:hAnsi="Arial"/>
          <w:sz w:val="16"/>
          <w:szCs w:val="16"/>
          <w:color w:val="auto"/>
        </w:rPr>
      </w:pPr>
      <w:r>
        <w:rPr>
          <w:rFonts w:ascii="Arial" w:cs="Arial" w:eastAsia="Arial" w:hAnsi="Arial"/>
          <w:sz w:val="13"/>
          <w:szCs w:val="13"/>
          <w:color w:val="auto"/>
        </w:rPr>
        <w:t xml:space="preserve">2023 PROXY STATEMENT </w:t>
      </w:r>
      <w:r>
        <w:rPr>
          <w:rFonts w:ascii="Arial" w:cs="Arial" w:eastAsia="Arial" w:hAnsi="Arial"/>
          <w:sz w:val="13"/>
          <w:szCs w:val="13"/>
          <w:b w:val="1"/>
          <w:bCs w:val="1"/>
          <w:color w:val="284993"/>
        </w:rPr>
        <w:t>15</w:t>
      </w:r>
    </w:p>
    <w:p>
      <w:pPr>
        <w:sectPr>
          <w:pgSz w:w="11900" w:h="16838" w:orient="portrait"/>
          <w:cols w:equalWidth="0" w:num="1">
            <w:col w:w="9227"/>
          </w:cols>
          <w:pgMar w:left="1373" w:top="296" w:right="1299" w:bottom="1440" w:gutter="0" w:footer="0" w:header="0"/>
        </w:sectPr>
      </w:pPr>
    </w:p>
    <w:bookmarkStart w:id="21" w:name="page22"/>
    <w:bookmarkEnd w:id="21"/>
    <w:p>
      <w:pPr>
        <w:ind w:left="700"/>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59207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right="39"/>
        <w:spacing w:after="0" w:line="242" w:lineRule="auto"/>
        <w:rPr>
          <w:sz w:val="20"/>
          <w:szCs w:val="20"/>
          <w:color w:val="auto"/>
        </w:rPr>
      </w:pPr>
      <w:r>
        <w:rPr>
          <w:rFonts w:ascii="Arial" w:cs="Arial" w:eastAsia="Arial" w:hAnsi="Arial"/>
          <w:sz w:val="16"/>
          <w:szCs w:val="16"/>
          <w:color w:val="auto"/>
        </w:rPr>
        <w:t xml:space="preserve">Our Board has nominated for election as directors </w:t>
      </w:r>
      <w:r>
        <w:rPr>
          <w:rFonts w:ascii="Arial" w:cs="Arial" w:eastAsia="Arial" w:hAnsi="Arial"/>
          <w:sz w:val="16"/>
          <w:szCs w:val="16"/>
          <w:b w:val="1"/>
          <w:bCs w:val="1"/>
          <w:color w:val="auto"/>
        </w:rPr>
        <w:t>Thomas W. Warsop III</w:t>
      </w:r>
      <w:r>
        <w:rPr>
          <w:rFonts w:ascii="Arial" w:cs="Arial" w:eastAsia="Arial" w:hAnsi="Arial"/>
          <w:sz w:val="16"/>
          <w:szCs w:val="16"/>
          <w:color w:val="auto"/>
        </w:rPr>
        <w:t xml:space="preserve"> , </w:t>
      </w:r>
      <w:r>
        <w:rPr>
          <w:rFonts w:ascii="Arial" w:cs="Arial" w:eastAsia="Arial" w:hAnsi="Arial"/>
          <w:sz w:val="16"/>
          <w:szCs w:val="16"/>
          <w:b w:val="1"/>
          <w:bCs w:val="1"/>
          <w:color w:val="auto"/>
        </w:rPr>
        <w:t>Adalio T. Sanchez</w:t>
      </w:r>
      <w:r>
        <w:rPr>
          <w:rFonts w:ascii="Arial" w:cs="Arial" w:eastAsia="Arial" w:hAnsi="Arial"/>
          <w:sz w:val="16"/>
          <w:szCs w:val="16"/>
          <w:color w:val="auto"/>
        </w:rPr>
        <w:t xml:space="preserve">, </w:t>
      </w:r>
      <w:r>
        <w:rPr>
          <w:rFonts w:ascii="Arial" w:cs="Arial" w:eastAsia="Arial" w:hAnsi="Arial"/>
          <w:sz w:val="16"/>
          <w:szCs w:val="16"/>
          <w:b w:val="1"/>
          <w:bCs w:val="1"/>
          <w:color w:val="auto"/>
        </w:rPr>
        <w:t>Janet O. Estep</w:t>
      </w:r>
      <w:r>
        <w:rPr>
          <w:rFonts w:ascii="Arial" w:cs="Arial" w:eastAsia="Arial" w:hAnsi="Arial"/>
          <w:sz w:val="16"/>
          <w:szCs w:val="16"/>
          <w:color w:val="auto"/>
        </w:rPr>
        <w:t xml:space="preserve">, </w:t>
      </w:r>
      <w:r>
        <w:rPr>
          <w:rFonts w:ascii="Arial" w:cs="Arial" w:eastAsia="Arial" w:hAnsi="Arial"/>
          <w:sz w:val="16"/>
          <w:szCs w:val="16"/>
          <w:b w:val="1"/>
          <w:bCs w:val="1"/>
          <w:color w:val="auto"/>
        </w:rPr>
        <w:t>James C. Hale III</w:t>
      </w:r>
      <w:r>
        <w:rPr>
          <w:rFonts w:ascii="Arial" w:cs="Arial" w:eastAsia="Arial" w:hAnsi="Arial"/>
          <w:sz w:val="16"/>
          <w:szCs w:val="16"/>
          <w:color w:val="auto"/>
        </w:rPr>
        <w:t xml:space="preserve">, </w:t>
      </w:r>
      <w:r>
        <w:rPr>
          <w:rFonts w:ascii="Arial" w:cs="Arial" w:eastAsia="Arial" w:hAnsi="Arial"/>
          <w:sz w:val="16"/>
          <w:szCs w:val="16"/>
          <w:b w:val="1"/>
          <w:bCs w:val="1"/>
          <w:color w:val="auto"/>
        </w:rPr>
        <w:t>Mary P. Harman</w:t>
      </w:r>
      <w:r>
        <w:rPr>
          <w:rFonts w:ascii="Arial" w:cs="Arial" w:eastAsia="Arial" w:hAnsi="Arial"/>
          <w:sz w:val="16"/>
          <w:szCs w:val="16"/>
          <w:color w:val="auto"/>
        </w:rPr>
        <w:t>,</w:t>
      </w:r>
      <w:r>
        <w:rPr>
          <w:rFonts w:ascii="Arial" w:cs="Arial" w:eastAsia="Arial" w:hAnsi="Arial"/>
          <w:sz w:val="16"/>
          <w:szCs w:val="16"/>
          <w:b w:val="1"/>
          <w:bCs w:val="1"/>
          <w:color w:val="auto"/>
        </w:rPr>
        <w:t xml:space="preserve"> Charles E. Peters, Jr </w:t>
      </w:r>
      <w:r>
        <w:rPr>
          <w:rFonts w:ascii="Arial" w:cs="Arial" w:eastAsia="Arial" w:hAnsi="Arial"/>
          <w:sz w:val="16"/>
          <w:szCs w:val="16"/>
          <w:color w:val="auto"/>
        </w:rPr>
        <w:t>and</w:t>
      </w:r>
      <w:r>
        <w:rPr>
          <w:rFonts w:ascii="Arial" w:cs="Arial" w:eastAsia="Arial" w:hAnsi="Arial"/>
          <w:sz w:val="16"/>
          <w:szCs w:val="16"/>
          <w:b w:val="1"/>
          <w:bCs w:val="1"/>
          <w:color w:val="auto"/>
        </w:rPr>
        <w:t xml:space="preserve"> Samir M. Zabaneh</w:t>
      </w:r>
      <w:r>
        <w:rPr>
          <w:rFonts w:ascii="Arial" w:cs="Arial" w:eastAsia="Arial" w:hAnsi="Arial"/>
          <w:sz w:val="16"/>
          <w:szCs w:val="16"/>
          <w:color w:val="auto"/>
        </w:rPr>
        <w:t>, each to serve until the 2024 Annual Meeting of Stockholders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until his or her respective successor is duly elected and qualified. We expect that each of the nominees will be available for election, but if any of them is unwilling or unable to serve as a candidate at the time the election occurs, it is intended that each share represented by proxy at the Annual Meeting will be voted for the election of another nominee to be designated by the Board to fill any such vacancy.</w:t>
      </w:r>
    </w:p>
    <w:p>
      <w:pPr>
        <w:spacing w:after="0" w:line="174"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General</w:t>
      </w:r>
    </w:p>
    <w:p>
      <w:pPr>
        <w:spacing w:after="0" w:line="123" w:lineRule="exact"/>
        <w:rPr>
          <w:sz w:val="20"/>
          <w:szCs w:val="20"/>
          <w:color w:val="auto"/>
        </w:rPr>
      </w:pPr>
    </w:p>
    <w:p>
      <w:pPr>
        <w:ind w:right="539"/>
        <w:spacing w:after="0" w:line="263" w:lineRule="auto"/>
        <w:rPr>
          <w:sz w:val="20"/>
          <w:szCs w:val="20"/>
          <w:color w:val="auto"/>
        </w:rPr>
      </w:pPr>
      <w:r>
        <w:rPr>
          <w:rFonts w:ascii="Arial" w:cs="Arial" w:eastAsia="Arial" w:hAnsi="Arial"/>
          <w:sz w:val="16"/>
          <w:szCs w:val="16"/>
          <w:color w:val="auto"/>
        </w:rPr>
        <w:t>Our Corporate Governance Committee considers, and our Board selects, nominees with a view to establishing a Board that is comprised of members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5920740" cy="8718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20740" cy="871855"/>
                    </a:xfrm>
                    <a:prstGeom prst="rect">
                      <a:avLst/>
                    </a:prstGeom>
                    <a:noFill/>
                  </pic:spPr>
                </pic:pic>
              </a:graphicData>
            </a:graphic>
          </wp:anchor>
        </w:drawing>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•  </w:t>
      </w:r>
      <w:r>
        <w:rPr>
          <w:rFonts w:ascii="Arial" w:cs="Arial" w:eastAsia="Arial" w:hAnsi="Arial"/>
          <w:sz w:val="16"/>
          <w:szCs w:val="16"/>
          <w:b w:val="1"/>
          <w:bCs w:val="1"/>
          <w:color w:val="FFFFFF"/>
        </w:rPr>
        <w:t>Possess the skills and attributes described below</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•  Are independent and free of any conflicts of interest</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•  </w:t>
      </w:r>
      <w:r>
        <w:rPr>
          <w:rFonts w:ascii="Arial" w:cs="Arial" w:eastAsia="Arial" w:hAnsi="Arial"/>
          <w:sz w:val="16"/>
          <w:szCs w:val="16"/>
          <w:b w:val="1"/>
          <w:bCs w:val="1"/>
          <w:color w:val="FFFFFF"/>
        </w:rPr>
        <w:t>Are willing and able to devote sufficient time to the affairs of ACI</w:t>
      </w:r>
    </w:p>
    <w:p>
      <w:pPr>
        <w:spacing w:after="0" w:line="36" w:lineRule="exact"/>
        <w:rPr>
          <w:sz w:val="20"/>
          <w:szCs w:val="20"/>
          <w:color w:val="auto"/>
        </w:rPr>
      </w:pPr>
    </w:p>
    <w:p>
      <w:pPr>
        <w:ind w:left="220" w:right="2259"/>
        <w:spacing w:after="0" w:line="327" w:lineRule="auto"/>
        <w:rPr>
          <w:sz w:val="20"/>
          <w:szCs w:val="20"/>
          <w:color w:val="auto"/>
        </w:rPr>
      </w:pPr>
      <w:r>
        <w:rPr>
          <w:rFonts w:ascii="Arial" w:cs="Arial" w:eastAsia="Arial" w:hAnsi="Arial"/>
          <w:sz w:val="16"/>
          <w:szCs w:val="16"/>
          <w:b w:val="1"/>
          <w:bCs w:val="1"/>
          <w:color w:val="FFFFFF"/>
        </w:rPr>
        <w:t xml:space="preserve">•  Have the capacity and desire to represent the balanced, best interest of our stockholders </w:t>
      </w:r>
      <w:r>
        <w:rPr>
          <w:rFonts w:ascii="Arial" w:cs="Arial" w:eastAsia="Arial" w:hAnsi="Arial"/>
          <w:sz w:val="16"/>
          <w:szCs w:val="16"/>
          <w:color w:val="FFFFFF"/>
        </w:rPr>
        <w:t xml:space="preserve">•  </w:t>
      </w:r>
      <w:r>
        <w:rPr>
          <w:rFonts w:ascii="Arial" w:cs="Arial" w:eastAsia="Arial" w:hAnsi="Arial"/>
          <w:sz w:val="16"/>
          <w:szCs w:val="16"/>
          <w:b w:val="1"/>
          <w:bCs w:val="1"/>
          <w:color w:val="FFFFFF"/>
        </w:rPr>
        <w:t>Bring diverse perspectives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69215</wp:posOffset>
            </wp:positionV>
            <wp:extent cx="106680" cy="1066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6680" cy="10668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119"/>
        <w:spacing w:after="0" w:line="263" w:lineRule="auto"/>
        <w:rPr>
          <w:sz w:val="20"/>
          <w:szCs w:val="20"/>
          <w:color w:val="auto"/>
        </w:rPr>
      </w:pPr>
      <w:r>
        <w:rPr>
          <w:rFonts w:ascii="Arial" w:cs="Arial" w:eastAsia="Arial" w:hAnsi="Arial"/>
          <w:sz w:val="16"/>
          <w:szCs w:val="16"/>
          <w:color w:val="auto"/>
        </w:rPr>
        <w:t>We believe that each director nominee brings these qualifications to our Board, providing a diverse complement of specific business skills and experience aligned with our business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72390</wp:posOffset>
            </wp:positionV>
            <wp:extent cx="699135" cy="1314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16</w:t>
      </w:r>
    </w:p>
    <w:p>
      <w:pPr>
        <w:sectPr>
          <w:pgSz w:w="11900" w:h="16838" w:orient="portrait"/>
          <w:cols w:equalWidth="0" w:num="1">
            <w:col w:w="9179"/>
          </w:cols>
          <w:pgMar w:left="1280" w:top="253" w:right="1440" w:bottom="1440" w:gutter="0" w:footer="0" w:header="0"/>
        </w:sectPr>
      </w:pPr>
    </w:p>
    <w:bookmarkStart w:id="22" w:name="page23"/>
    <w:bookmarkEnd w:id="22"/>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Specific Skills and Attributes to be Represented on the Board</w:t>
      </w:r>
    </w:p>
    <w:p>
      <w:pPr>
        <w:spacing w:after="0" w:line="123"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To effectively serve ACI’s business and long-term strategy, the Board believes it is important that the following key skills and attributes be represented on the Board as a whole: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shd w:val="clear" w:color="auto" w:fill="284993"/>
          </w:tcPr>
          <w:p>
            <w:pPr>
              <w:spacing w:after="0"/>
              <w:rPr>
                <w:sz w:val="16"/>
                <w:szCs w:val="16"/>
                <w:color w:val="auto"/>
              </w:rPr>
            </w:pPr>
          </w:p>
        </w:tc>
        <w:tc>
          <w:tcPr>
            <w:tcW w:w="4640" w:type="dxa"/>
            <w:vAlign w:val="bottom"/>
            <w:shd w:val="clear" w:color="auto" w:fill="284993"/>
          </w:tcPr>
          <w:p>
            <w:pPr>
              <w:spacing w:after="0"/>
              <w:rPr>
                <w:sz w:val="16"/>
                <w:szCs w:val="16"/>
                <w:color w:val="auto"/>
              </w:rPr>
            </w:pPr>
          </w:p>
        </w:tc>
        <w:tc>
          <w:tcPr>
            <w:tcW w:w="1120" w:type="dxa"/>
            <w:vAlign w:val="bottom"/>
            <w:shd w:val="clear" w:color="auto" w:fill="284993"/>
          </w:tcPr>
          <w:p>
            <w:pPr>
              <w:jc w:val="center"/>
              <w:ind w:left="102"/>
              <w:spacing w:after="0"/>
              <w:rPr>
                <w:sz w:val="20"/>
                <w:szCs w:val="20"/>
                <w:color w:val="auto"/>
              </w:rPr>
            </w:pPr>
            <w:r>
              <w:rPr>
                <w:rFonts w:ascii="Arial" w:cs="Arial" w:eastAsia="Arial" w:hAnsi="Arial"/>
                <w:sz w:val="16"/>
                <w:szCs w:val="16"/>
                <w:b w:val="1"/>
                <w:bCs w:val="1"/>
                <w:color w:val="FFFFFF"/>
                <w:w w:val="96"/>
              </w:rPr>
              <w:t>Represented</w:t>
            </w:r>
          </w:p>
        </w:tc>
        <w:tc>
          <w:tcPr>
            <w:tcW w:w="0" w:type="dxa"/>
            <w:vAlign w:val="bottom"/>
          </w:tcPr>
          <w:p>
            <w:pPr>
              <w:spacing w:after="0"/>
              <w:rPr>
                <w:sz w:val="1"/>
                <w:szCs w:val="1"/>
                <w:color w:val="auto"/>
              </w:rPr>
            </w:pPr>
          </w:p>
        </w:tc>
      </w:tr>
      <w:tr>
        <w:trPr>
          <w:trHeight w:val="181"/>
        </w:trPr>
        <w:tc>
          <w:tcPr>
            <w:tcW w:w="3560" w:type="dxa"/>
            <w:vAlign w:val="bottom"/>
            <w:shd w:val="clear" w:color="auto" w:fill="284993"/>
          </w:tcPr>
          <w:p>
            <w:pPr>
              <w:spacing w:after="0"/>
              <w:rPr>
                <w:sz w:val="15"/>
                <w:szCs w:val="15"/>
                <w:color w:val="auto"/>
              </w:rPr>
            </w:pPr>
          </w:p>
        </w:tc>
        <w:tc>
          <w:tcPr>
            <w:tcW w:w="4640" w:type="dxa"/>
            <w:vAlign w:val="bottom"/>
            <w:shd w:val="clear" w:color="auto" w:fill="284993"/>
          </w:tcPr>
          <w:p>
            <w:pPr>
              <w:spacing w:after="0"/>
              <w:rPr>
                <w:sz w:val="15"/>
                <w:szCs w:val="15"/>
                <w:color w:val="auto"/>
              </w:rPr>
            </w:pPr>
          </w:p>
        </w:tc>
        <w:tc>
          <w:tcPr>
            <w:tcW w:w="1120" w:type="dxa"/>
            <w:vAlign w:val="bottom"/>
            <w:shd w:val="clear" w:color="auto" w:fill="284993"/>
          </w:tcPr>
          <w:p>
            <w:pPr>
              <w:jc w:val="center"/>
              <w:ind w:left="102"/>
              <w:spacing w:after="0" w:line="181" w:lineRule="exact"/>
              <w:rPr>
                <w:sz w:val="20"/>
                <w:szCs w:val="20"/>
                <w:color w:val="auto"/>
              </w:rPr>
            </w:pPr>
            <w:r>
              <w:rPr>
                <w:rFonts w:ascii="Arial" w:cs="Arial" w:eastAsia="Arial" w:hAnsi="Arial"/>
                <w:sz w:val="16"/>
                <w:szCs w:val="16"/>
                <w:b w:val="1"/>
                <w:bCs w:val="1"/>
                <w:color w:val="FFFFFF"/>
                <w:w w:val="96"/>
              </w:rPr>
              <w:t>by # of</w:t>
            </w:r>
          </w:p>
        </w:tc>
        <w:tc>
          <w:tcPr>
            <w:tcW w:w="0" w:type="dxa"/>
            <w:vAlign w:val="bottom"/>
          </w:tcPr>
          <w:p>
            <w:pPr>
              <w:spacing w:after="0"/>
              <w:rPr>
                <w:sz w:val="1"/>
                <w:szCs w:val="1"/>
                <w:color w:val="auto"/>
              </w:rPr>
            </w:pPr>
          </w:p>
        </w:tc>
      </w:tr>
      <w:tr>
        <w:trPr>
          <w:trHeight w:val="181"/>
        </w:trPr>
        <w:tc>
          <w:tcPr>
            <w:tcW w:w="3560" w:type="dxa"/>
            <w:vAlign w:val="bottom"/>
            <w:shd w:val="clear" w:color="auto" w:fill="284993"/>
          </w:tcPr>
          <w:p>
            <w:pPr>
              <w:spacing w:after="0"/>
              <w:rPr>
                <w:sz w:val="15"/>
                <w:szCs w:val="15"/>
                <w:color w:val="auto"/>
              </w:rPr>
            </w:pPr>
          </w:p>
        </w:tc>
        <w:tc>
          <w:tcPr>
            <w:tcW w:w="4640" w:type="dxa"/>
            <w:vAlign w:val="bottom"/>
            <w:shd w:val="clear" w:color="auto" w:fill="284993"/>
          </w:tcPr>
          <w:p>
            <w:pPr>
              <w:spacing w:after="0"/>
              <w:rPr>
                <w:sz w:val="15"/>
                <w:szCs w:val="15"/>
                <w:color w:val="auto"/>
              </w:rPr>
            </w:pPr>
          </w:p>
        </w:tc>
        <w:tc>
          <w:tcPr>
            <w:tcW w:w="1120" w:type="dxa"/>
            <w:vAlign w:val="bottom"/>
            <w:shd w:val="clear" w:color="auto" w:fill="284993"/>
          </w:tcPr>
          <w:p>
            <w:pPr>
              <w:jc w:val="center"/>
              <w:ind w:left="122"/>
              <w:spacing w:after="0" w:line="181" w:lineRule="exact"/>
              <w:rPr>
                <w:sz w:val="20"/>
                <w:szCs w:val="20"/>
                <w:color w:val="auto"/>
              </w:rPr>
            </w:pPr>
            <w:r>
              <w:rPr>
                <w:rFonts w:ascii="Arial" w:cs="Arial" w:eastAsia="Arial" w:hAnsi="Arial"/>
                <w:sz w:val="16"/>
                <w:szCs w:val="16"/>
                <w:b w:val="1"/>
                <w:bCs w:val="1"/>
                <w:color w:val="FFFFFF"/>
                <w:w w:val="97"/>
              </w:rPr>
              <w:t>Director</w:t>
            </w:r>
          </w:p>
        </w:tc>
        <w:tc>
          <w:tcPr>
            <w:tcW w:w="0" w:type="dxa"/>
            <w:vAlign w:val="bottom"/>
          </w:tcPr>
          <w:p>
            <w:pPr>
              <w:spacing w:after="0"/>
              <w:rPr>
                <w:sz w:val="1"/>
                <w:szCs w:val="1"/>
                <w:color w:val="auto"/>
              </w:rPr>
            </w:pPr>
          </w:p>
        </w:tc>
      </w:tr>
      <w:tr>
        <w:trPr>
          <w:trHeight w:val="181"/>
        </w:trPr>
        <w:tc>
          <w:tcPr>
            <w:tcW w:w="3560" w:type="dxa"/>
            <w:vAlign w:val="bottom"/>
            <w:shd w:val="clear" w:color="auto" w:fill="284993"/>
          </w:tcPr>
          <w:p>
            <w:pPr>
              <w:spacing w:after="0"/>
              <w:rPr>
                <w:sz w:val="15"/>
                <w:szCs w:val="15"/>
                <w:color w:val="auto"/>
              </w:rPr>
            </w:pPr>
          </w:p>
        </w:tc>
        <w:tc>
          <w:tcPr>
            <w:tcW w:w="4640" w:type="dxa"/>
            <w:vAlign w:val="bottom"/>
            <w:shd w:val="clear" w:color="auto" w:fill="284993"/>
          </w:tcPr>
          <w:p>
            <w:pPr>
              <w:spacing w:after="0"/>
              <w:rPr>
                <w:sz w:val="15"/>
                <w:szCs w:val="15"/>
                <w:color w:val="auto"/>
              </w:rPr>
            </w:pPr>
          </w:p>
        </w:tc>
        <w:tc>
          <w:tcPr>
            <w:tcW w:w="1120" w:type="dxa"/>
            <w:vAlign w:val="bottom"/>
            <w:shd w:val="clear" w:color="auto" w:fill="284993"/>
          </w:tcPr>
          <w:p>
            <w:pPr>
              <w:jc w:val="center"/>
              <w:ind w:left="102"/>
              <w:spacing w:after="0" w:line="181" w:lineRule="exact"/>
              <w:rPr>
                <w:sz w:val="20"/>
                <w:szCs w:val="20"/>
                <w:color w:val="auto"/>
              </w:rPr>
            </w:pPr>
            <w:r>
              <w:rPr>
                <w:rFonts w:ascii="Arial" w:cs="Arial" w:eastAsia="Arial" w:hAnsi="Arial"/>
                <w:sz w:val="16"/>
                <w:szCs w:val="16"/>
                <w:b w:val="1"/>
                <w:bCs w:val="1"/>
                <w:color w:val="FFFFFF"/>
                <w:w w:val="96"/>
              </w:rPr>
              <w:t>Nominees</w:t>
            </w:r>
          </w:p>
        </w:tc>
        <w:tc>
          <w:tcPr>
            <w:tcW w:w="0" w:type="dxa"/>
            <w:vAlign w:val="bottom"/>
          </w:tcPr>
          <w:p>
            <w:pPr>
              <w:spacing w:after="0"/>
              <w:rPr>
                <w:sz w:val="1"/>
                <w:szCs w:val="1"/>
                <w:color w:val="auto"/>
              </w:rPr>
            </w:pPr>
          </w:p>
        </w:tc>
      </w:tr>
      <w:tr>
        <w:trPr>
          <w:trHeight w:val="208"/>
        </w:trPr>
        <w:tc>
          <w:tcPr>
            <w:tcW w:w="3560" w:type="dxa"/>
            <w:vAlign w:val="bottom"/>
            <w:shd w:val="clear" w:color="auto" w:fill="284993"/>
          </w:tcPr>
          <w:p>
            <w:pPr>
              <w:ind w:left="140"/>
              <w:spacing w:after="0"/>
              <w:rPr>
                <w:sz w:val="20"/>
                <w:szCs w:val="20"/>
                <w:color w:val="auto"/>
              </w:rPr>
            </w:pPr>
            <w:r>
              <w:rPr>
                <w:rFonts w:ascii="Arial" w:cs="Arial" w:eastAsia="Arial" w:hAnsi="Arial"/>
                <w:sz w:val="16"/>
                <w:szCs w:val="16"/>
                <w:b w:val="1"/>
                <w:bCs w:val="1"/>
                <w:color w:val="FFFFFF"/>
              </w:rPr>
              <w:t>Skills and Attributes</w:t>
            </w:r>
          </w:p>
        </w:tc>
        <w:tc>
          <w:tcPr>
            <w:tcW w:w="4640" w:type="dxa"/>
            <w:vAlign w:val="bottom"/>
            <w:shd w:val="clear" w:color="auto" w:fill="284993"/>
          </w:tcPr>
          <w:p>
            <w:pPr>
              <w:ind w:left="420"/>
              <w:spacing w:after="0"/>
              <w:rPr>
                <w:sz w:val="20"/>
                <w:szCs w:val="20"/>
                <w:color w:val="auto"/>
              </w:rPr>
            </w:pPr>
            <w:r>
              <w:rPr>
                <w:rFonts w:ascii="Arial" w:cs="Arial" w:eastAsia="Arial" w:hAnsi="Arial"/>
                <w:sz w:val="16"/>
                <w:szCs w:val="16"/>
                <w:b w:val="1"/>
                <w:bCs w:val="1"/>
                <w:color w:val="FFFFFF"/>
              </w:rPr>
              <w:t>Importance to ACI</w:t>
            </w:r>
          </w:p>
        </w:tc>
        <w:tc>
          <w:tcPr>
            <w:tcW w:w="1120" w:type="dxa"/>
            <w:vAlign w:val="bottom"/>
            <w:shd w:val="clear" w:color="auto" w:fill="284993"/>
          </w:tcPr>
          <w:p>
            <w:pPr>
              <w:jc w:val="center"/>
              <w:ind w:left="102"/>
              <w:spacing w:after="0"/>
              <w:rPr>
                <w:sz w:val="20"/>
                <w:szCs w:val="20"/>
                <w:color w:val="auto"/>
              </w:rPr>
            </w:pPr>
            <w:r>
              <w:rPr>
                <w:rFonts w:ascii="Arial" w:cs="Arial" w:eastAsia="Arial" w:hAnsi="Arial"/>
                <w:sz w:val="16"/>
                <w:szCs w:val="16"/>
                <w:b w:val="1"/>
                <w:bCs w:val="1"/>
                <w:color w:val="FFFFFF"/>
                <w:w w:val="96"/>
              </w:rPr>
              <w:t>(out of 7)</w:t>
            </w:r>
          </w:p>
        </w:tc>
        <w:tc>
          <w:tcPr>
            <w:tcW w:w="0" w:type="dxa"/>
            <w:vAlign w:val="bottom"/>
          </w:tcPr>
          <w:p>
            <w:pPr>
              <w:spacing w:after="0"/>
              <w:rPr>
                <w:sz w:val="1"/>
                <w:szCs w:val="1"/>
                <w:color w:val="auto"/>
              </w:rPr>
            </w:pPr>
          </w:p>
        </w:tc>
      </w:tr>
      <w:tr>
        <w:trPr>
          <w:trHeight w:val="194"/>
        </w:trPr>
        <w:tc>
          <w:tcPr>
            <w:tcW w:w="3560" w:type="dxa"/>
            <w:vAlign w:val="bottom"/>
            <w:tcBorders>
              <w:bottom w:val="single" w:sz="8" w:color="284993"/>
            </w:tcBorders>
          </w:tcPr>
          <w:p>
            <w:pPr>
              <w:ind w:left="80"/>
              <w:spacing w:after="0" w:line="194" w:lineRule="exact"/>
              <w:rPr>
                <w:sz w:val="20"/>
                <w:szCs w:val="20"/>
                <w:color w:val="auto"/>
              </w:rPr>
            </w:pPr>
            <w:r>
              <w:rPr>
                <w:rFonts w:ascii="Arial" w:cs="Arial" w:eastAsia="Arial" w:hAnsi="Arial"/>
                <w:sz w:val="17"/>
                <w:szCs w:val="17"/>
                <w:b w:val="1"/>
                <w:bCs w:val="1"/>
                <w:color w:val="284993"/>
              </w:rPr>
              <w:t>•  Payments Industry Knowledge</w:t>
            </w:r>
          </w:p>
        </w:tc>
        <w:tc>
          <w:tcPr>
            <w:tcW w:w="4640" w:type="dxa"/>
            <w:vAlign w:val="bottom"/>
            <w:tcBorders>
              <w:bottom w:val="single" w:sz="8" w:color="284993"/>
            </w:tcBorders>
          </w:tcPr>
          <w:p>
            <w:pPr>
              <w:ind w:left="420"/>
              <w:spacing w:after="0"/>
              <w:rPr>
                <w:sz w:val="20"/>
                <w:szCs w:val="20"/>
                <w:color w:val="auto"/>
              </w:rPr>
            </w:pPr>
            <w:r>
              <w:rPr>
                <w:rFonts w:ascii="Arial" w:cs="Arial" w:eastAsia="Arial" w:hAnsi="Arial"/>
                <w:sz w:val="16"/>
                <w:szCs w:val="16"/>
                <w:color w:val="auto"/>
              </w:rPr>
              <w:t>ACI provides mission-critical real-time payments solutions.</w:t>
            </w:r>
          </w:p>
        </w:tc>
        <w:tc>
          <w:tcPr>
            <w:tcW w:w="1120" w:type="dxa"/>
            <w:vAlign w:val="bottom"/>
            <w:tcBorders>
              <w:bottom w:val="single" w:sz="8" w:color="284993"/>
            </w:tcBorders>
          </w:tcPr>
          <w:p>
            <w:pPr>
              <w:jc w:val="center"/>
              <w:ind w:left="122"/>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68"/>
        </w:trPr>
        <w:tc>
          <w:tcPr>
            <w:tcW w:w="3560" w:type="dxa"/>
            <w:vAlign w:val="bottom"/>
          </w:tcPr>
          <w:p>
            <w:pPr>
              <w:ind w:left="80"/>
              <w:spacing w:after="0" w:line="168" w:lineRule="exact"/>
              <w:rPr>
                <w:sz w:val="20"/>
                <w:szCs w:val="20"/>
                <w:color w:val="auto"/>
              </w:rPr>
            </w:pPr>
            <w:r>
              <w:rPr>
                <w:rFonts w:ascii="Arial" w:cs="Arial" w:eastAsia="Arial" w:hAnsi="Arial"/>
                <w:sz w:val="17"/>
                <w:szCs w:val="17"/>
                <w:b w:val="1"/>
                <w:bCs w:val="1"/>
                <w:color w:val="284993"/>
              </w:rPr>
              <w:t>•  Financial Services Industry</w:t>
            </w:r>
          </w:p>
        </w:tc>
        <w:tc>
          <w:tcPr>
            <w:tcW w:w="4640" w:type="dxa"/>
            <w:vAlign w:val="bottom"/>
          </w:tcPr>
          <w:p>
            <w:pPr>
              <w:ind w:left="420"/>
              <w:spacing w:after="0" w:line="168" w:lineRule="exact"/>
              <w:rPr>
                <w:sz w:val="20"/>
                <w:szCs w:val="20"/>
                <w:color w:val="auto"/>
              </w:rPr>
            </w:pPr>
            <w:r>
              <w:rPr>
                <w:rFonts w:ascii="Arial" w:cs="Arial" w:eastAsia="Arial" w:hAnsi="Arial"/>
                <w:sz w:val="16"/>
                <w:szCs w:val="16"/>
                <w:color w:val="auto"/>
              </w:rPr>
              <w:t>ACI’s customers include financial institutions and financial</w:t>
            </w:r>
          </w:p>
        </w:tc>
        <w:tc>
          <w:tcPr>
            <w:tcW w:w="1120" w:type="dxa"/>
            <w:vAlign w:val="bottom"/>
            <w:vMerge w:val="restart"/>
          </w:tcPr>
          <w:p>
            <w:pPr>
              <w:jc w:val="center"/>
              <w:ind w:left="122"/>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21"/>
        </w:trPr>
        <w:tc>
          <w:tcPr>
            <w:tcW w:w="3560" w:type="dxa"/>
            <w:vAlign w:val="bottom"/>
            <w:vMerge w:val="restart"/>
          </w:tcPr>
          <w:p>
            <w:pPr>
              <w:ind w:left="260"/>
              <w:spacing w:after="0"/>
              <w:rPr>
                <w:sz w:val="20"/>
                <w:szCs w:val="20"/>
                <w:color w:val="auto"/>
              </w:rPr>
            </w:pPr>
            <w:r>
              <w:rPr>
                <w:rFonts w:ascii="Arial" w:cs="Arial" w:eastAsia="Arial" w:hAnsi="Arial"/>
                <w:sz w:val="17"/>
                <w:szCs w:val="17"/>
                <w:b w:val="1"/>
                <w:bCs w:val="1"/>
                <w:color w:val="284993"/>
              </w:rPr>
              <w:t>Experience</w:t>
            </w:r>
          </w:p>
        </w:tc>
        <w:tc>
          <w:tcPr>
            <w:tcW w:w="4640" w:type="dxa"/>
            <w:vAlign w:val="bottom"/>
            <w:vMerge w:val="restart"/>
          </w:tcPr>
          <w:p>
            <w:pPr>
              <w:ind w:left="420"/>
              <w:spacing w:after="0"/>
              <w:rPr>
                <w:sz w:val="20"/>
                <w:szCs w:val="20"/>
                <w:color w:val="auto"/>
              </w:rPr>
            </w:pPr>
            <w:r>
              <w:rPr>
                <w:rFonts w:ascii="Arial" w:cs="Arial" w:eastAsia="Arial" w:hAnsi="Arial"/>
                <w:sz w:val="16"/>
                <w:szCs w:val="16"/>
                <w:color w:val="auto"/>
              </w:rPr>
              <w:t>intermediaries.</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560" w:type="dxa"/>
            <w:vAlign w:val="bottom"/>
            <w:tcBorders>
              <w:bottom w:val="single" w:sz="8" w:color="284993"/>
            </w:tcBorders>
            <w:vMerge w:val="continue"/>
          </w:tcPr>
          <w:p>
            <w:pPr>
              <w:spacing w:after="0"/>
              <w:rPr>
                <w:sz w:val="8"/>
                <w:szCs w:val="8"/>
                <w:color w:val="auto"/>
              </w:rPr>
            </w:pPr>
          </w:p>
        </w:tc>
        <w:tc>
          <w:tcPr>
            <w:tcW w:w="4640" w:type="dxa"/>
            <w:vAlign w:val="bottom"/>
            <w:tcBorders>
              <w:bottom w:val="single" w:sz="8" w:color="284993"/>
            </w:tcBorders>
            <w:vMerge w:val="continue"/>
          </w:tcPr>
          <w:p>
            <w:pPr>
              <w:spacing w:after="0"/>
              <w:rPr>
                <w:sz w:val="8"/>
                <w:szCs w:val="8"/>
                <w:color w:val="auto"/>
              </w:rPr>
            </w:pPr>
          </w:p>
        </w:tc>
        <w:tc>
          <w:tcPr>
            <w:tcW w:w="1120" w:type="dxa"/>
            <w:vAlign w:val="bottom"/>
            <w:tcBorders>
              <w:bottom w:val="single" w:sz="8" w:color="284993"/>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80"/>
              <w:spacing w:after="0" w:line="162" w:lineRule="exact"/>
              <w:rPr>
                <w:sz w:val="20"/>
                <w:szCs w:val="20"/>
                <w:color w:val="auto"/>
              </w:rPr>
            </w:pPr>
            <w:r>
              <w:rPr>
                <w:rFonts w:ascii="Arial" w:cs="Arial" w:eastAsia="Arial" w:hAnsi="Arial"/>
                <w:sz w:val="17"/>
                <w:szCs w:val="17"/>
                <w:b w:val="1"/>
                <w:bCs w:val="1"/>
                <w:color w:val="284993"/>
              </w:rPr>
              <w:t>•  Financial Expert</w:t>
            </w:r>
          </w:p>
        </w:tc>
        <w:tc>
          <w:tcPr>
            <w:tcW w:w="4640" w:type="dxa"/>
            <w:vAlign w:val="bottom"/>
          </w:tcPr>
          <w:p>
            <w:pPr>
              <w:ind w:left="420"/>
              <w:spacing w:after="0" w:line="162" w:lineRule="exact"/>
              <w:rPr>
                <w:sz w:val="20"/>
                <w:szCs w:val="20"/>
                <w:color w:val="auto"/>
              </w:rPr>
            </w:pPr>
            <w:r>
              <w:rPr>
                <w:rFonts w:ascii="Arial" w:cs="Arial" w:eastAsia="Arial" w:hAnsi="Arial"/>
                <w:sz w:val="16"/>
                <w:szCs w:val="16"/>
                <w:color w:val="auto"/>
              </w:rPr>
              <w:t>Having board members who meet the SEC definition of a</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60" w:type="dxa"/>
            <w:vAlign w:val="bottom"/>
          </w:tcPr>
          <w:p>
            <w:pPr>
              <w:spacing w:after="0"/>
              <w:rPr>
                <w:sz w:val="15"/>
                <w:szCs w:val="15"/>
                <w:color w:val="auto"/>
              </w:rPr>
            </w:pPr>
          </w:p>
        </w:tc>
        <w:tc>
          <w:tcPr>
            <w:tcW w:w="4640" w:type="dxa"/>
            <w:vAlign w:val="bottom"/>
          </w:tcPr>
          <w:p>
            <w:pPr>
              <w:ind w:left="420"/>
              <w:spacing w:after="0" w:line="181" w:lineRule="exact"/>
              <w:rPr>
                <w:sz w:val="20"/>
                <w:szCs w:val="20"/>
                <w:color w:val="auto"/>
              </w:rPr>
            </w:pPr>
            <w:r>
              <w:rPr>
                <w:rFonts w:ascii="Arial" w:cs="Arial" w:eastAsia="Arial" w:hAnsi="Arial"/>
                <w:sz w:val="16"/>
                <w:szCs w:val="16"/>
                <w:color w:val="auto"/>
              </w:rPr>
              <w:t>financial expert helps ensure ACI fulfills its financial,</w:t>
            </w:r>
          </w:p>
        </w:tc>
        <w:tc>
          <w:tcPr>
            <w:tcW w:w="1120" w:type="dxa"/>
            <w:vAlign w:val="bottom"/>
          </w:tcPr>
          <w:p>
            <w:pPr>
              <w:jc w:val="center"/>
              <w:ind w:left="122"/>
              <w:spacing w:after="0" w:line="181" w:lineRule="exact"/>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193"/>
        </w:trPr>
        <w:tc>
          <w:tcPr>
            <w:tcW w:w="3560" w:type="dxa"/>
            <w:vAlign w:val="bottom"/>
            <w:tcBorders>
              <w:bottom w:val="single" w:sz="8" w:color="284993"/>
            </w:tcBorders>
          </w:tcPr>
          <w:p>
            <w:pPr>
              <w:spacing w:after="0"/>
              <w:rPr>
                <w:sz w:val="16"/>
                <w:szCs w:val="16"/>
                <w:color w:val="auto"/>
              </w:rPr>
            </w:pPr>
          </w:p>
        </w:tc>
        <w:tc>
          <w:tcPr>
            <w:tcW w:w="4640" w:type="dxa"/>
            <w:vAlign w:val="bottom"/>
            <w:tcBorders>
              <w:bottom w:val="single" w:sz="8" w:color="284993"/>
            </w:tcBorders>
          </w:tcPr>
          <w:p>
            <w:pPr>
              <w:ind w:left="420"/>
              <w:spacing w:after="0"/>
              <w:rPr>
                <w:sz w:val="20"/>
                <w:szCs w:val="20"/>
                <w:color w:val="auto"/>
              </w:rPr>
            </w:pPr>
            <w:r>
              <w:rPr>
                <w:rFonts w:ascii="Arial" w:cs="Arial" w:eastAsia="Arial" w:hAnsi="Arial"/>
                <w:sz w:val="16"/>
                <w:szCs w:val="16"/>
                <w:color w:val="auto"/>
              </w:rPr>
              <w:t>accounting and reporting obligations.</w:t>
            </w:r>
          </w:p>
        </w:tc>
        <w:tc>
          <w:tcPr>
            <w:tcW w:w="1120" w:type="dxa"/>
            <w:vAlign w:val="bottom"/>
            <w:tcBorders>
              <w:bottom w:val="single" w:sz="8" w:color="284993"/>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80"/>
              <w:spacing w:after="0" w:line="162" w:lineRule="exact"/>
              <w:rPr>
                <w:sz w:val="20"/>
                <w:szCs w:val="20"/>
                <w:color w:val="auto"/>
              </w:rPr>
            </w:pPr>
            <w:r>
              <w:rPr>
                <w:rFonts w:ascii="Arial" w:cs="Arial" w:eastAsia="Arial" w:hAnsi="Arial"/>
                <w:sz w:val="17"/>
                <w:szCs w:val="17"/>
                <w:b w:val="1"/>
                <w:bCs w:val="1"/>
                <w:color w:val="284993"/>
              </w:rPr>
              <w:t>•  Financial Management Experience</w:t>
            </w:r>
          </w:p>
        </w:tc>
        <w:tc>
          <w:tcPr>
            <w:tcW w:w="4640" w:type="dxa"/>
            <w:vAlign w:val="bottom"/>
          </w:tcPr>
          <w:p>
            <w:pPr>
              <w:ind w:left="420"/>
              <w:spacing w:after="0" w:line="162" w:lineRule="exact"/>
              <w:rPr>
                <w:sz w:val="20"/>
                <w:szCs w:val="20"/>
                <w:color w:val="auto"/>
              </w:rPr>
            </w:pPr>
            <w:r>
              <w:rPr>
                <w:rFonts w:ascii="Arial" w:cs="Arial" w:eastAsia="Arial" w:hAnsi="Arial"/>
                <w:sz w:val="16"/>
                <w:szCs w:val="16"/>
                <w:color w:val="auto"/>
              </w:rPr>
              <w:t>ACI’s business involves long-term contracts with significant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60" w:type="dxa"/>
            <w:vAlign w:val="bottom"/>
          </w:tcPr>
          <w:p>
            <w:pPr>
              <w:spacing w:after="0"/>
              <w:rPr>
                <w:sz w:val="15"/>
                <w:szCs w:val="15"/>
                <w:color w:val="auto"/>
              </w:rPr>
            </w:pPr>
          </w:p>
        </w:tc>
        <w:tc>
          <w:tcPr>
            <w:tcW w:w="4640" w:type="dxa"/>
            <w:vAlign w:val="bottom"/>
          </w:tcPr>
          <w:p>
            <w:pPr>
              <w:ind w:left="420"/>
              <w:spacing w:after="0" w:line="181" w:lineRule="exact"/>
              <w:rPr>
                <w:sz w:val="20"/>
                <w:szCs w:val="20"/>
                <w:color w:val="auto"/>
              </w:rPr>
            </w:pPr>
            <w:r>
              <w:rPr>
                <w:rFonts w:ascii="Arial" w:cs="Arial" w:eastAsia="Arial" w:hAnsi="Arial"/>
                <w:sz w:val="16"/>
                <w:szCs w:val="16"/>
                <w:color w:val="auto"/>
              </w:rPr>
              <w:t>economic value. ACI’s capital structure is important to the</w:t>
            </w:r>
          </w:p>
        </w:tc>
        <w:tc>
          <w:tcPr>
            <w:tcW w:w="1120" w:type="dxa"/>
            <w:vAlign w:val="bottom"/>
          </w:tcPr>
          <w:p>
            <w:pPr>
              <w:jc w:val="center"/>
              <w:ind w:left="122"/>
              <w:spacing w:after="0" w:line="181" w:lineRule="exact"/>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193"/>
        </w:trPr>
        <w:tc>
          <w:tcPr>
            <w:tcW w:w="3560" w:type="dxa"/>
            <w:vAlign w:val="bottom"/>
            <w:tcBorders>
              <w:bottom w:val="single" w:sz="8" w:color="284993"/>
            </w:tcBorders>
          </w:tcPr>
          <w:p>
            <w:pPr>
              <w:spacing w:after="0"/>
              <w:rPr>
                <w:sz w:val="16"/>
                <w:szCs w:val="16"/>
                <w:color w:val="auto"/>
              </w:rPr>
            </w:pPr>
          </w:p>
        </w:tc>
        <w:tc>
          <w:tcPr>
            <w:tcW w:w="4640" w:type="dxa"/>
            <w:vAlign w:val="bottom"/>
            <w:tcBorders>
              <w:bottom w:val="single" w:sz="8" w:color="284993"/>
            </w:tcBorders>
          </w:tcPr>
          <w:p>
            <w:pPr>
              <w:ind w:left="420"/>
              <w:spacing w:after="0"/>
              <w:rPr>
                <w:sz w:val="20"/>
                <w:szCs w:val="20"/>
                <w:color w:val="auto"/>
              </w:rPr>
            </w:pPr>
            <w:r>
              <w:rPr>
                <w:rFonts w:ascii="Arial" w:cs="Arial" w:eastAsia="Arial" w:hAnsi="Arial"/>
                <w:sz w:val="16"/>
                <w:szCs w:val="16"/>
                <w:color w:val="auto"/>
              </w:rPr>
              <w:t>achievement of its long-term financial goals.</w:t>
            </w:r>
          </w:p>
        </w:tc>
        <w:tc>
          <w:tcPr>
            <w:tcW w:w="1120" w:type="dxa"/>
            <w:vAlign w:val="bottom"/>
            <w:tcBorders>
              <w:bottom w:val="single" w:sz="8" w:color="284993"/>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560" w:type="dxa"/>
            <w:vAlign w:val="bottom"/>
          </w:tcPr>
          <w:p>
            <w:pPr>
              <w:ind w:left="80"/>
              <w:spacing w:after="0" w:line="168" w:lineRule="exact"/>
              <w:rPr>
                <w:sz w:val="20"/>
                <w:szCs w:val="20"/>
                <w:color w:val="auto"/>
              </w:rPr>
            </w:pPr>
            <w:r>
              <w:rPr>
                <w:rFonts w:ascii="Arial" w:cs="Arial" w:eastAsia="Arial" w:hAnsi="Arial"/>
                <w:sz w:val="17"/>
                <w:szCs w:val="17"/>
                <w:b w:val="1"/>
                <w:bCs w:val="1"/>
                <w:color w:val="284993"/>
              </w:rPr>
              <w:t>•  Executive Leadership of a Complex</w:t>
            </w:r>
          </w:p>
        </w:tc>
        <w:tc>
          <w:tcPr>
            <w:tcW w:w="4640" w:type="dxa"/>
            <w:vAlign w:val="bottom"/>
          </w:tcPr>
          <w:p>
            <w:pPr>
              <w:ind w:left="420"/>
              <w:spacing w:after="0" w:line="168" w:lineRule="exact"/>
              <w:rPr>
                <w:sz w:val="20"/>
                <w:szCs w:val="20"/>
                <w:color w:val="auto"/>
              </w:rPr>
            </w:pPr>
            <w:r>
              <w:rPr>
                <w:rFonts w:ascii="Arial" w:cs="Arial" w:eastAsia="Arial" w:hAnsi="Arial"/>
                <w:sz w:val="16"/>
                <w:szCs w:val="16"/>
                <w:color w:val="auto"/>
              </w:rPr>
              <w:t>Senior leadership experience provides perspective on</w:t>
            </w:r>
          </w:p>
        </w:tc>
        <w:tc>
          <w:tcPr>
            <w:tcW w:w="1120" w:type="dxa"/>
            <w:vAlign w:val="bottom"/>
            <w:vMerge w:val="restart"/>
          </w:tcPr>
          <w:p>
            <w:pPr>
              <w:jc w:val="center"/>
              <w:ind w:left="122"/>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121"/>
        </w:trPr>
        <w:tc>
          <w:tcPr>
            <w:tcW w:w="3560" w:type="dxa"/>
            <w:vAlign w:val="bottom"/>
            <w:vMerge w:val="restart"/>
          </w:tcPr>
          <w:p>
            <w:pPr>
              <w:ind w:left="260"/>
              <w:spacing w:after="0"/>
              <w:rPr>
                <w:sz w:val="20"/>
                <w:szCs w:val="20"/>
                <w:color w:val="auto"/>
              </w:rPr>
            </w:pPr>
            <w:r>
              <w:rPr>
                <w:rFonts w:ascii="Arial" w:cs="Arial" w:eastAsia="Arial" w:hAnsi="Arial"/>
                <w:sz w:val="17"/>
                <w:szCs w:val="17"/>
                <w:b w:val="1"/>
                <w:bCs w:val="1"/>
                <w:color w:val="284993"/>
              </w:rPr>
              <w:t>Business</w:t>
            </w:r>
          </w:p>
        </w:tc>
        <w:tc>
          <w:tcPr>
            <w:tcW w:w="4640" w:type="dxa"/>
            <w:vAlign w:val="bottom"/>
            <w:vMerge w:val="restart"/>
          </w:tcPr>
          <w:p>
            <w:pPr>
              <w:ind w:left="420"/>
              <w:spacing w:after="0"/>
              <w:rPr>
                <w:sz w:val="20"/>
                <w:szCs w:val="20"/>
                <w:color w:val="auto"/>
              </w:rPr>
            </w:pPr>
            <w:r>
              <w:rPr>
                <w:rFonts w:ascii="Arial" w:cs="Arial" w:eastAsia="Arial" w:hAnsi="Arial"/>
                <w:sz w:val="16"/>
                <w:szCs w:val="16"/>
                <w:color w:val="auto"/>
              </w:rPr>
              <w:t>business matters.</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560" w:type="dxa"/>
            <w:vAlign w:val="bottom"/>
            <w:tcBorders>
              <w:bottom w:val="single" w:sz="8" w:color="284993"/>
            </w:tcBorders>
            <w:vMerge w:val="continue"/>
          </w:tcPr>
          <w:p>
            <w:pPr>
              <w:spacing w:after="0"/>
              <w:rPr>
                <w:sz w:val="8"/>
                <w:szCs w:val="8"/>
                <w:color w:val="auto"/>
              </w:rPr>
            </w:pPr>
          </w:p>
        </w:tc>
        <w:tc>
          <w:tcPr>
            <w:tcW w:w="4640" w:type="dxa"/>
            <w:vAlign w:val="bottom"/>
            <w:tcBorders>
              <w:bottom w:val="single" w:sz="8" w:color="284993"/>
            </w:tcBorders>
            <w:vMerge w:val="continue"/>
          </w:tcPr>
          <w:p>
            <w:pPr>
              <w:spacing w:after="0"/>
              <w:rPr>
                <w:sz w:val="8"/>
                <w:szCs w:val="8"/>
                <w:color w:val="auto"/>
              </w:rPr>
            </w:pPr>
          </w:p>
        </w:tc>
        <w:tc>
          <w:tcPr>
            <w:tcW w:w="1120" w:type="dxa"/>
            <w:vAlign w:val="bottom"/>
            <w:tcBorders>
              <w:bottom w:val="single" w:sz="8" w:color="284993"/>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80"/>
              <w:spacing w:after="0" w:line="162" w:lineRule="exact"/>
              <w:rPr>
                <w:sz w:val="20"/>
                <w:szCs w:val="20"/>
                <w:color w:val="auto"/>
              </w:rPr>
            </w:pPr>
            <w:r>
              <w:rPr>
                <w:rFonts w:ascii="Arial" w:cs="Arial" w:eastAsia="Arial" w:hAnsi="Arial"/>
                <w:sz w:val="17"/>
                <w:szCs w:val="17"/>
                <w:b w:val="1"/>
                <w:bCs w:val="1"/>
                <w:color w:val="284993"/>
              </w:rPr>
              <w:t>•  Technology and Innovation</w:t>
            </w:r>
          </w:p>
        </w:tc>
        <w:tc>
          <w:tcPr>
            <w:tcW w:w="4640" w:type="dxa"/>
            <w:vAlign w:val="bottom"/>
          </w:tcPr>
          <w:p>
            <w:pPr>
              <w:ind w:left="420"/>
              <w:spacing w:after="0" w:line="162" w:lineRule="exact"/>
              <w:rPr>
                <w:sz w:val="20"/>
                <w:szCs w:val="20"/>
                <w:color w:val="auto"/>
              </w:rPr>
            </w:pPr>
            <w:r>
              <w:rPr>
                <w:rFonts w:ascii="Arial" w:cs="Arial" w:eastAsia="Arial" w:hAnsi="Arial"/>
                <w:sz w:val="16"/>
                <w:szCs w:val="16"/>
                <w:color w:val="auto"/>
              </w:rPr>
              <w:t>Ensuring that ACI’s products are positioned to meet the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60" w:type="dxa"/>
            <w:vAlign w:val="bottom"/>
          </w:tcPr>
          <w:p>
            <w:pPr>
              <w:ind w:left="260"/>
              <w:spacing w:after="0" w:line="181" w:lineRule="exact"/>
              <w:rPr>
                <w:sz w:val="20"/>
                <w:szCs w:val="20"/>
                <w:color w:val="auto"/>
              </w:rPr>
            </w:pPr>
            <w:r>
              <w:rPr>
                <w:rFonts w:ascii="Arial" w:cs="Arial" w:eastAsia="Arial" w:hAnsi="Arial"/>
                <w:sz w:val="17"/>
                <w:szCs w:val="17"/>
                <w:b w:val="1"/>
                <w:bCs w:val="1"/>
                <w:color w:val="284993"/>
              </w:rPr>
              <w:t>Experience</w:t>
            </w:r>
          </w:p>
        </w:tc>
        <w:tc>
          <w:tcPr>
            <w:tcW w:w="4640" w:type="dxa"/>
            <w:vAlign w:val="bottom"/>
          </w:tcPr>
          <w:p>
            <w:pPr>
              <w:ind w:left="420"/>
              <w:spacing w:after="0" w:line="181" w:lineRule="exact"/>
              <w:rPr>
                <w:sz w:val="20"/>
                <w:szCs w:val="20"/>
                <w:color w:val="auto"/>
              </w:rPr>
            </w:pPr>
            <w:r>
              <w:rPr>
                <w:rFonts w:ascii="Arial" w:cs="Arial" w:eastAsia="Arial" w:hAnsi="Arial"/>
                <w:sz w:val="16"/>
                <w:szCs w:val="16"/>
                <w:color w:val="auto"/>
              </w:rPr>
              <w:t>demands of an evolving payments industry is critical to</w:t>
            </w:r>
          </w:p>
        </w:tc>
        <w:tc>
          <w:tcPr>
            <w:tcW w:w="1120" w:type="dxa"/>
            <w:vAlign w:val="bottom"/>
          </w:tcPr>
          <w:p>
            <w:pPr>
              <w:jc w:val="center"/>
              <w:ind w:left="122"/>
              <w:spacing w:after="0" w:line="181" w:lineRule="exact"/>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193"/>
        </w:trPr>
        <w:tc>
          <w:tcPr>
            <w:tcW w:w="3560" w:type="dxa"/>
            <w:vAlign w:val="bottom"/>
            <w:tcBorders>
              <w:bottom w:val="single" w:sz="8" w:color="284993"/>
            </w:tcBorders>
          </w:tcPr>
          <w:p>
            <w:pPr>
              <w:spacing w:after="0"/>
              <w:rPr>
                <w:sz w:val="16"/>
                <w:szCs w:val="16"/>
                <w:color w:val="auto"/>
              </w:rPr>
            </w:pPr>
          </w:p>
        </w:tc>
        <w:tc>
          <w:tcPr>
            <w:tcW w:w="4640" w:type="dxa"/>
            <w:vAlign w:val="bottom"/>
            <w:tcBorders>
              <w:bottom w:val="single" w:sz="8" w:color="284993"/>
            </w:tcBorders>
          </w:tcPr>
          <w:p>
            <w:pPr>
              <w:ind w:left="420"/>
              <w:spacing w:after="0"/>
              <w:rPr>
                <w:sz w:val="20"/>
                <w:szCs w:val="20"/>
                <w:color w:val="auto"/>
              </w:rPr>
            </w:pPr>
            <w:r>
              <w:rPr>
                <w:rFonts w:ascii="Arial" w:cs="Arial" w:eastAsia="Arial" w:hAnsi="Arial"/>
                <w:sz w:val="16"/>
                <w:szCs w:val="16"/>
                <w:color w:val="auto"/>
              </w:rPr>
              <w:t>ACI’s future success.</w:t>
            </w:r>
          </w:p>
        </w:tc>
        <w:tc>
          <w:tcPr>
            <w:tcW w:w="1120" w:type="dxa"/>
            <w:vAlign w:val="bottom"/>
            <w:tcBorders>
              <w:bottom w:val="single" w:sz="8" w:color="284993"/>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80"/>
              <w:spacing w:after="0" w:line="162" w:lineRule="exact"/>
              <w:rPr>
                <w:sz w:val="20"/>
                <w:szCs w:val="20"/>
                <w:color w:val="auto"/>
              </w:rPr>
            </w:pPr>
            <w:r>
              <w:rPr>
                <w:rFonts w:ascii="Arial" w:cs="Arial" w:eastAsia="Arial" w:hAnsi="Arial"/>
                <w:sz w:val="17"/>
                <w:szCs w:val="17"/>
                <w:b w:val="1"/>
                <w:bCs w:val="1"/>
                <w:color w:val="284993"/>
              </w:rPr>
              <w:t>•  Risk and Regulatory Experience</w:t>
            </w:r>
          </w:p>
        </w:tc>
        <w:tc>
          <w:tcPr>
            <w:tcW w:w="4640" w:type="dxa"/>
            <w:vAlign w:val="bottom"/>
          </w:tcPr>
          <w:p>
            <w:pPr>
              <w:ind w:left="420"/>
              <w:spacing w:after="0" w:line="162" w:lineRule="exact"/>
              <w:rPr>
                <w:sz w:val="20"/>
                <w:szCs w:val="20"/>
                <w:color w:val="auto"/>
              </w:rPr>
            </w:pPr>
            <w:r>
              <w:rPr>
                <w:rFonts w:ascii="Arial" w:cs="Arial" w:eastAsia="Arial" w:hAnsi="Arial"/>
                <w:sz w:val="16"/>
                <w:szCs w:val="16"/>
                <w:color w:val="auto"/>
              </w:rPr>
              <w:t>The Board’s responsibilities include understanding and</w:t>
            </w:r>
          </w:p>
        </w:tc>
        <w:tc>
          <w:tcPr>
            <w:tcW w:w="1120" w:type="dxa"/>
            <w:vAlign w:val="bottom"/>
            <w:vMerge w:val="restart"/>
          </w:tcPr>
          <w:p>
            <w:pPr>
              <w:jc w:val="center"/>
              <w:ind w:left="122"/>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14"/>
        </w:trPr>
        <w:tc>
          <w:tcPr>
            <w:tcW w:w="3560" w:type="dxa"/>
            <w:vAlign w:val="bottom"/>
          </w:tcPr>
          <w:p>
            <w:pPr>
              <w:spacing w:after="0"/>
              <w:rPr>
                <w:sz w:val="9"/>
                <w:szCs w:val="9"/>
                <w:color w:val="auto"/>
              </w:rPr>
            </w:pPr>
          </w:p>
        </w:tc>
        <w:tc>
          <w:tcPr>
            <w:tcW w:w="4640" w:type="dxa"/>
            <w:vAlign w:val="bottom"/>
            <w:vMerge w:val="restart"/>
          </w:tcPr>
          <w:p>
            <w:pPr>
              <w:ind w:left="420"/>
              <w:spacing w:after="0"/>
              <w:rPr>
                <w:sz w:val="20"/>
                <w:szCs w:val="20"/>
                <w:color w:val="auto"/>
              </w:rPr>
            </w:pPr>
            <w:r>
              <w:rPr>
                <w:rFonts w:ascii="Arial" w:cs="Arial" w:eastAsia="Arial" w:hAnsi="Arial"/>
                <w:sz w:val="16"/>
                <w:szCs w:val="16"/>
                <w:color w:val="auto"/>
              </w:rPr>
              <w:t>overseeing the various risks facing ACI.</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560" w:type="dxa"/>
            <w:vAlign w:val="bottom"/>
            <w:tcBorders>
              <w:bottom w:val="single" w:sz="8" w:color="284993"/>
            </w:tcBorders>
          </w:tcPr>
          <w:p>
            <w:pPr>
              <w:spacing w:after="0"/>
              <w:rPr>
                <w:sz w:val="6"/>
                <w:szCs w:val="6"/>
                <w:color w:val="auto"/>
              </w:rPr>
            </w:pPr>
          </w:p>
        </w:tc>
        <w:tc>
          <w:tcPr>
            <w:tcW w:w="4640" w:type="dxa"/>
            <w:vAlign w:val="bottom"/>
            <w:tcBorders>
              <w:bottom w:val="single" w:sz="8" w:color="284993"/>
            </w:tcBorders>
            <w:vMerge w:val="continue"/>
          </w:tcPr>
          <w:p>
            <w:pPr>
              <w:spacing w:after="0"/>
              <w:rPr>
                <w:sz w:val="6"/>
                <w:szCs w:val="6"/>
                <w:color w:val="auto"/>
              </w:rPr>
            </w:pPr>
          </w:p>
        </w:tc>
        <w:tc>
          <w:tcPr>
            <w:tcW w:w="1120" w:type="dxa"/>
            <w:vAlign w:val="bottom"/>
            <w:tcBorders>
              <w:bottom w:val="single" w:sz="8" w:color="284993"/>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80"/>
              <w:spacing w:after="0" w:line="162" w:lineRule="exact"/>
              <w:rPr>
                <w:sz w:val="20"/>
                <w:szCs w:val="20"/>
                <w:color w:val="auto"/>
              </w:rPr>
            </w:pPr>
            <w:r>
              <w:rPr>
                <w:rFonts w:ascii="Arial" w:cs="Arial" w:eastAsia="Arial" w:hAnsi="Arial"/>
                <w:sz w:val="17"/>
                <w:szCs w:val="17"/>
                <w:b w:val="1"/>
                <w:bCs w:val="1"/>
                <w:color w:val="284993"/>
              </w:rPr>
              <w:t>•  International Experience</w:t>
            </w:r>
          </w:p>
        </w:tc>
        <w:tc>
          <w:tcPr>
            <w:tcW w:w="4640" w:type="dxa"/>
            <w:vAlign w:val="bottom"/>
          </w:tcPr>
          <w:p>
            <w:pPr>
              <w:ind w:left="420"/>
              <w:spacing w:after="0" w:line="162" w:lineRule="exact"/>
              <w:rPr>
                <w:sz w:val="20"/>
                <w:szCs w:val="20"/>
                <w:color w:val="auto"/>
              </w:rPr>
            </w:pPr>
            <w:r>
              <w:rPr>
                <w:rFonts w:ascii="Arial" w:cs="Arial" w:eastAsia="Arial" w:hAnsi="Arial"/>
                <w:sz w:val="16"/>
                <w:szCs w:val="16"/>
                <w:color w:val="auto"/>
              </w:rPr>
              <w:t>ACI serves customers in more than 95 countries on six</w:t>
            </w:r>
          </w:p>
        </w:tc>
        <w:tc>
          <w:tcPr>
            <w:tcW w:w="1120" w:type="dxa"/>
            <w:vAlign w:val="bottom"/>
            <w:vMerge w:val="restart"/>
          </w:tcPr>
          <w:p>
            <w:pPr>
              <w:jc w:val="center"/>
              <w:ind w:left="122"/>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14"/>
        </w:trPr>
        <w:tc>
          <w:tcPr>
            <w:tcW w:w="3560" w:type="dxa"/>
            <w:vAlign w:val="bottom"/>
          </w:tcPr>
          <w:p>
            <w:pPr>
              <w:spacing w:after="0"/>
              <w:rPr>
                <w:sz w:val="9"/>
                <w:szCs w:val="9"/>
                <w:color w:val="auto"/>
              </w:rPr>
            </w:pPr>
          </w:p>
        </w:tc>
        <w:tc>
          <w:tcPr>
            <w:tcW w:w="4640" w:type="dxa"/>
            <w:vAlign w:val="bottom"/>
            <w:vMerge w:val="restart"/>
          </w:tcPr>
          <w:p>
            <w:pPr>
              <w:ind w:left="420"/>
              <w:spacing w:after="0"/>
              <w:rPr>
                <w:sz w:val="20"/>
                <w:szCs w:val="20"/>
                <w:color w:val="auto"/>
              </w:rPr>
            </w:pPr>
            <w:r>
              <w:rPr>
                <w:rFonts w:ascii="Arial" w:cs="Arial" w:eastAsia="Arial" w:hAnsi="Arial"/>
                <w:sz w:val="16"/>
                <w:szCs w:val="16"/>
                <w:color w:val="auto"/>
              </w:rPr>
              <w:t>continents.</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560" w:type="dxa"/>
            <w:vAlign w:val="bottom"/>
            <w:tcBorders>
              <w:bottom w:val="single" w:sz="8" w:color="284993"/>
            </w:tcBorders>
          </w:tcPr>
          <w:p>
            <w:pPr>
              <w:spacing w:after="0"/>
              <w:rPr>
                <w:sz w:val="6"/>
                <w:szCs w:val="6"/>
                <w:color w:val="auto"/>
              </w:rPr>
            </w:pPr>
          </w:p>
        </w:tc>
        <w:tc>
          <w:tcPr>
            <w:tcW w:w="4640" w:type="dxa"/>
            <w:vAlign w:val="bottom"/>
            <w:tcBorders>
              <w:bottom w:val="single" w:sz="8" w:color="284993"/>
            </w:tcBorders>
            <w:vMerge w:val="continue"/>
          </w:tcPr>
          <w:p>
            <w:pPr>
              <w:spacing w:after="0"/>
              <w:rPr>
                <w:sz w:val="6"/>
                <w:szCs w:val="6"/>
                <w:color w:val="auto"/>
              </w:rPr>
            </w:pPr>
          </w:p>
        </w:tc>
        <w:tc>
          <w:tcPr>
            <w:tcW w:w="1120" w:type="dxa"/>
            <w:vAlign w:val="bottom"/>
            <w:tcBorders>
              <w:bottom w:val="single" w:sz="8" w:color="284993"/>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17</w:t>
      </w:r>
    </w:p>
    <w:p>
      <w:pPr>
        <w:sectPr>
          <w:pgSz w:w="11900" w:h="16838" w:orient="portrait"/>
          <w:cols w:equalWidth="0" w:num="1">
            <w:col w:w="9320"/>
          </w:cols>
          <w:pgMar w:left="1280" w:top="285" w:right="1299" w:bottom="1440" w:gutter="0" w:footer="0" w:header="0"/>
        </w:sectPr>
      </w:pPr>
    </w:p>
    <w:bookmarkStart w:id="23" w:name="page24"/>
    <w:bookmarkEnd w:id="23"/>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Director Nominees</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following provides biographical information regarding our director nominees and describes the key skills, experience and expertise that each director nominee brings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5937885" cy="43097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37885" cy="4309745"/>
                    </a:xfrm>
                    <a:prstGeom prst="rect">
                      <a:avLst/>
                    </a:prstGeom>
                    <a:noFill/>
                  </pic:spPr>
                </pic:pic>
              </a:graphicData>
            </a:graphic>
          </wp:anchor>
        </w:drawing>
      </w:r>
    </w:p>
    <w:p>
      <w:pPr>
        <w:sectPr>
          <w:pgSz w:w="11900" w:h="16838" w:orient="portrait"/>
          <w:cols w:equalWidth="0" w:num="1">
            <w:col w:w="9240"/>
          </w:cols>
          <w:pgMar w:left="1280" w:top="285" w:right="137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284993"/>
        </w:rPr>
        <w:t>Thomas W. Warsop III</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Independent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Committee Memberships:</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Other Public Company Boards:</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2801620</wp:posOffset>
            </wp:positionV>
            <wp:extent cx="699135" cy="1314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Roles</w:t>
      </w:r>
    </w:p>
    <w:p>
      <w:pPr>
        <w:spacing w:after="0" w:line="11" w:lineRule="exact"/>
        <w:rPr>
          <w:sz w:val="20"/>
          <w:szCs w:val="20"/>
          <w:color w:val="auto"/>
        </w:rPr>
      </w:pPr>
    </w:p>
    <w:p>
      <w:pPr>
        <w:ind w:left="140" w:right="840" w:hanging="154"/>
        <w:spacing w:after="0" w:line="245" w:lineRule="auto"/>
        <w:rPr>
          <w:sz w:val="20"/>
          <w:szCs w:val="20"/>
          <w:color w:val="auto"/>
        </w:rPr>
      </w:pPr>
      <w:r>
        <w:rPr>
          <w:rFonts w:ascii="Arial" w:cs="Arial" w:eastAsia="Arial" w:hAnsi="Arial"/>
          <w:sz w:val="16"/>
          <w:szCs w:val="16"/>
          <w:color w:val="auto"/>
        </w:rPr>
        <w:t>•  Interim President and Chief Executive Officer of ACI Worldwide, Inc. since November 2022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Roles</w:t>
      </w:r>
    </w:p>
    <w:p>
      <w:pPr>
        <w:spacing w:after="0" w:line="11" w:lineRule="exact"/>
        <w:rPr>
          <w:sz w:val="20"/>
          <w:szCs w:val="20"/>
          <w:color w:val="auto"/>
        </w:rPr>
      </w:pPr>
    </w:p>
    <w:p>
      <w:pPr>
        <w:ind w:left="140" w:right="280" w:hanging="154"/>
        <w:spacing w:after="0" w:line="236" w:lineRule="auto"/>
        <w:rPr>
          <w:sz w:val="20"/>
          <w:szCs w:val="20"/>
          <w:color w:val="auto"/>
        </w:rPr>
      </w:pPr>
      <w:r>
        <w:rPr>
          <w:rFonts w:ascii="Arial" w:cs="Arial" w:eastAsia="Arial" w:hAnsi="Arial"/>
          <w:sz w:val="16"/>
          <w:szCs w:val="16"/>
          <w:color w:val="auto"/>
        </w:rPr>
        <w:t>•  Chief Executive Officer of One Call Care Management, the leading provider of ancillary services and cost containment solutions to the Workers’ Compensation industry, from February 2020 to May 2022; Executive Chairman from May 2022 to December 2022</w:t>
      </w:r>
    </w:p>
    <w:p>
      <w:pPr>
        <w:spacing w:after="0" w:line="2" w:lineRule="exact"/>
        <w:rPr>
          <w:sz w:val="20"/>
          <w:szCs w:val="20"/>
          <w:color w:val="auto"/>
        </w:rPr>
      </w:pPr>
    </w:p>
    <w:p>
      <w:pPr>
        <w:ind w:left="140" w:right="840" w:hanging="154"/>
        <w:spacing w:after="0" w:line="236" w:lineRule="auto"/>
        <w:rPr>
          <w:sz w:val="20"/>
          <w:szCs w:val="20"/>
          <w:color w:val="auto"/>
        </w:rPr>
      </w:pPr>
      <w:r>
        <w:rPr>
          <w:rFonts w:ascii="Arial" w:cs="Arial" w:eastAsia="Arial" w:hAnsi="Arial"/>
          <w:sz w:val="16"/>
          <w:szCs w:val="16"/>
          <w:color w:val="auto"/>
        </w:rPr>
        <w:t>•  Chief Executive Officer of Hananui, LLC, a provider of strategic consulting services, since January 2017</w:t>
      </w:r>
    </w:p>
    <w:p>
      <w:pPr>
        <w:spacing w:after="0" w:line="1" w:lineRule="exact"/>
        <w:rPr>
          <w:sz w:val="20"/>
          <w:szCs w:val="20"/>
          <w:color w:val="auto"/>
        </w:rPr>
      </w:pPr>
    </w:p>
    <w:p>
      <w:pPr>
        <w:ind w:left="140" w:right="320" w:hanging="154"/>
        <w:spacing w:after="0" w:line="270" w:lineRule="auto"/>
        <w:rPr>
          <w:sz w:val="20"/>
          <w:szCs w:val="20"/>
          <w:color w:val="auto"/>
        </w:rPr>
      </w:pPr>
      <w:r>
        <w:rPr>
          <w:rFonts w:ascii="Arial" w:cs="Arial" w:eastAsia="Arial" w:hAnsi="Arial"/>
          <w:sz w:val="14"/>
          <w:szCs w:val="14"/>
          <w:color w:val="auto"/>
        </w:rPr>
        <w:t>•  Executive Chairman of York Risk Services Group, a leading provider of integrated insurance and managed care solutions, from June 2017 until January 2020</w:t>
      </w:r>
    </w:p>
    <w:p>
      <w:pPr>
        <w:ind w:left="140" w:right="460" w:hanging="154"/>
        <w:spacing w:after="0" w:line="236" w:lineRule="auto"/>
        <w:rPr>
          <w:sz w:val="20"/>
          <w:szCs w:val="20"/>
          <w:color w:val="auto"/>
        </w:rPr>
      </w:pPr>
      <w:r>
        <w:rPr>
          <w:rFonts w:ascii="Arial" w:cs="Arial" w:eastAsia="Arial" w:hAnsi="Arial"/>
          <w:sz w:val="16"/>
          <w:szCs w:val="16"/>
          <w:color w:val="auto"/>
        </w:rPr>
        <w:t>•  Served as President and Chief Executive Officer of The Warranty Group, Inc., a provider of insurance and insurance services, from 2012 to 2017</w:t>
      </w:r>
    </w:p>
    <w:p>
      <w:pPr>
        <w:spacing w:after="0" w:line="1" w:lineRule="exact"/>
        <w:rPr>
          <w:sz w:val="20"/>
          <w:szCs w:val="20"/>
          <w:color w:val="auto"/>
        </w:rPr>
      </w:pPr>
    </w:p>
    <w:p>
      <w:pPr>
        <w:jc w:val="both"/>
        <w:ind w:left="140" w:right="280" w:hanging="154"/>
        <w:spacing w:after="0" w:line="236" w:lineRule="auto"/>
        <w:rPr>
          <w:sz w:val="20"/>
          <w:szCs w:val="20"/>
          <w:color w:val="auto"/>
        </w:rPr>
      </w:pPr>
      <w:r>
        <w:rPr>
          <w:rFonts w:ascii="Arial" w:cs="Arial" w:eastAsia="Arial" w:hAnsi="Arial"/>
          <w:sz w:val="16"/>
          <w:szCs w:val="16"/>
          <w:color w:val="auto"/>
        </w:rPr>
        <w:t>•  Served as Group President and held various management positions at Fiserv, Inc. (NASDAQ: FISV), a provider of technology solutions to the financial industry, from 2007 to 2012</w:t>
      </w:r>
    </w:p>
    <w:p>
      <w:pPr>
        <w:spacing w:after="0" w:line="1" w:lineRule="exact"/>
        <w:rPr>
          <w:sz w:val="20"/>
          <w:szCs w:val="20"/>
          <w:color w:val="auto"/>
        </w:rPr>
      </w:pPr>
    </w:p>
    <w:p>
      <w:pPr>
        <w:ind w:left="140" w:right="320" w:hanging="154"/>
        <w:spacing w:after="0" w:line="292" w:lineRule="auto"/>
        <w:rPr>
          <w:sz w:val="20"/>
          <w:szCs w:val="20"/>
          <w:color w:val="auto"/>
        </w:rPr>
      </w:pPr>
      <w:r>
        <w:rPr>
          <w:rFonts w:ascii="Arial" w:cs="Arial" w:eastAsia="Arial" w:hAnsi="Arial"/>
          <w:sz w:val="14"/>
          <w:szCs w:val="14"/>
          <w:color w:val="auto"/>
        </w:rPr>
        <w:t>•  Served in various capacities for Electronic Data Systems for 17 years, including President of its Business Process Outsourcing unit in Asia Pacific, Vice President in the United Kingdom and Vice President of Global Financial Services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284993"/>
        </w:rPr>
        <w:t>Skills and Qualifications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Payments Industry Knowledge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Financial Services Industry Experience</w:t>
      </w:r>
    </w:p>
    <w:p>
      <w:pPr>
        <w:spacing w:after="0" w:line="236" w:lineRule="auto"/>
        <w:rPr>
          <w:sz w:val="20"/>
          <w:szCs w:val="20"/>
          <w:color w:val="auto"/>
        </w:rPr>
      </w:pPr>
      <w:r>
        <w:rPr>
          <w:rFonts w:ascii="Arial" w:cs="Arial" w:eastAsia="Arial" w:hAnsi="Arial"/>
          <w:sz w:val="16"/>
          <w:szCs w:val="16"/>
          <w:color w:val="auto"/>
        </w:rPr>
        <w:t>•  Financial Expert</w:t>
      </w:r>
    </w:p>
    <w:p>
      <w:pPr>
        <w:spacing w:after="0" w:line="237" w:lineRule="auto"/>
        <w:rPr>
          <w:sz w:val="20"/>
          <w:szCs w:val="20"/>
          <w:color w:val="auto"/>
        </w:rPr>
      </w:pPr>
      <w:r>
        <w:rPr>
          <w:rFonts w:ascii="Arial" w:cs="Arial" w:eastAsia="Arial" w:hAnsi="Arial"/>
          <w:sz w:val="16"/>
          <w:szCs w:val="16"/>
          <w:color w:val="auto"/>
        </w:rPr>
        <w:t>•  Financial Management Experience</w:t>
      </w:r>
    </w:p>
    <w:p>
      <w:pPr>
        <w:ind w:right="2800"/>
        <w:spacing w:after="0" w:line="270" w:lineRule="auto"/>
        <w:rPr>
          <w:sz w:val="20"/>
          <w:szCs w:val="20"/>
          <w:color w:val="auto"/>
        </w:rPr>
      </w:pPr>
      <w:r>
        <w:rPr>
          <w:rFonts w:ascii="Arial" w:cs="Arial" w:eastAsia="Arial" w:hAnsi="Arial"/>
          <w:sz w:val="14"/>
          <w:szCs w:val="14"/>
          <w:color w:val="auto"/>
        </w:rPr>
        <w:t>•  Executive Leadership of a Complex Business •  Technology and Innovation Experience •  Risk and Regulatory Experience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International Experience</w:t>
      </w:r>
    </w:p>
    <w:p>
      <w:pPr>
        <w:spacing w:after="0" w:line="200" w:lineRule="exact"/>
        <w:rPr>
          <w:sz w:val="20"/>
          <w:szCs w:val="20"/>
          <w:color w:val="auto"/>
        </w:rPr>
      </w:pPr>
    </w:p>
    <w:p>
      <w:pPr>
        <w:sectPr>
          <w:pgSz w:w="11900" w:h="16838" w:orient="portrait"/>
          <w:cols w:equalWidth="0" w:num="2">
            <w:col w:w="2800" w:space="400"/>
            <w:col w:w="6040"/>
          </w:cols>
          <w:pgMar w:left="1280" w:top="285" w:right="1379" w:bottom="1440" w:gutter="0" w:footer="0" w:header="0"/>
          <w:type w:val="continuous"/>
        </w:sect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18</w:t>
      </w:r>
    </w:p>
    <w:p>
      <w:pPr>
        <w:sectPr>
          <w:pgSz w:w="11900" w:h="16838" w:orient="portrait"/>
          <w:cols w:equalWidth="0" w:num="1">
            <w:col w:w="9240"/>
          </w:cols>
          <w:pgMar w:left="1280" w:top="285" w:right="1379" w:bottom="1440" w:gutter="0" w:footer="0" w:header="0"/>
          <w:type w:val="continuous"/>
        </w:sectPr>
      </w:pPr>
    </w:p>
    <w:bookmarkStart w:id="24" w:name="page25"/>
    <w:bookmarkEnd w:id="24"/>
    <w:p>
      <w:pPr>
        <w:ind w:left="160"/>
        <w:spacing w:after="0"/>
        <w:rPr>
          <w:sz w:val="20"/>
          <w:szCs w:val="20"/>
          <w:color w:val="auto"/>
        </w:rPr>
      </w:pPr>
      <w:r>
        <w:rPr>
          <w:rFonts w:ascii="Arial" w:cs="Arial" w:eastAsia="Arial" w:hAnsi="Arial"/>
          <w:sz w:val="24"/>
          <w:szCs w:val="24"/>
          <w:b w:val="1"/>
          <w:bCs w:val="1"/>
          <w:color w:val="284993"/>
        </w:rPr>
        <w:t>Adalio T. Sanchez</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Independent</w:t>
      </w:r>
    </w:p>
    <w:p>
      <w:pPr>
        <w:spacing w:after="0" w:line="217" w:lineRule="exact"/>
        <w:rPr>
          <w:sz w:val="20"/>
          <w:szCs w:val="20"/>
          <w:color w:val="auto"/>
        </w:rPr>
      </w:pPr>
    </w:p>
    <w:p>
      <w:pPr>
        <w:ind w:left="160"/>
        <w:spacing w:after="0" w:line="266" w:lineRule="auto"/>
        <w:rPr>
          <w:sz w:val="20"/>
          <w:szCs w:val="20"/>
          <w:color w:val="auto"/>
        </w:rPr>
      </w:pPr>
      <w:r>
        <w:rPr>
          <w:rFonts w:ascii="Arial" w:cs="Arial" w:eastAsia="Arial" w:hAnsi="Arial"/>
          <w:sz w:val="16"/>
          <w:szCs w:val="16"/>
          <w:b w:val="1"/>
          <w:bCs w:val="1"/>
          <w:color w:val="auto"/>
        </w:rPr>
        <w:t xml:space="preserve">Committee Memberships: </w:t>
      </w:r>
      <w:r>
        <w:rPr>
          <w:rFonts w:ascii="Arial" w:cs="Arial" w:eastAsia="Arial" w:hAnsi="Arial"/>
          <w:sz w:val="16"/>
          <w:szCs w:val="16"/>
          <w:color w:val="auto"/>
        </w:rPr>
        <w:t>None,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Other Public Company Boards: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Three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auto"/>
        </w:rPr>
        <w:t>Current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-396240</wp:posOffset>
            </wp:positionV>
            <wp:extent cx="7179945" cy="4293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945" cy="4293235"/>
                    </a:xfrm>
                    <a:prstGeom prst="rect">
                      <a:avLst/>
                    </a:prstGeom>
                    <a:noFill/>
                  </pic:spPr>
                </pic:pic>
              </a:graphicData>
            </a:graphic>
          </wp:anchor>
        </w:drawing>
      </w:r>
    </w:p>
    <w:p>
      <w:pPr>
        <w:jc w:val="both"/>
        <w:ind w:left="160" w:right="660" w:hanging="154"/>
        <w:spacing w:after="0" w:line="236" w:lineRule="auto"/>
        <w:rPr>
          <w:sz w:val="20"/>
          <w:szCs w:val="20"/>
          <w:color w:val="auto"/>
        </w:rPr>
      </w:pPr>
      <w:r>
        <w:rPr>
          <w:rFonts w:ascii="Arial" w:cs="Arial" w:eastAsia="Arial" w:hAnsi="Arial"/>
          <w:sz w:val="16"/>
          <w:szCs w:val="16"/>
          <w:color w:val="auto"/>
        </w:rPr>
        <w:t>•  President, S Group Advisory, LLC, a management consulting firm providing clients advisory services on business strategy, technology and operational excellence</w:t>
      </w:r>
    </w:p>
    <w:p>
      <w:pPr>
        <w:spacing w:after="0" w:line="238" w:lineRule="auto"/>
        <w:rPr>
          <w:sz w:val="20"/>
          <w:szCs w:val="20"/>
          <w:color w:val="auto"/>
        </w:rPr>
      </w:pPr>
      <w:r>
        <w:rPr>
          <w:rFonts w:ascii="Arial" w:cs="Arial" w:eastAsia="Arial" w:hAnsi="Arial"/>
          <w:sz w:val="16"/>
          <w:szCs w:val="16"/>
          <w:color w:val="auto"/>
        </w:rPr>
        <w:t>•  Chairman of the Board of ACI Worldwide, Inc.</w:t>
      </w:r>
    </w:p>
    <w:p>
      <w:pPr>
        <w:spacing w:after="0" w:line="236" w:lineRule="auto"/>
        <w:rPr>
          <w:sz w:val="20"/>
          <w:szCs w:val="20"/>
          <w:color w:val="auto"/>
        </w:rPr>
      </w:pPr>
      <w:r>
        <w:rPr>
          <w:rFonts w:ascii="Arial" w:cs="Arial" w:eastAsia="Arial" w:hAnsi="Arial"/>
          <w:sz w:val="16"/>
          <w:szCs w:val="16"/>
          <w:color w:val="auto"/>
        </w:rPr>
        <w:t>•  Member of the Board of Directors of Avnet, Inc. (NASDAQ: AVT)</w:t>
      </w:r>
    </w:p>
    <w:p>
      <w:pPr>
        <w:spacing w:after="0" w:line="237" w:lineRule="auto"/>
        <w:rPr>
          <w:sz w:val="20"/>
          <w:szCs w:val="20"/>
          <w:color w:val="auto"/>
        </w:rPr>
      </w:pPr>
      <w:r>
        <w:rPr>
          <w:rFonts w:ascii="Arial" w:cs="Arial" w:eastAsia="Arial" w:hAnsi="Arial"/>
          <w:sz w:val="16"/>
          <w:szCs w:val="16"/>
          <w:color w:val="auto"/>
        </w:rPr>
        <w:t>•  Member of the Board of Directors of Snap One Holdings, Corp. (NASDAQ:</w:t>
      </w:r>
    </w:p>
    <w:p>
      <w:pPr>
        <w:ind w:left="160"/>
        <w:spacing w:after="0" w:line="236" w:lineRule="auto"/>
        <w:rPr>
          <w:sz w:val="20"/>
          <w:szCs w:val="20"/>
          <w:color w:val="auto"/>
        </w:rPr>
      </w:pPr>
      <w:r>
        <w:rPr>
          <w:rFonts w:ascii="Arial" w:cs="Arial" w:eastAsia="Arial" w:hAnsi="Arial"/>
          <w:sz w:val="16"/>
          <w:szCs w:val="16"/>
          <w:color w:val="auto"/>
        </w:rPr>
        <w:t>SNPO)</w:t>
      </w:r>
    </w:p>
    <w:p>
      <w:pPr>
        <w:spacing w:after="0" w:line="237" w:lineRule="auto"/>
        <w:rPr>
          <w:sz w:val="20"/>
          <w:szCs w:val="20"/>
          <w:color w:val="auto"/>
        </w:rPr>
      </w:pPr>
      <w:r>
        <w:rPr>
          <w:rFonts w:ascii="Arial" w:cs="Arial" w:eastAsia="Arial" w:hAnsi="Arial"/>
          <w:sz w:val="16"/>
          <w:szCs w:val="16"/>
          <w:color w:val="auto"/>
        </w:rPr>
        <w:t>•  Member of the Supervisory Board of ASM International N.V. (Euronext: ASM;</w:t>
      </w:r>
    </w:p>
    <w:p>
      <w:pPr>
        <w:ind w:left="160"/>
        <w:spacing w:after="0" w:line="236" w:lineRule="auto"/>
        <w:rPr>
          <w:sz w:val="20"/>
          <w:szCs w:val="20"/>
          <w:color w:val="auto"/>
        </w:rPr>
      </w:pPr>
      <w:r>
        <w:rPr>
          <w:rFonts w:ascii="Arial" w:cs="Arial" w:eastAsia="Arial" w:hAnsi="Arial"/>
          <w:sz w:val="16"/>
          <w:szCs w:val="16"/>
          <w:color w:val="auto"/>
        </w:rPr>
        <w:t>OTCQX: ASMIY)</w:t>
      </w:r>
    </w:p>
    <w:p>
      <w:pPr>
        <w:spacing w:after="0" w:line="237" w:lineRule="auto"/>
        <w:rPr>
          <w:sz w:val="20"/>
          <w:szCs w:val="20"/>
          <w:color w:val="auto"/>
        </w:rPr>
      </w:pPr>
      <w:r>
        <w:rPr>
          <w:rFonts w:ascii="Arial" w:cs="Arial" w:eastAsia="Arial" w:hAnsi="Arial"/>
          <w:sz w:val="16"/>
          <w:szCs w:val="16"/>
          <w:color w:val="auto"/>
        </w:rPr>
        <w:t>•  Member of the Board of Trustees of the MITRE Corporation</w:t>
      </w:r>
    </w:p>
    <w:p>
      <w:pPr>
        <w:ind w:left="160" w:right="940" w:hanging="154"/>
        <w:spacing w:after="0" w:line="245" w:lineRule="auto"/>
        <w:rPr>
          <w:sz w:val="20"/>
          <w:szCs w:val="20"/>
          <w:color w:val="auto"/>
        </w:rPr>
      </w:pPr>
      <w:r>
        <w:rPr>
          <w:rFonts w:ascii="Arial" w:cs="Arial" w:eastAsia="Arial" w:hAnsi="Arial"/>
          <w:sz w:val="16"/>
          <w:szCs w:val="16"/>
          <w:color w:val="auto"/>
        </w:rPr>
        <w:t>•  Member of the Board of Directors of the Florida International University Foundation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Roles</w:t>
      </w:r>
    </w:p>
    <w:p>
      <w:pPr>
        <w:spacing w:after="0" w:line="11" w:lineRule="exact"/>
        <w:rPr>
          <w:sz w:val="20"/>
          <w:szCs w:val="20"/>
          <w:color w:val="auto"/>
        </w:rPr>
      </w:pPr>
    </w:p>
    <w:p>
      <w:pPr>
        <w:ind w:left="160" w:right="600" w:hanging="154"/>
        <w:spacing w:after="0" w:line="270" w:lineRule="auto"/>
        <w:rPr>
          <w:sz w:val="20"/>
          <w:szCs w:val="20"/>
          <w:color w:val="auto"/>
        </w:rPr>
      </w:pPr>
      <w:r>
        <w:rPr>
          <w:rFonts w:ascii="Arial" w:cs="Arial" w:eastAsia="Arial" w:hAnsi="Arial"/>
          <w:sz w:val="14"/>
          <w:szCs w:val="14"/>
          <w:color w:val="auto"/>
        </w:rPr>
        <w:t>•  Served as interim CEO of Quantum Corporation (NASDAQ: QMCO), a computer storage systems company, from November 2017 to January 2018</w:t>
      </w:r>
    </w:p>
    <w:p>
      <w:pPr>
        <w:ind w:left="160" w:right="520" w:hanging="154"/>
        <w:spacing w:after="0" w:line="236" w:lineRule="auto"/>
        <w:rPr>
          <w:sz w:val="20"/>
          <w:szCs w:val="20"/>
          <w:color w:val="auto"/>
        </w:rPr>
      </w:pPr>
      <w:r>
        <w:rPr>
          <w:rFonts w:ascii="Arial" w:cs="Arial" w:eastAsia="Arial" w:hAnsi="Arial"/>
          <w:sz w:val="16"/>
          <w:szCs w:val="16"/>
          <w:color w:val="auto"/>
        </w:rPr>
        <w:t>•  Served as Senior Vice President of the Lenovo Group Limited (HK: 0992), an international technology company, from 2014 to 2015</w:t>
      </w:r>
    </w:p>
    <w:p>
      <w:pPr>
        <w:spacing w:after="0" w:line="1" w:lineRule="exact"/>
        <w:rPr>
          <w:sz w:val="20"/>
          <w:szCs w:val="20"/>
          <w:color w:val="auto"/>
        </w:rPr>
      </w:pPr>
    </w:p>
    <w:p>
      <w:pPr>
        <w:ind w:left="160" w:right="360" w:hanging="154"/>
        <w:spacing w:after="0" w:line="236" w:lineRule="auto"/>
        <w:rPr>
          <w:sz w:val="20"/>
          <w:szCs w:val="20"/>
          <w:color w:val="auto"/>
        </w:rPr>
      </w:pPr>
      <w:r>
        <w:rPr>
          <w:rFonts w:ascii="Arial" w:cs="Arial" w:eastAsia="Arial" w:hAnsi="Arial"/>
          <w:sz w:val="16"/>
          <w:szCs w:val="16"/>
          <w:color w:val="auto"/>
        </w:rPr>
        <w:t>•  Served in various capacities at International Business Machines Corporation (NYSE: IBM), a global technology and innovation company, from 1982 to 2014, including sixteen years in senior executive officer and global general management roles</w:t>
      </w:r>
    </w:p>
    <w:p>
      <w:pPr>
        <w:spacing w:after="0" w:line="238" w:lineRule="auto"/>
        <w:rPr>
          <w:sz w:val="20"/>
          <w:szCs w:val="20"/>
          <w:color w:val="auto"/>
        </w:rPr>
      </w:pPr>
      <w:r>
        <w:rPr>
          <w:rFonts w:ascii="Arial" w:cs="Arial" w:eastAsia="Arial" w:hAnsi="Arial"/>
          <w:sz w:val="16"/>
          <w:szCs w:val="16"/>
          <w:color w:val="auto"/>
        </w:rPr>
        <w:t>•  Former member of the Board of Directors of Quantum Corporation (NASDAQ:</w:t>
      </w:r>
    </w:p>
    <w:p>
      <w:pPr>
        <w:ind w:left="160"/>
        <w:spacing w:after="0"/>
        <w:rPr>
          <w:sz w:val="20"/>
          <w:szCs w:val="20"/>
          <w:color w:val="auto"/>
        </w:rPr>
      </w:pPr>
      <w:r>
        <w:rPr>
          <w:rFonts w:ascii="Arial" w:cs="Arial" w:eastAsia="Arial" w:hAnsi="Arial"/>
          <w:sz w:val="16"/>
          <w:szCs w:val="16"/>
          <w:color w:val="auto"/>
        </w:rPr>
        <w:t>QMCO), from May 2017 to April 2019</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284993"/>
        </w:rPr>
        <w:t>Skills and Qualifications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Executive Leadership of a Complex Business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Technology and Innovation Experience</w:t>
      </w:r>
    </w:p>
    <w:p>
      <w:pPr>
        <w:spacing w:after="0"/>
        <w:rPr>
          <w:sz w:val="20"/>
          <w:szCs w:val="20"/>
          <w:color w:val="auto"/>
        </w:rPr>
      </w:pPr>
      <w:r>
        <w:rPr>
          <w:rFonts w:ascii="Arial" w:cs="Arial" w:eastAsia="Arial" w:hAnsi="Arial"/>
          <w:sz w:val="16"/>
          <w:szCs w:val="16"/>
          <w:color w:val="auto"/>
        </w:rPr>
        <w:t>•  International Experience</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19</w:t>
      </w:r>
    </w:p>
    <w:p>
      <w:pPr>
        <w:sectPr>
          <w:pgSz w:w="11900" w:h="16838" w:orient="portrait"/>
          <w:cols w:equalWidth="0" w:num="2">
            <w:col w:w="2520" w:space="700"/>
            <w:col w:w="5940"/>
          </w:cols>
          <w:pgMar w:left="1440" w:top="570" w:right="1299" w:bottom="1440" w:gutter="0" w:footer="0" w:header="0"/>
        </w:sectPr>
      </w:pPr>
    </w:p>
    <w:bookmarkStart w:id="25" w:name="page26"/>
    <w:bookmarkEnd w:id="25"/>
    <w:p>
      <w:pPr>
        <w:ind w:left="280"/>
        <w:spacing w:after="0"/>
        <w:rPr>
          <w:sz w:val="20"/>
          <w:szCs w:val="20"/>
          <w:color w:val="auto"/>
        </w:rPr>
      </w:pPr>
      <w:r>
        <w:rPr>
          <w:rFonts w:ascii="Arial" w:cs="Arial" w:eastAsia="Arial" w:hAnsi="Arial"/>
          <w:sz w:val="24"/>
          <w:szCs w:val="24"/>
          <w:b w:val="1"/>
          <w:bCs w:val="1"/>
          <w:color w:val="284993"/>
        </w:rPr>
        <w:t>Janet O. Estep</w:t>
      </w:r>
    </w:p>
    <w:p>
      <w:pPr>
        <w:spacing w:after="0" w:line="23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Independent</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 Memberships:</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Audit, Corporate Governance</w:t>
      </w:r>
    </w:p>
    <w:p>
      <w:pPr>
        <w:spacing w:after="0" w:line="201"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 xml:space="preserve">Other Public Company Boards: </w:t>
      </w:r>
      <w:r>
        <w:rPr>
          <w:rFonts w:ascii="Arial" w:cs="Arial" w:eastAsia="Arial" w:hAnsi="Arial"/>
          <w:sz w:val="14"/>
          <w:szCs w:val="14"/>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2102485</wp:posOffset>
            </wp:positionV>
            <wp:extent cx="699135" cy="1314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auto"/>
        </w:rPr>
        <w:t>Current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-2651125</wp:posOffset>
            </wp:positionH>
            <wp:positionV relativeFrom="paragraph">
              <wp:posOffset>-396240</wp:posOffset>
            </wp:positionV>
            <wp:extent cx="7179945" cy="3717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9945" cy="3717290"/>
                    </a:xfrm>
                    <a:prstGeom prst="rect">
                      <a:avLst/>
                    </a:prstGeom>
                    <a:noFill/>
                  </pic:spPr>
                </pic:pic>
              </a:graphicData>
            </a:graphic>
          </wp:anchor>
        </w:drawing>
      </w:r>
    </w:p>
    <w:p>
      <w:pPr>
        <w:ind w:left="160" w:right="419" w:hanging="155"/>
        <w:spacing w:after="0" w:line="245" w:lineRule="auto"/>
        <w:rPr>
          <w:sz w:val="20"/>
          <w:szCs w:val="20"/>
          <w:color w:val="auto"/>
        </w:rPr>
      </w:pPr>
      <w:r>
        <w:rPr>
          <w:rFonts w:ascii="Arial" w:cs="Arial" w:eastAsia="Arial" w:hAnsi="Arial"/>
          <w:sz w:val="16"/>
          <w:szCs w:val="16"/>
          <w:color w:val="auto"/>
        </w:rPr>
        <w:t>•  Serves as a Director of Alerus Financial (NASDAQ: ALRS), a company offering banking, mortgage, wealth management &amp; retirement services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Roles</w:t>
      </w:r>
    </w:p>
    <w:p>
      <w:pPr>
        <w:spacing w:after="0" w:line="11" w:lineRule="exact"/>
        <w:rPr>
          <w:sz w:val="20"/>
          <w:szCs w:val="20"/>
          <w:color w:val="auto"/>
        </w:rPr>
      </w:pPr>
    </w:p>
    <w:p>
      <w:pPr>
        <w:ind w:left="160" w:right="299" w:hanging="155"/>
        <w:spacing w:after="0" w:line="270" w:lineRule="auto"/>
        <w:rPr>
          <w:sz w:val="20"/>
          <w:szCs w:val="20"/>
          <w:color w:val="auto"/>
        </w:rPr>
      </w:pPr>
      <w:r>
        <w:rPr>
          <w:rFonts w:ascii="Arial" w:cs="Arial" w:eastAsia="Arial" w:hAnsi="Arial"/>
          <w:sz w:val="14"/>
          <w:szCs w:val="14"/>
          <w:color w:val="auto"/>
        </w:rPr>
        <w:t>•  Former President and Chief Executive Officer of Nacha (2008-2019) where she guided strategy and oversaw daily operations and rule-making processes for the ACH Network and rules and standards development for other payment types</w:t>
      </w:r>
    </w:p>
    <w:p>
      <w:pPr>
        <w:spacing w:after="0" w:line="1" w:lineRule="exact"/>
        <w:rPr>
          <w:sz w:val="20"/>
          <w:szCs w:val="20"/>
          <w:color w:val="auto"/>
        </w:rPr>
      </w:pPr>
    </w:p>
    <w:p>
      <w:pPr>
        <w:ind w:left="160" w:right="459" w:hanging="155"/>
        <w:spacing w:after="0" w:line="236" w:lineRule="auto"/>
        <w:rPr>
          <w:sz w:val="20"/>
          <w:szCs w:val="20"/>
          <w:color w:val="auto"/>
        </w:rPr>
      </w:pPr>
      <w:r>
        <w:rPr>
          <w:rFonts w:ascii="Arial" w:cs="Arial" w:eastAsia="Arial" w:hAnsi="Arial"/>
          <w:sz w:val="16"/>
          <w:szCs w:val="16"/>
          <w:color w:val="auto"/>
        </w:rPr>
        <w:t>•  Served in various executive management roles at U.S. Bank, Minneapolis, MN from 1997 to 2008, including as Executive Vice President of its Transaction Services Division and its Merchant Payment Services Division</w:t>
      </w:r>
    </w:p>
    <w:p>
      <w:pPr>
        <w:spacing w:after="0" w:line="1" w:lineRule="exact"/>
        <w:rPr>
          <w:sz w:val="20"/>
          <w:szCs w:val="20"/>
          <w:color w:val="auto"/>
        </w:rPr>
      </w:pPr>
    </w:p>
    <w:p>
      <w:pPr>
        <w:ind w:left="160" w:right="259" w:hanging="155"/>
        <w:spacing w:after="0" w:line="236" w:lineRule="auto"/>
        <w:rPr>
          <w:sz w:val="20"/>
          <w:szCs w:val="20"/>
          <w:color w:val="auto"/>
        </w:rPr>
      </w:pPr>
      <w:r>
        <w:rPr>
          <w:rFonts w:ascii="Arial" w:cs="Arial" w:eastAsia="Arial" w:hAnsi="Arial"/>
          <w:sz w:val="16"/>
          <w:szCs w:val="16"/>
          <w:color w:val="auto"/>
        </w:rPr>
        <w:t>•  Served as VP of Sales &amp; Marketing for Pace Analytical Services from 1993-1997, a nationwide environmental laboratory services company, as well as General Manager of its Twin Cities lab</w:t>
      </w:r>
    </w:p>
    <w:p>
      <w:pPr>
        <w:spacing w:after="0" w:line="1" w:lineRule="exact"/>
        <w:rPr>
          <w:sz w:val="20"/>
          <w:szCs w:val="20"/>
          <w:color w:val="auto"/>
        </w:rPr>
      </w:pPr>
    </w:p>
    <w:p>
      <w:pPr>
        <w:ind w:left="160" w:right="479" w:hanging="155"/>
        <w:spacing w:after="0"/>
        <w:rPr>
          <w:sz w:val="20"/>
          <w:szCs w:val="20"/>
          <w:color w:val="auto"/>
        </w:rPr>
      </w:pPr>
      <w:r>
        <w:rPr>
          <w:rFonts w:ascii="Arial" w:cs="Arial" w:eastAsia="Arial" w:hAnsi="Arial"/>
          <w:sz w:val="16"/>
          <w:szCs w:val="16"/>
          <w:color w:val="auto"/>
        </w:rPr>
        <w:t>•  Served in a variety of corporate, product development and sales management positions at IBM for 15 years in its Data Processing Division, its ImagePlus Software Division and its General Sector Division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284993"/>
        </w:rPr>
        <w:t>Skills and Qualifications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Payments Industry Knowledge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Financial Services Industry Experience</w:t>
      </w:r>
    </w:p>
    <w:p>
      <w:pPr>
        <w:spacing w:after="0" w:line="236" w:lineRule="auto"/>
        <w:rPr>
          <w:sz w:val="20"/>
          <w:szCs w:val="20"/>
          <w:color w:val="auto"/>
        </w:rPr>
      </w:pPr>
      <w:r>
        <w:rPr>
          <w:rFonts w:ascii="Arial" w:cs="Arial" w:eastAsia="Arial" w:hAnsi="Arial"/>
          <w:sz w:val="16"/>
          <w:szCs w:val="16"/>
          <w:color w:val="auto"/>
        </w:rPr>
        <w:t>•  Financial Management Experience</w:t>
      </w:r>
    </w:p>
    <w:p>
      <w:pPr>
        <w:ind w:right="2719"/>
        <w:spacing w:after="0" w:line="292" w:lineRule="auto"/>
        <w:rPr>
          <w:sz w:val="20"/>
          <w:szCs w:val="20"/>
          <w:color w:val="auto"/>
        </w:rPr>
      </w:pPr>
      <w:r>
        <w:rPr>
          <w:rFonts w:ascii="Arial" w:cs="Arial" w:eastAsia="Arial" w:hAnsi="Arial"/>
          <w:sz w:val="14"/>
          <w:szCs w:val="14"/>
          <w:color w:val="auto"/>
        </w:rPr>
        <w:t>•  Executive Leadership of a Complex Business •  Technology and Innovation Experience •  Risk and Regulatory Experience</w:t>
      </w:r>
    </w:p>
    <w:p>
      <w:pPr>
        <w:sectPr>
          <w:pgSz w:w="11900" w:h="16838" w:orient="portrait"/>
          <w:cols w:equalWidth="0" w:num="2">
            <w:col w:w="2920" w:space="280"/>
            <w:col w:w="5979"/>
          </w:cols>
          <w:pgMar w:left="1280" w:top="570" w:right="1440" w:bottom="1440" w:gutter="0" w:footer="0" w:header="0"/>
        </w:sectPr>
      </w:pPr>
    </w:p>
    <w:bookmarkStart w:id="26" w:name="page27"/>
    <w:bookmarkEnd w:id="26"/>
    <w:p>
      <w:pPr>
        <w:ind w:left="120"/>
        <w:spacing w:after="0"/>
        <w:rPr>
          <w:sz w:val="20"/>
          <w:szCs w:val="20"/>
          <w:color w:val="auto"/>
        </w:rPr>
      </w:pPr>
      <w:r>
        <w:rPr>
          <w:rFonts w:ascii="Arial" w:cs="Arial" w:eastAsia="Arial" w:hAnsi="Arial"/>
          <w:sz w:val="24"/>
          <w:szCs w:val="24"/>
          <w:b w:val="1"/>
          <w:bCs w:val="1"/>
          <w:color w:val="284993"/>
        </w:rPr>
        <w:t>James C. Hale III</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71</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Independent</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Committee Memberships: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Audit, Compensation</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Other Public Company Boards: </w:t>
      </w:r>
      <w:r>
        <w:rPr>
          <w:rFonts w:ascii="Arial" w:cs="Arial" w:eastAsia="Arial" w:hAnsi="Arial"/>
          <w:sz w:val="14"/>
          <w:szCs w:val="14"/>
          <w:color w:val="auto"/>
        </w:rPr>
        <w:t>Two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auto"/>
        </w:rPr>
        <w:t>Current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-2651125</wp:posOffset>
            </wp:positionH>
            <wp:positionV relativeFrom="paragraph">
              <wp:posOffset>-387985</wp:posOffset>
            </wp:positionV>
            <wp:extent cx="7179945" cy="41694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9945" cy="41694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Founder and Chairman, CS Advisors, LLC</w:t>
      </w:r>
    </w:p>
    <w:p>
      <w:pPr>
        <w:spacing w:after="0" w:line="236" w:lineRule="auto"/>
        <w:rPr>
          <w:sz w:val="20"/>
          <w:szCs w:val="20"/>
          <w:color w:val="auto"/>
        </w:rPr>
      </w:pPr>
      <w:r>
        <w:rPr>
          <w:rFonts w:ascii="Arial" w:cs="Arial" w:eastAsia="Arial" w:hAnsi="Arial"/>
          <w:sz w:val="16"/>
          <w:szCs w:val="16"/>
          <w:color w:val="auto"/>
        </w:rPr>
        <w:t>•  Founder, Managing Partner Emeritus and Advisor, FTV Capital</w:t>
      </w:r>
    </w:p>
    <w:p>
      <w:pPr>
        <w:ind w:left="160" w:right="1000" w:hanging="155"/>
        <w:spacing w:after="0" w:line="236" w:lineRule="auto"/>
        <w:rPr>
          <w:sz w:val="20"/>
          <w:szCs w:val="20"/>
          <w:color w:val="auto"/>
        </w:rPr>
      </w:pPr>
      <w:r>
        <w:rPr>
          <w:rFonts w:ascii="Arial" w:cs="Arial" w:eastAsia="Arial" w:hAnsi="Arial"/>
          <w:sz w:val="16"/>
          <w:szCs w:val="16"/>
          <w:color w:val="auto"/>
        </w:rPr>
        <w:t>•  Serves as a director of MITEK Systems, Inc. (NASDAQ: MITK), a mobile payments technology company</w:t>
      </w:r>
    </w:p>
    <w:p>
      <w:pPr>
        <w:spacing w:after="0" w:line="1" w:lineRule="exact"/>
        <w:rPr>
          <w:sz w:val="20"/>
          <w:szCs w:val="20"/>
          <w:color w:val="auto"/>
        </w:rPr>
      </w:pPr>
    </w:p>
    <w:p>
      <w:pPr>
        <w:ind w:left="160" w:right="740" w:hanging="155"/>
        <w:spacing w:after="0" w:line="245" w:lineRule="auto"/>
        <w:rPr>
          <w:sz w:val="20"/>
          <w:szCs w:val="20"/>
          <w:color w:val="auto"/>
        </w:rPr>
      </w:pPr>
      <w:r>
        <w:rPr>
          <w:rFonts w:ascii="Arial" w:cs="Arial" w:eastAsia="Arial" w:hAnsi="Arial"/>
          <w:sz w:val="16"/>
          <w:szCs w:val="16"/>
          <w:color w:val="auto"/>
        </w:rPr>
        <w:t>•  Serves as a director of Bank of Marin Bancorp (NASDAQ: BMRC), a leading independent commercial and retail bank in Northern California</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Roles</w:t>
      </w:r>
    </w:p>
    <w:p>
      <w:pPr>
        <w:spacing w:after="0" w:line="11" w:lineRule="exact"/>
        <w:rPr>
          <w:sz w:val="20"/>
          <w:szCs w:val="20"/>
          <w:color w:val="auto"/>
        </w:rPr>
      </w:pPr>
    </w:p>
    <w:p>
      <w:pPr>
        <w:jc w:val="both"/>
        <w:ind w:left="160" w:right="300" w:hanging="155"/>
        <w:spacing w:after="0" w:line="270" w:lineRule="auto"/>
        <w:rPr>
          <w:sz w:val="20"/>
          <w:szCs w:val="20"/>
          <w:color w:val="auto"/>
        </w:rPr>
      </w:pPr>
      <w:r>
        <w:rPr>
          <w:rFonts w:ascii="Arial" w:cs="Arial" w:eastAsia="Arial" w:hAnsi="Arial"/>
          <w:sz w:val="14"/>
          <w:szCs w:val="14"/>
          <w:color w:val="auto"/>
        </w:rPr>
        <w:t>•  Previously served as senior managing partner at BancAmerica Securities (formerly Montgomery Securities) where he founded and led the financial services corporate finance practice and co-founded the Montgomery Financial Fund</w:t>
      </w:r>
    </w:p>
    <w:p>
      <w:pPr>
        <w:spacing w:after="0" w:line="1" w:lineRule="exact"/>
        <w:rPr>
          <w:sz w:val="20"/>
          <w:szCs w:val="20"/>
          <w:color w:val="auto"/>
        </w:rPr>
      </w:pPr>
    </w:p>
    <w:p>
      <w:pPr>
        <w:ind w:left="160" w:right="540" w:hanging="155"/>
        <w:spacing w:after="0" w:line="270" w:lineRule="auto"/>
        <w:rPr>
          <w:sz w:val="20"/>
          <w:szCs w:val="20"/>
          <w:color w:val="auto"/>
        </w:rPr>
      </w:pPr>
      <w:r>
        <w:rPr>
          <w:rFonts w:ascii="Arial" w:cs="Arial" w:eastAsia="Arial" w:hAnsi="Arial"/>
          <w:sz w:val="14"/>
          <w:szCs w:val="14"/>
          <w:color w:val="auto"/>
        </w:rPr>
        <w:t>•  Previously served as Chairman of Official Payments Holdings, Inc. (NASDAQ: OPAY), a provider of electronic payment biller-direct solutions; and a director of ExlService (NASDAQ: EXLS), a business process outsourcing provider</w:t>
      </w:r>
    </w:p>
    <w:p>
      <w:pPr>
        <w:spacing w:after="0" w:line="1" w:lineRule="exact"/>
        <w:rPr>
          <w:sz w:val="20"/>
          <w:szCs w:val="20"/>
          <w:color w:val="auto"/>
        </w:rPr>
      </w:pPr>
    </w:p>
    <w:p>
      <w:pPr>
        <w:ind w:left="160" w:right="400" w:hanging="155"/>
        <w:spacing w:after="0" w:line="238" w:lineRule="auto"/>
        <w:rPr>
          <w:sz w:val="20"/>
          <w:szCs w:val="20"/>
          <w:color w:val="auto"/>
        </w:rPr>
      </w:pPr>
      <w:r>
        <w:rPr>
          <w:rFonts w:ascii="Arial" w:cs="Arial" w:eastAsia="Arial" w:hAnsi="Arial"/>
          <w:sz w:val="16"/>
          <w:szCs w:val="16"/>
          <w:color w:val="auto"/>
        </w:rPr>
        <w:t>•  Served on the Boards of Public Radio International; the University of California, Berkeley Foundation Investment Committee; and Duke University’s DUMAC Inc., which manages Duke University’s endowment, employment retirement pool and other investments; and Nebula Acquisition Corp (NASDAQ: NEBUU) a Special Purpose Acquisition Corp.</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284993"/>
        </w:rPr>
        <w:t>Skills and Qualifications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Payments Industry Knowledge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Financial Services Industry Experience</w:t>
      </w:r>
    </w:p>
    <w:p>
      <w:pPr>
        <w:spacing w:after="0" w:line="236" w:lineRule="auto"/>
        <w:rPr>
          <w:sz w:val="20"/>
          <w:szCs w:val="20"/>
          <w:color w:val="auto"/>
        </w:rPr>
      </w:pPr>
      <w:r>
        <w:rPr>
          <w:rFonts w:ascii="Arial" w:cs="Arial" w:eastAsia="Arial" w:hAnsi="Arial"/>
          <w:sz w:val="16"/>
          <w:szCs w:val="16"/>
          <w:color w:val="auto"/>
        </w:rPr>
        <w:t>•  Financial Expert</w:t>
      </w:r>
    </w:p>
    <w:p>
      <w:pPr>
        <w:spacing w:after="0" w:line="237" w:lineRule="auto"/>
        <w:rPr>
          <w:sz w:val="20"/>
          <w:szCs w:val="20"/>
          <w:color w:val="auto"/>
        </w:rPr>
      </w:pPr>
      <w:r>
        <w:rPr>
          <w:rFonts w:ascii="Arial" w:cs="Arial" w:eastAsia="Arial" w:hAnsi="Arial"/>
          <w:sz w:val="16"/>
          <w:szCs w:val="16"/>
          <w:color w:val="auto"/>
        </w:rPr>
        <w:t>•  Financial Management Experience</w:t>
      </w:r>
    </w:p>
    <w:p>
      <w:pPr>
        <w:ind w:right="2860"/>
        <w:spacing w:after="0" w:line="292" w:lineRule="auto"/>
        <w:rPr>
          <w:sz w:val="20"/>
          <w:szCs w:val="20"/>
          <w:color w:val="auto"/>
        </w:rPr>
      </w:pPr>
      <w:r>
        <w:rPr>
          <w:rFonts w:ascii="Arial" w:cs="Arial" w:eastAsia="Arial" w:hAnsi="Arial"/>
          <w:sz w:val="14"/>
          <w:szCs w:val="14"/>
          <w:color w:val="auto"/>
        </w:rPr>
        <w:t>•  Executive Leadership of a Complex Business •  Technology and Innovation Experience •  Risk and Regulatory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151765</wp:posOffset>
            </wp:positionV>
            <wp:extent cx="5937885" cy="32734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37885" cy="32734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280"/>
            <w:col w:w="6120"/>
          </w:cols>
          <w:pgMar w:left="1440" w:top="557" w:right="1299" w:bottom="1440" w:gutter="0" w:footer="0" w:header="0"/>
        </w:sect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284993"/>
        </w:rPr>
        <w:t>Mary P. Harman</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53</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Independent</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Committee Memberships:</w:t>
      </w:r>
    </w:p>
    <w:p>
      <w:pPr>
        <w:spacing w:after="0" w:line="13" w:lineRule="exact"/>
        <w:rPr>
          <w:sz w:val="20"/>
          <w:szCs w:val="20"/>
          <w:color w:val="auto"/>
        </w:rPr>
      </w:pPr>
    </w:p>
    <w:p>
      <w:pPr>
        <w:ind w:left="120" w:right="160"/>
        <w:spacing w:after="0" w:line="245" w:lineRule="auto"/>
        <w:rPr>
          <w:sz w:val="20"/>
          <w:szCs w:val="20"/>
          <w:color w:val="auto"/>
        </w:rPr>
      </w:pPr>
      <w:r>
        <w:rPr>
          <w:rFonts w:ascii="Arial" w:cs="Arial" w:eastAsia="Arial" w:hAnsi="Arial"/>
          <w:sz w:val="16"/>
          <w:szCs w:val="16"/>
          <w:color w:val="auto"/>
        </w:rPr>
        <w:t>Corporate Governance (</w:t>
      </w:r>
      <w:r>
        <w:rPr>
          <w:rFonts w:ascii="Arial" w:cs="Arial" w:eastAsia="Arial" w:hAnsi="Arial"/>
          <w:sz w:val="16"/>
          <w:szCs w:val="16"/>
          <w:i w:val="1"/>
          <w:iCs w:val="1"/>
          <w:color w:val="auto"/>
        </w:rPr>
        <w:t>Chair</w:t>
      </w:r>
      <w:r>
        <w:rPr>
          <w:rFonts w:ascii="Arial" w:cs="Arial" w:eastAsia="Arial" w:hAnsi="Arial"/>
          <w:sz w:val="16"/>
          <w:szCs w:val="16"/>
          <w:color w:val="auto"/>
        </w:rPr>
        <w:t>), Compensation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Other Public Company Boards: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Roles</w:t>
      </w:r>
    </w:p>
    <w:p>
      <w:pPr>
        <w:spacing w:after="0" w:line="11" w:lineRule="exact"/>
        <w:rPr>
          <w:sz w:val="20"/>
          <w:szCs w:val="20"/>
          <w:color w:val="auto"/>
        </w:rPr>
      </w:pPr>
    </w:p>
    <w:p>
      <w:pPr>
        <w:ind w:left="160" w:right="300" w:hanging="155"/>
        <w:spacing w:after="0" w:line="236" w:lineRule="auto"/>
        <w:rPr>
          <w:sz w:val="20"/>
          <w:szCs w:val="20"/>
          <w:color w:val="auto"/>
        </w:rPr>
      </w:pPr>
      <w:r>
        <w:rPr>
          <w:rFonts w:ascii="Arial" w:cs="Arial" w:eastAsia="Arial" w:hAnsi="Arial"/>
          <w:sz w:val="16"/>
          <w:szCs w:val="16"/>
          <w:color w:val="auto"/>
        </w:rPr>
        <w:t>•  Serves as a Non-Executive Director of Blue Ocean Digital Holdings LLC from 2020 to present</w:t>
      </w:r>
    </w:p>
    <w:p>
      <w:pPr>
        <w:spacing w:after="0" w:line="1" w:lineRule="exact"/>
        <w:rPr>
          <w:sz w:val="20"/>
          <w:szCs w:val="20"/>
          <w:color w:val="auto"/>
        </w:rPr>
      </w:pPr>
    </w:p>
    <w:p>
      <w:pPr>
        <w:ind w:left="160" w:right="300" w:hanging="155"/>
        <w:spacing w:after="0" w:line="245" w:lineRule="auto"/>
        <w:rPr>
          <w:sz w:val="20"/>
          <w:szCs w:val="20"/>
          <w:color w:val="auto"/>
        </w:rPr>
      </w:pPr>
      <w:r>
        <w:rPr>
          <w:rFonts w:ascii="Arial" w:cs="Arial" w:eastAsia="Arial" w:hAnsi="Arial"/>
          <w:sz w:val="16"/>
          <w:szCs w:val="16"/>
          <w:color w:val="auto"/>
        </w:rPr>
        <w:t>•  Serves as a Non-Executive Director of Capital Markets Gateway, LLC from 2020 to present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Roles</w:t>
      </w:r>
    </w:p>
    <w:p>
      <w:pPr>
        <w:spacing w:after="0" w:line="11" w:lineRule="exact"/>
        <w:rPr>
          <w:sz w:val="20"/>
          <w:szCs w:val="20"/>
          <w:color w:val="auto"/>
        </w:rPr>
      </w:pPr>
    </w:p>
    <w:p>
      <w:pPr>
        <w:ind w:left="160" w:right="520" w:hanging="155"/>
        <w:spacing w:after="0" w:line="236" w:lineRule="auto"/>
        <w:rPr>
          <w:sz w:val="20"/>
          <w:szCs w:val="20"/>
          <w:color w:val="auto"/>
        </w:rPr>
      </w:pPr>
      <w:r>
        <w:rPr>
          <w:rFonts w:ascii="Arial" w:cs="Arial" w:eastAsia="Arial" w:hAnsi="Arial"/>
          <w:sz w:val="16"/>
          <w:szCs w:val="16"/>
          <w:color w:val="auto"/>
        </w:rPr>
        <w:t>•  Held various positions at Bank of America Corporation from 2006-2018, most recently as a Managing Director, Enterprise Payments, and prior to that leading Global Principal Investments</w:t>
      </w:r>
    </w:p>
    <w:p>
      <w:pPr>
        <w:spacing w:after="0" w:line="1" w:lineRule="exact"/>
        <w:rPr>
          <w:sz w:val="20"/>
          <w:szCs w:val="20"/>
          <w:color w:val="auto"/>
        </w:rPr>
      </w:pPr>
    </w:p>
    <w:p>
      <w:pPr>
        <w:ind w:left="160" w:right="340" w:hanging="155"/>
        <w:spacing w:after="0" w:line="236" w:lineRule="auto"/>
        <w:rPr>
          <w:sz w:val="20"/>
          <w:szCs w:val="20"/>
          <w:color w:val="auto"/>
        </w:rPr>
      </w:pPr>
      <w:r>
        <w:rPr>
          <w:rFonts w:ascii="Arial" w:cs="Arial" w:eastAsia="Arial" w:hAnsi="Arial"/>
          <w:sz w:val="16"/>
          <w:szCs w:val="16"/>
          <w:color w:val="auto"/>
        </w:rPr>
        <w:t>•  Formerly served as an Investment Executive, Strategic Private Equity Investments at GE Equity from 1998-2006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Served in consulting positions at Ernst &amp; Young LLP</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284993"/>
        </w:rPr>
        <w:t>Skills and Qualifications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•  Payments Industry Knowledge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Financial Services Industry Experience</w:t>
      </w:r>
    </w:p>
    <w:p>
      <w:pPr>
        <w:spacing w:after="0" w:line="236" w:lineRule="auto"/>
        <w:rPr>
          <w:sz w:val="20"/>
          <w:szCs w:val="20"/>
          <w:color w:val="auto"/>
        </w:rPr>
      </w:pPr>
      <w:r>
        <w:rPr>
          <w:rFonts w:ascii="Arial" w:cs="Arial" w:eastAsia="Arial" w:hAnsi="Arial"/>
          <w:sz w:val="16"/>
          <w:szCs w:val="16"/>
          <w:color w:val="auto"/>
        </w:rPr>
        <w:t>•  Financial Management Experience</w:t>
      </w:r>
    </w:p>
    <w:p>
      <w:pPr>
        <w:spacing w:after="0" w:line="237" w:lineRule="auto"/>
        <w:rPr>
          <w:sz w:val="20"/>
          <w:szCs w:val="20"/>
          <w:color w:val="auto"/>
        </w:rPr>
      </w:pPr>
      <w:r>
        <w:rPr>
          <w:rFonts w:ascii="Arial" w:cs="Arial" w:eastAsia="Arial" w:hAnsi="Arial"/>
          <w:sz w:val="16"/>
          <w:szCs w:val="16"/>
          <w:color w:val="auto"/>
        </w:rPr>
        <w:t>•  Executive Leadership of a Complex Business</w:t>
      </w:r>
    </w:p>
    <w:p>
      <w:pPr>
        <w:spacing w:after="0" w:line="236" w:lineRule="auto"/>
        <w:rPr>
          <w:sz w:val="20"/>
          <w:szCs w:val="20"/>
          <w:color w:val="auto"/>
        </w:rPr>
      </w:pPr>
      <w:r>
        <w:rPr>
          <w:rFonts w:ascii="Arial" w:cs="Arial" w:eastAsia="Arial" w:hAnsi="Arial"/>
          <w:sz w:val="16"/>
          <w:szCs w:val="16"/>
          <w:color w:val="auto"/>
        </w:rPr>
        <w:t>•  Technology and Innovation Experience</w:t>
      </w:r>
    </w:p>
    <w:p>
      <w:pPr>
        <w:spacing w:after="0" w:line="237" w:lineRule="auto"/>
        <w:rPr>
          <w:sz w:val="20"/>
          <w:szCs w:val="20"/>
          <w:color w:val="auto"/>
        </w:rPr>
      </w:pPr>
      <w:r>
        <w:rPr>
          <w:rFonts w:ascii="Arial" w:cs="Arial" w:eastAsia="Arial" w:hAnsi="Arial"/>
          <w:sz w:val="16"/>
          <w:szCs w:val="16"/>
          <w:color w:val="auto"/>
        </w:rPr>
        <w:t>•  Risk and Regulatory Experience</w:t>
      </w:r>
    </w:p>
    <w:p>
      <w:pPr>
        <w:spacing w:after="0"/>
        <w:rPr>
          <w:sz w:val="20"/>
          <w:szCs w:val="20"/>
          <w:color w:val="auto"/>
        </w:rPr>
      </w:pPr>
      <w:r>
        <w:rPr>
          <w:rFonts w:ascii="Arial" w:cs="Arial" w:eastAsia="Arial" w:hAnsi="Arial"/>
          <w:sz w:val="16"/>
          <w:szCs w:val="16"/>
          <w:color w:val="auto"/>
        </w:rPr>
        <w:t>•  International Experience</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21</w:t>
      </w:r>
    </w:p>
    <w:p>
      <w:pPr>
        <w:sectPr>
          <w:pgSz w:w="11900" w:h="16838" w:orient="portrait"/>
          <w:cols w:equalWidth="0" w:num="2">
            <w:col w:w="2420" w:space="620"/>
            <w:col w:w="6120"/>
          </w:cols>
          <w:pgMar w:left="1440" w:top="557" w:right="129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24"/>
          <w:szCs w:val="24"/>
          <w:b w:val="1"/>
          <w:bCs w:val="1"/>
          <w:color w:val="284993"/>
        </w:rPr>
        <w:t>Charles E. Peters, Jr.</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71</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Independent</w:t>
      </w:r>
    </w:p>
    <w:p>
      <w:pPr>
        <w:spacing w:after="0" w:line="217" w:lineRule="exact"/>
        <w:rPr>
          <w:sz w:val="20"/>
          <w:szCs w:val="20"/>
          <w:color w:val="auto"/>
        </w:rPr>
      </w:pPr>
    </w:p>
    <w:p>
      <w:pPr>
        <w:ind w:left="300" w:right="120"/>
        <w:spacing w:after="0" w:line="338" w:lineRule="auto"/>
        <w:rPr>
          <w:sz w:val="20"/>
          <w:szCs w:val="20"/>
          <w:color w:val="auto"/>
        </w:rPr>
      </w:pPr>
      <w:r>
        <w:rPr>
          <w:rFonts w:ascii="Arial" w:cs="Arial" w:eastAsia="Arial" w:hAnsi="Arial"/>
          <w:sz w:val="14"/>
          <w:szCs w:val="14"/>
          <w:b w:val="1"/>
          <w:bCs w:val="1"/>
          <w:color w:val="auto"/>
        </w:rPr>
        <w:t xml:space="preserve">Committee Memberships: </w:t>
      </w:r>
      <w:r>
        <w:rPr>
          <w:rFonts w:ascii="Arial" w:cs="Arial" w:eastAsia="Arial" w:hAnsi="Arial"/>
          <w:sz w:val="14"/>
          <w:szCs w:val="14"/>
          <w:color w:val="auto"/>
        </w:rPr>
        <w:t>Audit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(Chair</w:t>
      </w:r>
      <w:r>
        <w:rPr>
          <w:rFonts w:ascii="Arial" w:cs="Arial" w:eastAsia="Arial" w:hAnsi="Arial"/>
          <w:sz w:val="14"/>
          <w:szCs w:val="14"/>
          <w:color w:val="auto"/>
        </w:rPr>
        <w:t>), Corporate Governance</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Other Public Company Boards:</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2456180</wp:posOffset>
            </wp:positionV>
            <wp:extent cx="699135" cy="1314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auto"/>
        </w:rPr>
        <w:t>Past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-396240</wp:posOffset>
            </wp:positionV>
            <wp:extent cx="7179945" cy="4210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9945" cy="4210685"/>
                    </a:xfrm>
                    <a:prstGeom prst="rect">
                      <a:avLst/>
                    </a:prstGeom>
                    <a:noFill/>
                  </pic:spPr>
                </pic:pic>
              </a:graphicData>
            </a:graphic>
          </wp:anchor>
        </w:drawing>
      </w:r>
    </w:p>
    <w:p>
      <w:pPr>
        <w:jc w:val="both"/>
        <w:ind w:left="160" w:right="159" w:hanging="154"/>
        <w:spacing w:after="0" w:line="236" w:lineRule="auto"/>
        <w:rPr>
          <w:sz w:val="20"/>
          <w:szCs w:val="20"/>
          <w:color w:val="auto"/>
        </w:rPr>
      </w:pPr>
      <w:r>
        <w:rPr>
          <w:rFonts w:ascii="Arial" w:cs="Arial" w:eastAsia="Arial" w:hAnsi="Arial"/>
          <w:sz w:val="16"/>
          <w:szCs w:val="16"/>
          <w:color w:val="auto"/>
        </w:rPr>
        <w:t>•  Served as Executive Vice President and Chief Financial Officer of Red Hat, Inc. (NYSE: RHT), a multi-national global leader in open-source software, from 2004 to 2015</w:t>
      </w:r>
    </w:p>
    <w:p>
      <w:pPr>
        <w:spacing w:after="0" w:line="1" w:lineRule="exact"/>
        <w:rPr>
          <w:sz w:val="20"/>
          <w:szCs w:val="20"/>
          <w:color w:val="auto"/>
        </w:rPr>
      </w:pPr>
    </w:p>
    <w:p>
      <w:pPr>
        <w:ind w:left="160" w:right="319" w:hanging="154"/>
        <w:spacing w:after="0" w:line="236" w:lineRule="auto"/>
        <w:rPr>
          <w:sz w:val="20"/>
          <w:szCs w:val="20"/>
          <w:color w:val="auto"/>
        </w:rPr>
      </w:pPr>
      <w:r>
        <w:rPr>
          <w:rFonts w:ascii="Arial" w:cs="Arial" w:eastAsia="Arial" w:hAnsi="Arial"/>
          <w:sz w:val="16"/>
          <w:szCs w:val="16"/>
          <w:color w:val="auto"/>
        </w:rPr>
        <w:t>•  Served as Senior Vice President and Chief Financial Officer of Burlington Industries (NYSE: BUR), a multi-national manufacturer of textiles, commercial carpet and consumer products from 1995 to 2004</w:t>
      </w:r>
    </w:p>
    <w:p>
      <w:pPr>
        <w:spacing w:after="0" w:line="1" w:lineRule="exact"/>
        <w:rPr>
          <w:sz w:val="20"/>
          <w:szCs w:val="20"/>
          <w:color w:val="auto"/>
        </w:rPr>
      </w:pPr>
    </w:p>
    <w:p>
      <w:pPr>
        <w:ind w:left="160" w:right="179" w:hanging="154"/>
        <w:spacing w:after="0" w:line="236" w:lineRule="auto"/>
        <w:rPr>
          <w:sz w:val="20"/>
          <w:szCs w:val="20"/>
          <w:color w:val="auto"/>
        </w:rPr>
      </w:pPr>
      <w:r>
        <w:rPr>
          <w:rFonts w:ascii="Arial" w:cs="Arial" w:eastAsia="Arial" w:hAnsi="Arial"/>
          <w:sz w:val="16"/>
          <w:szCs w:val="16"/>
          <w:color w:val="auto"/>
        </w:rPr>
        <w:t>•  Served as Senior Vice President of Finance of Boston Edison Company (NYSE: BSE), a public utility company that provided electricity to eastern Massachusetts, from 1991 to 1995</w:t>
      </w:r>
    </w:p>
    <w:p>
      <w:pPr>
        <w:spacing w:after="0" w:line="1" w:lineRule="exact"/>
        <w:rPr>
          <w:sz w:val="20"/>
          <w:szCs w:val="20"/>
          <w:color w:val="auto"/>
        </w:rPr>
      </w:pPr>
    </w:p>
    <w:p>
      <w:pPr>
        <w:ind w:left="160" w:right="159" w:hanging="154"/>
        <w:spacing w:after="0" w:line="270" w:lineRule="auto"/>
        <w:rPr>
          <w:sz w:val="20"/>
          <w:szCs w:val="20"/>
          <w:color w:val="auto"/>
        </w:rPr>
      </w:pPr>
      <w:r>
        <w:rPr>
          <w:rFonts w:ascii="Arial" w:cs="Arial" w:eastAsia="Arial" w:hAnsi="Arial"/>
          <w:sz w:val="14"/>
          <w:szCs w:val="14"/>
          <w:color w:val="auto"/>
        </w:rPr>
        <w:t>•  Served in various financial management positions at GenRad Inc. (NYSE: GEN), a multi-national company that designs, manufactures and markets integrated hardware and software solutions that enable the successful manufacturing, testing and servicing of electronic equipment, from 1982 to 1991</w:t>
      </w:r>
    </w:p>
    <w:p>
      <w:pPr>
        <w:spacing w:after="0" w:line="1" w:lineRule="exact"/>
        <w:rPr>
          <w:sz w:val="20"/>
          <w:szCs w:val="20"/>
          <w:color w:val="auto"/>
        </w:rPr>
      </w:pPr>
    </w:p>
    <w:p>
      <w:pPr>
        <w:ind w:left="160" w:right="359" w:hanging="154"/>
        <w:spacing w:after="0" w:line="236" w:lineRule="auto"/>
        <w:rPr>
          <w:sz w:val="20"/>
          <w:szCs w:val="20"/>
          <w:color w:val="auto"/>
        </w:rPr>
      </w:pPr>
      <w:r>
        <w:rPr>
          <w:rFonts w:ascii="Arial" w:cs="Arial" w:eastAsia="Arial" w:hAnsi="Arial"/>
          <w:sz w:val="16"/>
          <w:szCs w:val="16"/>
          <w:color w:val="auto"/>
        </w:rPr>
        <w:t>•  Served as Senior Manager at Price Waterhouse, a multi-national professional services network, from 1973 to 1982</w:t>
      </w:r>
    </w:p>
    <w:p>
      <w:pPr>
        <w:spacing w:after="0" w:line="1" w:lineRule="exact"/>
        <w:rPr>
          <w:sz w:val="20"/>
          <w:szCs w:val="20"/>
          <w:color w:val="auto"/>
        </w:rPr>
      </w:pPr>
    </w:p>
    <w:p>
      <w:pPr>
        <w:ind w:left="160" w:right="159" w:hanging="154"/>
        <w:spacing w:after="0" w:line="238" w:lineRule="auto"/>
        <w:rPr>
          <w:sz w:val="20"/>
          <w:szCs w:val="20"/>
          <w:color w:val="auto"/>
        </w:rPr>
      </w:pPr>
      <w:r>
        <w:rPr>
          <w:rFonts w:ascii="Arial" w:cs="Arial" w:eastAsia="Arial" w:hAnsi="Arial"/>
          <w:sz w:val="16"/>
          <w:szCs w:val="16"/>
          <w:color w:val="auto"/>
        </w:rPr>
        <w:t>•  Previously served as a director of Veracode Inc., a privately held software company providing application-layer cyber security solutions; Sourcefire, Inc. (NASDAQ: FIRE), a developer of network security hardware and software; Lulu, Inc., a privately held electronic publishing company; Protective Products of America, Inc. (TSX: PPA), a provider of body armor to military and police; and CloudBees, Inc., a privately held software company that provides solutions and support for automating software development and delivery with Enterprise Jenkins and DevOps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284993"/>
        </w:rPr>
        <w:t>Skills and Qualifications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•  Financial Expert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Financial Management Experience</w:t>
      </w:r>
    </w:p>
    <w:p>
      <w:pPr>
        <w:ind w:right="2559"/>
        <w:spacing w:after="0"/>
        <w:rPr>
          <w:sz w:val="20"/>
          <w:szCs w:val="20"/>
          <w:color w:val="auto"/>
        </w:rPr>
      </w:pPr>
      <w:r>
        <w:rPr>
          <w:rFonts w:ascii="Arial" w:cs="Arial" w:eastAsia="Arial" w:hAnsi="Arial"/>
          <w:sz w:val="16"/>
          <w:szCs w:val="16"/>
          <w:color w:val="auto"/>
        </w:rPr>
        <w:t>•  Executive Leadership of a Complex Business •  Technology and Innovation Experience •  International Experience</w:t>
      </w:r>
    </w:p>
    <w:p>
      <w:pPr>
        <w:sectPr>
          <w:pgSz w:w="11900" w:h="16838" w:orient="portrait"/>
          <w:cols w:equalWidth="0" w:num="2">
            <w:col w:w="2720" w:space="660"/>
            <w:col w:w="5799"/>
          </w:cols>
          <w:pgMar w:left="1280" w:top="570" w:right="1440" w:bottom="1440" w:gutter="0" w:footer="0" w:header="0"/>
        </w:sectPr>
      </w:pPr>
    </w:p>
    <w:bookmarkStart w:id="28" w:name="page29"/>
    <w:bookmarkEnd w:id="28"/>
    <w:p>
      <w:pPr>
        <w:ind w:left="140"/>
        <w:spacing w:after="0"/>
        <w:rPr>
          <w:sz w:val="20"/>
          <w:szCs w:val="20"/>
          <w:color w:val="auto"/>
        </w:rPr>
      </w:pPr>
      <w:r>
        <w:rPr>
          <w:rFonts w:ascii="Arial" w:cs="Arial" w:eastAsia="Arial" w:hAnsi="Arial"/>
          <w:sz w:val="24"/>
          <w:szCs w:val="24"/>
          <w:b w:val="1"/>
          <w:bCs w:val="1"/>
          <w:color w:val="284993"/>
        </w:rPr>
        <w:t>Samir M. Zabaneh</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Independent</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 Memberships:</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Compensation (</w:t>
      </w:r>
      <w:r>
        <w:rPr>
          <w:rFonts w:ascii="Arial" w:cs="Arial" w:eastAsia="Arial" w:hAnsi="Arial"/>
          <w:sz w:val="16"/>
          <w:szCs w:val="16"/>
          <w:i w:val="1"/>
          <w:iCs w:val="1"/>
          <w:color w:val="auto"/>
        </w:rPr>
        <w:t>Chair</w:t>
      </w:r>
      <w:r>
        <w:rPr>
          <w:rFonts w:ascii="Arial" w:cs="Arial" w:eastAsia="Arial" w:hAnsi="Arial"/>
          <w:sz w:val="16"/>
          <w:szCs w:val="16"/>
          <w:color w:val="auto"/>
        </w:rPr>
        <w:t>), Audit</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Other Public Company Boards: </w:t>
      </w:r>
      <w:r>
        <w:rPr>
          <w:rFonts w:ascii="Arial" w:cs="Arial" w:eastAsia="Arial" w:hAnsi="Arial"/>
          <w:sz w:val="14"/>
          <w:szCs w:val="14"/>
          <w:color w:val="auto"/>
        </w:rPr>
        <w:t>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auto"/>
        </w:rPr>
        <w:t>Current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-396240</wp:posOffset>
            </wp:positionV>
            <wp:extent cx="7179945" cy="3733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9945" cy="37338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Chief Executive Officer of Touch Bistro, Inc. since April 2021</w:t>
      </w:r>
    </w:p>
    <w:p>
      <w:pPr>
        <w:ind w:right="1100"/>
        <w:spacing w:after="0" w:line="270" w:lineRule="auto"/>
        <w:rPr>
          <w:sz w:val="20"/>
          <w:szCs w:val="20"/>
          <w:color w:val="auto"/>
        </w:rPr>
      </w:pPr>
      <w:r>
        <w:rPr>
          <w:rFonts w:ascii="Arial" w:cs="Arial" w:eastAsia="Arial" w:hAnsi="Arial"/>
          <w:sz w:val="14"/>
          <w:szCs w:val="14"/>
          <w:color w:val="auto"/>
        </w:rPr>
        <w:t>•  Chairman of the Board of Directors of Touch Bistro, Inc. since 2020 •  Member of the Board of Directors of AST Trust Company since 2013</w:t>
      </w:r>
    </w:p>
    <w:p>
      <w:pPr>
        <w:spacing w:after="0"/>
        <w:rPr>
          <w:sz w:val="20"/>
          <w:szCs w:val="20"/>
          <w:color w:val="auto"/>
        </w:rPr>
      </w:pPr>
      <w:r>
        <w:rPr>
          <w:rFonts w:ascii="Arial" w:cs="Arial" w:eastAsia="Arial" w:hAnsi="Arial"/>
          <w:sz w:val="16"/>
          <w:szCs w:val="16"/>
          <w:color w:val="auto"/>
        </w:rPr>
        <w:t>•  Member of the Board of Directors of Nuvei (NASDAQ: NVEI) since 2022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Roles</w:t>
      </w:r>
    </w:p>
    <w:p>
      <w:pPr>
        <w:spacing w:after="0" w:line="11" w:lineRule="exact"/>
        <w:rPr>
          <w:sz w:val="20"/>
          <w:szCs w:val="20"/>
          <w:color w:val="auto"/>
        </w:rPr>
      </w:pPr>
    </w:p>
    <w:p>
      <w:pPr>
        <w:ind w:left="160" w:right="840" w:hanging="154"/>
        <w:spacing w:after="0" w:line="236" w:lineRule="auto"/>
        <w:rPr>
          <w:sz w:val="20"/>
          <w:szCs w:val="20"/>
          <w:color w:val="auto"/>
        </w:rPr>
      </w:pPr>
      <w:r>
        <w:rPr>
          <w:rFonts w:ascii="Arial" w:cs="Arial" w:eastAsia="Arial" w:hAnsi="Arial"/>
          <w:sz w:val="16"/>
          <w:szCs w:val="16"/>
          <w:color w:val="auto"/>
        </w:rPr>
        <w:t>•  Served as Executive Vice President, Global Business Services at Fiserv, previously First Data, from 2018 to 2020</w:t>
      </w:r>
    </w:p>
    <w:p>
      <w:pPr>
        <w:spacing w:after="0" w:line="1" w:lineRule="exact"/>
        <w:rPr>
          <w:sz w:val="20"/>
          <w:szCs w:val="20"/>
          <w:color w:val="auto"/>
        </w:rPr>
      </w:pPr>
    </w:p>
    <w:p>
      <w:pPr>
        <w:ind w:left="160" w:right="640" w:hanging="154"/>
        <w:spacing w:after="0" w:line="236" w:lineRule="auto"/>
        <w:rPr>
          <w:sz w:val="20"/>
          <w:szCs w:val="20"/>
          <w:color w:val="auto"/>
        </w:rPr>
      </w:pPr>
      <w:r>
        <w:rPr>
          <w:rFonts w:ascii="Arial" w:cs="Arial" w:eastAsia="Arial" w:hAnsi="Arial"/>
          <w:sz w:val="16"/>
          <w:szCs w:val="16"/>
          <w:color w:val="auto"/>
        </w:rPr>
        <w:t>•  Served as Chief Financial Officer of Element Fleet Management Corp. from 2017 to 2018</w:t>
      </w:r>
    </w:p>
    <w:p>
      <w:pPr>
        <w:spacing w:after="0" w:line="1" w:lineRule="exact"/>
        <w:rPr>
          <w:sz w:val="20"/>
          <w:szCs w:val="20"/>
          <w:color w:val="auto"/>
        </w:rPr>
      </w:pPr>
    </w:p>
    <w:p>
      <w:pPr>
        <w:ind w:left="160" w:right="660" w:hanging="154"/>
        <w:spacing w:after="0" w:line="236" w:lineRule="auto"/>
        <w:rPr>
          <w:sz w:val="20"/>
          <w:szCs w:val="20"/>
          <w:color w:val="auto"/>
        </w:rPr>
      </w:pPr>
      <w:r>
        <w:rPr>
          <w:rFonts w:ascii="Arial" w:cs="Arial" w:eastAsia="Arial" w:hAnsi="Arial"/>
          <w:sz w:val="16"/>
          <w:szCs w:val="16"/>
          <w:color w:val="auto"/>
        </w:rPr>
        <w:t>•  Served as Chief Financial Officer of Heartland Payment Systems, Inc. from 2014 to 2016</w:t>
      </w:r>
    </w:p>
    <w:p>
      <w:pPr>
        <w:spacing w:after="0" w:line="1" w:lineRule="exact"/>
        <w:rPr>
          <w:sz w:val="20"/>
          <w:szCs w:val="20"/>
          <w:color w:val="auto"/>
        </w:rPr>
      </w:pPr>
    </w:p>
    <w:p>
      <w:pPr>
        <w:ind w:left="160" w:right="400" w:hanging="154"/>
        <w:spacing w:after="0" w:line="245" w:lineRule="auto"/>
        <w:rPr>
          <w:sz w:val="20"/>
          <w:szCs w:val="20"/>
          <w:color w:val="auto"/>
        </w:rPr>
      </w:pPr>
      <w:r>
        <w:rPr>
          <w:rFonts w:ascii="Arial" w:cs="Arial" w:eastAsia="Arial" w:hAnsi="Arial"/>
          <w:sz w:val="16"/>
          <w:szCs w:val="16"/>
          <w:color w:val="auto"/>
        </w:rPr>
        <w:t>•  Served as Chief Operating, Financial and Strategy Officer at Moneris Solutions from 2008 to 2014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284993"/>
        </w:rPr>
        <w:t>Skills and Qualifications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Payments Industry Knowledge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Financial Services Industry Experience</w:t>
      </w:r>
    </w:p>
    <w:p>
      <w:pPr>
        <w:spacing w:after="0" w:line="236" w:lineRule="auto"/>
        <w:rPr>
          <w:sz w:val="20"/>
          <w:szCs w:val="20"/>
          <w:color w:val="auto"/>
        </w:rPr>
      </w:pPr>
      <w:r>
        <w:rPr>
          <w:rFonts w:ascii="Arial" w:cs="Arial" w:eastAsia="Arial" w:hAnsi="Arial"/>
          <w:sz w:val="16"/>
          <w:szCs w:val="16"/>
          <w:color w:val="auto"/>
        </w:rPr>
        <w:t>•  Financial Expert</w:t>
      </w:r>
    </w:p>
    <w:p>
      <w:pPr>
        <w:spacing w:after="0" w:line="237" w:lineRule="auto"/>
        <w:rPr>
          <w:sz w:val="20"/>
          <w:szCs w:val="20"/>
          <w:color w:val="auto"/>
        </w:rPr>
      </w:pPr>
      <w:r>
        <w:rPr>
          <w:rFonts w:ascii="Arial" w:cs="Arial" w:eastAsia="Arial" w:hAnsi="Arial"/>
          <w:sz w:val="16"/>
          <w:szCs w:val="16"/>
          <w:color w:val="auto"/>
        </w:rPr>
        <w:t>•  Financial Management Experience</w:t>
      </w:r>
    </w:p>
    <w:p>
      <w:pPr>
        <w:ind w:right="2700"/>
        <w:spacing w:after="0" w:line="270" w:lineRule="auto"/>
        <w:rPr>
          <w:sz w:val="20"/>
          <w:szCs w:val="20"/>
          <w:color w:val="auto"/>
        </w:rPr>
      </w:pPr>
      <w:r>
        <w:rPr>
          <w:rFonts w:ascii="Arial" w:cs="Arial" w:eastAsia="Arial" w:hAnsi="Arial"/>
          <w:sz w:val="14"/>
          <w:szCs w:val="14"/>
          <w:color w:val="auto"/>
        </w:rPr>
        <w:t>•  Executive Leadership of a Complex Business •  Technology and Innovation Experience •  Risk and Regulatory Experience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International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186055</wp:posOffset>
            </wp:positionV>
            <wp:extent cx="5937885" cy="3460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37885" cy="346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440"/>
            <w:col w:w="5940"/>
          </w:cols>
          <w:pgMar w:left="1440" w:top="570" w:right="1299" w:bottom="1440" w:gutter="0" w:footer="0" w:header="0"/>
        </w:sectPr>
      </w:pPr>
    </w:p>
    <w:p>
      <w:pPr>
        <w:spacing w:after="0" w:line="299"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284993"/>
        </w:rPr>
        <w:t>OUR BOARD RECOMMENDS A VOTE “FOR” EACH OF THE SEVEN NOMINEES.</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23</w:t>
      </w:r>
    </w:p>
    <w:p>
      <w:pPr>
        <w:sectPr>
          <w:pgSz w:w="11900" w:h="16838" w:orient="portrait"/>
          <w:cols w:equalWidth="0" w:num="1">
            <w:col w:w="9160"/>
          </w:cols>
          <w:pgMar w:left="1440" w:top="570" w:right="129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59207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320"/>
        <w:spacing w:after="0" w:line="249" w:lineRule="auto"/>
        <w:rPr>
          <w:sz w:val="20"/>
          <w:szCs w:val="20"/>
          <w:color w:val="auto"/>
        </w:rPr>
      </w:pPr>
      <w:r>
        <w:rPr>
          <w:rFonts w:ascii="Arial" w:cs="Arial" w:eastAsia="Arial" w:hAnsi="Arial"/>
          <w:sz w:val="16"/>
          <w:szCs w:val="16"/>
          <w:color w:val="auto"/>
        </w:rPr>
        <w:t>Compensation for our independent directors consists of a cash retainer fee based on Board and committee service and an annual equity award based on Board service. Our Board believes that providing a meaningful portion of compensation in the form of equity creates a direct linkage with company performance and stockholder interests.</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The Corporate Governance Committee annually reviews the total compensation of our independent directors and each element of our independent director compensation program. Based on its review, the Corporate Governance Committee makes a recommendation to the Board. The Board then determines the form and amount of independent director compensation after reviewing the recommendation.</w:t>
      </w:r>
    </w:p>
    <w:p>
      <w:pPr>
        <w:spacing w:after="0" w:line="143" w:lineRule="exact"/>
        <w:rPr>
          <w:sz w:val="20"/>
          <w:szCs w:val="20"/>
          <w:color w:val="auto"/>
        </w:rPr>
      </w:pPr>
    </w:p>
    <w:p>
      <w:pPr>
        <w:ind w:right="60"/>
        <w:spacing w:after="0"/>
        <w:rPr>
          <w:sz w:val="20"/>
          <w:szCs w:val="20"/>
          <w:color w:val="auto"/>
        </w:rPr>
      </w:pPr>
      <w:r>
        <w:rPr>
          <w:rFonts w:ascii="Arial" w:cs="Arial" w:eastAsia="Arial" w:hAnsi="Arial"/>
          <w:sz w:val="16"/>
          <w:szCs w:val="16"/>
          <w:color w:val="auto"/>
        </w:rPr>
        <w:t>As part of its annual review, the Corporate Governance Committee asks its independent compensation consulting firm, Compensia, Inc., to provide an assessment of the competitiveness of the Board’s compensation program. In order to assess the competitiveness of the Board compensation program, Compensia used the market data of our peer group, which is the group of companies used for our executive compensation review (see “Compensation Discussion and Analysis—Peer Group” below). The assessment reviews all elements of director compensation (e.g., annual retainers, equity compensation, committee member compensation, committee chair additional compensation and non-executive chairman compensation). In addition, the assessment evaluates the director compensation program design to provide the Corporate Governance Committee an understanding of how the program design compares to both best and market practices.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2020 Equity Plan provides a $750,000 per year limit on non-employee director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Retainer Fees</w:t>
      </w:r>
    </w:p>
    <w:p>
      <w:pPr>
        <w:spacing w:after="0" w:line="123" w:lineRule="exact"/>
        <w:rPr>
          <w:sz w:val="20"/>
          <w:szCs w:val="20"/>
          <w:color w:val="auto"/>
        </w:rPr>
      </w:pPr>
    </w:p>
    <w:p>
      <w:pPr>
        <w:ind w:right="340"/>
        <w:spacing w:after="0" w:line="245" w:lineRule="auto"/>
        <w:rPr>
          <w:sz w:val="20"/>
          <w:szCs w:val="20"/>
          <w:color w:val="auto"/>
        </w:rPr>
      </w:pPr>
      <w:r>
        <w:rPr>
          <w:rFonts w:ascii="Arial" w:cs="Arial" w:eastAsia="Arial" w:hAnsi="Arial"/>
          <w:sz w:val="16"/>
          <w:szCs w:val="16"/>
          <w:color w:val="auto"/>
        </w:rPr>
        <w:t>Each independent director receives a $68,000 base annual retainer fee. The Board chair receives an additional $100,000 annual premium. The Chair of the Audit Committee receives an additional $25,000, the Chair of the Compensation Committee receives an additional $20,000 and the Chair of the Corporate Governance Committee receives an additional $12,000 annual premium. Annual retainer fees are paid on a quarterly basis.</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Equity-Based Compensation</w:t>
      </w:r>
    </w:p>
    <w:p>
      <w:pPr>
        <w:spacing w:after="0" w:line="226"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Our independent directors are granted an annual equity award with a target grant date fair value of $250,000. Such grants are made at the discretion of our Board based on the recommendations of the Corporate Governance Committee. Director equity awards generally vest on the earlier to occur of (i) the date that is one year following the date of grant, and (ii) the day immediately prior to the date of the next annual meeting of our stockholders occurring following the date of grant. The independent directors’ equity awards provide for accelerated vesting upon the director’s death or disability (as such terms are defined in the applicable award agreement).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On August 9, 2022, our independent directors were each granted 9,667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96520</wp:posOffset>
            </wp:positionV>
            <wp:extent cx="699135" cy="1314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24</w:t>
      </w:r>
    </w:p>
    <w:p>
      <w:pPr>
        <w:sectPr>
          <w:pgSz w:w="11900" w:h="16838" w:orient="portrait"/>
          <w:cols w:equalWidth="0" w:num="1">
            <w:col w:w="9320"/>
          </w:cols>
          <w:pgMar w:left="1280" w:top="253" w:right="1299" w:bottom="1440" w:gutter="0" w:footer="0" w:header="0"/>
        </w:sectPr>
      </w:pPr>
    </w:p>
    <w:bookmarkStart w:id="30" w:name="page31"/>
    <w:bookmarkEnd w:id="30"/>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2022 Director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we paid to our independent directors for the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154305</wp:posOffset>
            </wp:positionV>
            <wp:extent cx="8255" cy="3454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34544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154305</wp:posOffset>
            </wp:positionV>
            <wp:extent cx="8255" cy="139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1390015"/>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154305</wp:posOffset>
            </wp:positionV>
            <wp:extent cx="8255" cy="139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139001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shd w:val="clear" w:color="auto" w:fill="284993"/>
          </w:tcPr>
          <w:p>
            <w:pPr>
              <w:spacing w:after="0"/>
              <w:rPr>
                <w:sz w:val="16"/>
                <w:szCs w:val="16"/>
                <w:color w:val="auto"/>
              </w:rPr>
            </w:pPr>
          </w:p>
        </w:tc>
        <w:tc>
          <w:tcPr>
            <w:tcW w:w="3240" w:type="dxa"/>
            <w:vAlign w:val="bottom"/>
            <w:shd w:val="clear" w:color="auto" w:fill="284993"/>
          </w:tcPr>
          <w:p>
            <w:pPr>
              <w:jc w:val="center"/>
              <w:ind w:left="1402"/>
              <w:spacing w:after="0"/>
              <w:rPr>
                <w:sz w:val="20"/>
                <w:szCs w:val="20"/>
                <w:color w:val="auto"/>
              </w:rPr>
            </w:pPr>
            <w:r>
              <w:rPr>
                <w:rFonts w:ascii="Arial" w:cs="Arial" w:eastAsia="Arial" w:hAnsi="Arial"/>
                <w:sz w:val="16"/>
                <w:szCs w:val="16"/>
                <w:b w:val="1"/>
                <w:bCs w:val="1"/>
                <w:color w:val="FFFFFF"/>
                <w:w w:val="96"/>
              </w:rPr>
              <w:t>Fees Earned or</w:t>
            </w:r>
          </w:p>
        </w:tc>
        <w:tc>
          <w:tcPr>
            <w:tcW w:w="1260" w:type="dxa"/>
            <w:vAlign w:val="bottom"/>
            <w:shd w:val="clear" w:color="auto" w:fill="284993"/>
          </w:tcPr>
          <w:p>
            <w:pPr>
              <w:jc w:val="center"/>
              <w:ind w:right="5"/>
              <w:spacing w:after="0"/>
              <w:rPr>
                <w:sz w:val="20"/>
                <w:szCs w:val="20"/>
                <w:color w:val="auto"/>
              </w:rPr>
            </w:pPr>
            <w:r>
              <w:rPr>
                <w:rFonts w:ascii="Arial" w:cs="Arial" w:eastAsia="Arial" w:hAnsi="Arial"/>
                <w:sz w:val="16"/>
                <w:szCs w:val="16"/>
                <w:b w:val="1"/>
                <w:bCs w:val="1"/>
                <w:color w:val="FFFFFF"/>
                <w:w w:val="96"/>
              </w:rPr>
              <w:t>Stock</w:t>
            </w:r>
          </w:p>
        </w:tc>
        <w:tc>
          <w:tcPr>
            <w:tcW w:w="1260" w:type="dxa"/>
            <w:vAlign w:val="bottom"/>
            <w:shd w:val="clear" w:color="auto" w:fill="284993"/>
          </w:tcPr>
          <w:p>
            <w:pPr>
              <w:spacing w:after="0"/>
              <w:rPr>
                <w:sz w:val="16"/>
                <w:szCs w:val="16"/>
                <w:color w:val="auto"/>
              </w:rPr>
            </w:pPr>
          </w:p>
        </w:tc>
      </w:tr>
      <w:tr>
        <w:trPr>
          <w:trHeight w:val="181"/>
        </w:trPr>
        <w:tc>
          <w:tcPr>
            <w:tcW w:w="3560" w:type="dxa"/>
            <w:vAlign w:val="bottom"/>
            <w:shd w:val="clear" w:color="auto" w:fill="284993"/>
          </w:tcPr>
          <w:p>
            <w:pPr>
              <w:spacing w:after="0"/>
              <w:rPr>
                <w:sz w:val="15"/>
                <w:szCs w:val="15"/>
                <w:color w:val="auto"/>
              </w:rPr>
            </w:pPr>
          </w:p>
        </w:tc>
        <w:tc>
          <w:tcPr>
            <w:tcW w:w="3240" w:type="dxa"/>
            <w:vAlign w:val="bottom"/>
            <w:shd w:val="clear" w:color="auto" w:fill="284993"/>
          </w:tcPr>
          <w:p>
            <w:pPr>
              <w:jc w:val="center"/>
              <w:ind w:left="1382"/>
              <w:spacing w:after="0" w:line="181" w:lineRule="exact"/>
              <w:rPr>
                <w:sz w:val="20"/>
                <w:szCs w:val="20"/>
                <w:color w:val="auto"/>
              </w:rPr>
            </w:pPr>
            <w:r>
              <w:rPr>
                <w:rFonts w:ascii="Arial" w:cs="Arial" w:eastAsia="Arial" w:hAnsi="Arial"/>
                <w:sz w:val="16"/>
                <w:szCs w:val="16"/>
                <w:b w:val="1"/>
                <w:bCs w:val="1"/>
                <w:color w:val="FFFFFF"/>
                <w:w w:val="97"/>
              </w:rPr>
              <w:t>Paid in Cash</w:t>
            </w:r>
          </w:p>
        </w:tc>
        <w:tc>
          <w:tcPr>
            <w:tcW w:w="1260" w:type="dxa"/>
            <w:vAlign w:val="bottom"/>
            <w:shd w:val="clear" w:color="auto" w:fill="284993"/>
          </w:tcPr>
          <w:p>
            <w:pPr>
              <w:jc w:val="center"/>
              <w:ind w:right="25"/>
              <w:spacing w:after="0" w:line="181" w:lineRule="exact"/>
              <w:rPr>
                <w:sz w:val="20"/>
                <w:szCs w:val="20"/>
                <w:color w:val="auto"/>
              </w:rPr>
            </w:pPr>
            <w:r>
              <w:rPr>
                <w:rFonts w:ascii="Arial" w:cs="Arial" w:eastAsia="Arial" w:hAnsi="Arial"/>
                <w:sz w:val="16"/>
                <w:szCs w:val="16"/>
                <w:b w:val="1"/>
                <w:bCs w:val="1"/>
                <w:color w:val="FFFFFF"/>
                <w:w w:val="96"/>
              </w:rPr>
              <w:t>Awards</w:t>
            </w:r>
          </w:p>
        </w:tc>
        <w:tc>
          <w:tcPr>
            <w:tcW w:w="1260" w:type="dxa"/>
            <w:vAlign w:val="bottom"/>
            <w:shd w:val="clear" w:color="auto" w:fill="284993"/>
          </w:tcPr>
          <w:p>
            <w:pPr>
              <w:jc w:val="right"/>
              <w:ind w:right="382"/>
              <w:spacing w:after="0" w:line="181" w:lineRule="exact"/>
              <w:rPr>
                <w:sz w:val="20"/>
                <w:szCs w:val="20"/>
                <w:color w:val="auto"/>
              </w:rPr>
            </w:pPr>
            <w:r>
              <w:rPr>
                <w:rFonts w:ascii="Arial" w:cs="Arial" w:eastAsia="Arial" w:hAnsi="Arial"/>
                <w:sz w:val="16"/>
                <w:szCs w:val="16"/>
                <w:b w:val="1"/>
                <w:bCs w:val="1"/>
                <w:color w:val="FFFFFF"/>
              </w:rPr>
              <w:t>Total</w:t>
            </w:r>
          </w:p>
        </w:tc>
      </w:tr>
      <w:tr>
        <w:trPr>
          <w:trHeight w:val="195"/>
        </w:trPr>
        <w:tc>
          <w:tcPr>
            <w:tcW w:w="3560" w:type="dxa"/>
            <w:vAlign w:val="bottom"/>
            <w:shd w:val="clear" w:color="auto" w:fill="284993"/>
          </w:tcPr>
          <w:p>
            <w:pPr>
              <w:ind w:left="80"/>
              <w:spacing w:after="0"/>
              <w:rPr>
                <w:sz w:val="20"/>
                <w:szCs w:val="20"/>
                <w:color w:val="auto"/>
              </w:rPr>
            </w:pPr>
            <w:r>
              <w:rPr>
                <w:rFonts w:ascii="Arial" w:cs="Arial" w:eastAsia="Arial" w:hAnsi="Arial"/>
                <w:sz w:val="16"/>
                <w:szCs w:val="16"/>
                <w:b w:val="1"/>
                <w:bCs w:val="1"/>
                <w:color w:val="FFFFFF"/>
              </w:rPr>
              <w:t>Name</w:t>
            </w:r>
          </w:p>
        </w:tc>
        <w:tc>
          <w:tcPr>
            <w:tcW w:w="3240" w:type="dxa"/>
            <w:vAlign w:val="bottom"/>
            <w:shd w:val="clear" w:color="auto" w:fill="284993"/>
          </w:tcPr>
          <w:p>
            <w:pPr>
              <w:jc w:val="center"/>
              <w:ind w:left="1382"/>
              <w:spacing w:after="0"/>
              <w:rPr>
                <w:sz w:val="20"/>
                <w:szCs w:val="20"/>
                <w:color w:val="auto"/>
              </w:rPr>
            </w:pPr>
            <w:r>
              <w:rPr>
                <w:rFonts w:ascii="Arial" w:cs="Arial" w:eastAsia="Arial" w:hAnsi="Arial"/>
                <w:sz w:val="16"/>
                <w:szCs w:val="16"/>
                <w:b w:val="1"/>
                <w:bCs w:val="1"/>
                <w:color w:val="FFFFFF"/>
                <w:w w:val="91"/>
              </w:rPr>
              <w:t>($)</w:t>
            </w:r>
          </w:p>
        </w:tc>
        <w:tc>
          <w:tcPr>
            <w:tcW w:w="1260" w:type="dxa"/>
            <w:vAlign w:val="bottom"/>
            <w:shd w:val="clear" w:color="auto" w:fill="284993"/>
          </w:tcPr>
          <w:p>
            <w:pPr>
              <w:jc w:val="center"/>
              <w:ind w:right="25"/>
              <w:spacing w:after="0" w:line="195"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0"/>
                <w:szCs w:val="10"/>
                <w:b w:val="1"/>
                <w:bCs w:val="1"/>
                <w:color w:val="FFFFFF"/>
              </w:rPr>
              <w:t>(1)</w:t>
            </w:r>
          </w:p>
        </w:tc>
        <w:tc>
          <w:tcPr>
            <w:tcW w:w="1260" w:type="dxa"/>
            <w:vAlign w:val="bottom"/>
            <w:shd w:val="clear" w:color="auto" w:fill="284993"/>
          </w:tcPr>
          <w:p>
            <w:pPr>
              <w:jc w:val="right"/>
              <w:ind w:right="462"/>
              <w:spacing w:after="0"/>
              <w:rPr>
                <w:sz w:val="20"/>
                <w:szCs w:val="20"/>
                <w:color w:val="auto"/>
              </w:rPr>
            </w:pPr>
            <w:r>
              <w:rPr>
                <w:rFonts w:ascii="Arial" w:cs="Arial" w:eastAsia="Arial" w:hAnsi="Arial"/>
                <w:sz w:val="16"/>
                <w:szCs w:val="16"/>
                <w:b w:val="1"/>
                <w:bCs w:val="1"/>
                <w:color w:val="FFFFFF"/>
              </w:rPr>
              <w:t>($)</w:t>
            </w:r>
          </w:p>
        </w:tc>
      </w:tr>
      <w:tr>
        <w:trPr>
          <w:trHeight w:val="181"/>
        </w:trPr>
        <w:tc>
          <w:tcPr>
            <w:tcW w:w="3560" w:type="dxa"/>
            <w:vAlign w:val="bottom"/>
          </w:tcPr>
          <w:p>
            <w:pPr>
              <w:ind w:left="80"/>
              <w:spacing w:after="0" w:line="182" w:lineRule="exact"/>
              <w:rPr>
                <w:sz w:val="20"/>
                <w:szCs w:val="20"/>
                <w:color w:val="auto"/>
              </w:rPr>
            </w:pPr>
            <w:r>
              <w:rPr>
                <w:rFonts w:ascii="Arial" w:cs="Arial" w:eastAsia="Arial" w:hAnsi="Arial"/>
                <w:sz w:val="14"/>
                <w:szCs w:val="14"/>
                <w:color w:val="auto"/>
              </w:rPr>
              <w:t>Charles K. Bobrinskoy</w:t>
            </w:r>
            <w:r>
              <w:rPr>
                <w:rFonts w:ascii="Arial" w:cs="Arial" w:eastAsia="Arial" w:hAnsi="Arial"/>
                <w:sz w:val="21"/>
                <w:szCs w:val="21"/>
                <w:color w:val="auto"/>
                <w:vertAlign w:val="superscript"/>
              </w:rPr>
              <w:t>(2)</w:t>
            </w:r>
          </w:p>
        </w:tc>
        <w:tc>
          <w:tcPr>
            <w:tcW w:w="3240" w:type="dxa"/>
            <w:vAlign w:val="bottom"/>
          </w:tcPr>
          <w:p>
            <w:pPr>
              <w:jc w:val="right"/>
              <w:ind w:right="242"/>
              <w:spacing w:after="0" w:line="181" w:lineRule="exact"/>
              <w:rPr>
                <w:sz w:val="20"/>
                <w:szCs w:val="20"/>
                <w:color w:val="auto"/>
              </w:rPr>
            </w:pPr>
            <w:r>
              <w:rPr>
                <w:rFonts w:ascii="Arial" w:cs="Arial" w:eastAsia="Arial" w:hAnsi="Arial"/>
                <w:sz w:val="16"/>
                <w:szCs w:val="16"/>
                <w:color w:val="auto"/>
              </w:rPr>
              <w:t>84,000</w:t>
            </w:r>
          </w:p>
        </w:tc>
        <w:tc>
          <w:tcPr>
            <w:tcW w:w="1260" w:type="dxa"/>
            <w:vAlign w:val="bottom"/>
          </w:tcPr>
          <w:p>
            <w:pPr>
              <w:jc w:val="right"/>
              <w:ind w:right="285"/>
              <w:spacing w:after="0" w:line="181"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62"/>
              <w:spacing w:after="0" w:line="181" w:lineRule="exact"/>
              <w:rPr>
                <w:sz w:val="20"/>
                <w:szCs w:val="20"/>
                <w:color w:val="auto"/>
              </w:rPr>
            </w:pPr>
            <w:r>
              <w:rPr>
                <w:rFonts w:ascii="Arial" w:cs="Arial" w:eastAsia="Arial" w:hAnsi="Arial"/>
                <w:sz w:val="16"/>
                <w:szCs w:val="16"/>
                <w:color w:val="auto"/>
              </w:rPr>
              <w:t>84,000</w:t>
            </w:r>
          </w:p>
        </w:tc>
      </w:tr>
      <w:tr>
        <w:trPr>
          <w:trHeight w:val="181"/>
        </w:trPr>
        <w:tc>
          <w:tcPr>
            <w:tcW w:w="356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Janet O. Estep</w:t>
            </w:r>
          </w:p>
        </w:tc>
        <w:tc>
          <w:tcPr>
            <w:tcW w:w="3240" w:type="dxa"/>
            <w:vAlign w:val="bottom"/>
            <w:shd w:val="clear" w:color="auto" w:fill="9DBDE4"/>
          </w:tcPr>
          <w:p>
            <w:pPr>
              <w:jc w:val="right"/>
              <w:ind w:right="242"/>
              <w:spacing w:after="0" w:line="181" w:lineRule="exact"/>
              <w:rPr>
                <w:sz w:val="20"/>
                <w:szCs w:val="20"/>
                <w:color w:val="auto"/>
              </w:rPr>
            </w:pPr>
            <w:r>
              <w:rPr>
                <w:rFonts w:ascii="Arial" w:cs="Arial" w:eastAsia="Arial" w:hAnsi="Arial"/>
                <w:sz w:val="16"/>
                <w:szCs w:val="16"/>
                <w:color w:val="auto"/>
              </w:rPr>
              <w:t>68,000</w:t>
            </w:r>
          </w:p>
        </w:tc>
        <w:tc>
          <w:tcPr>
            <w:tcW w:w="1260" w:type="dxa"/>
            <w:vAlign w:val="bottom"/>
            <w:shd w:val="clear" w:color="auto" w:fill="9DBDE4"/>
          </w:tcPr>
          <w:p>
            <w:pPr>
              <w:jc w:val="right"/>
              <w:ind w:right="285"/>
              <w:spacing w:after="0" w:line="181" w:lineRule="exact"/>
              <w:rPr>
                <w:sz w:val="20"/>
                <w:szCs w:val="20"/>
                <w:color w:val="auto"/>
              </w:rPr>
            </w:pPr>
            <w:r>
              <w:rPr>
                <w:rFonts w:ascii="Arial" w:cs="Arial" w:eastAsia="Arial" w:hAnsi="Arial"/>
                <w:sz w:val="16"/>
                <w:szCs w:val="16"/>
                <w:color w:val="auto"/>
              </w:rPr>
              <w:t>250,000</w:t>
            </w:r>
          </w:p>
        </w:tc>
        <w:tc>
          <w:tcPr>
            <w:tcW w:w="1260" w:type="dxa"/>
            <w:vAlign w:val="bottom"/>
            <w:shd w:val="clear" w:color="auto" w:fill="9DBDE4"/>
          </w:tcPr>
          <w:p>
            <w:pPr>
              <w:jc w:val="right"/>
              <w:ind w:right="262"/>
              <w:spacing w:after="0" w:line="181" w:lineRule="exact"/>
              <w:rPr>
                <w:sz w:val="20"/>
                <w:szCs w:val="20"/>
                <w:color w:val="auto"/>
              </w:rPr>
            </w:pPr>
            <w:r>
              <w:rPr>
                <w:rFonts w:ascii="Arial" w:cs="Arial" w:eastAsia="Arial" w:hAnsi="Arial"/>
                <w:sz w:val="16"/>
                <w:szCs w:val="16"/>
                <w:color w:val="auto"/>
              </w:rPr>
              <w:t>318,000</w:t>
            </w:r>
          </w:p>
        </w:tc>
      </w:tr>
      <w:tr>
        <w:trPr>
          <w:trHeight w:val="181"/>
        </w:trPr>
        <w:tc>
          <w:tcPr>
            <w:tcW w:w="3560" w:type="dxa"/>
            <w:vAlign w:val="bottom"/>
          </w:tcPr>
          <w:p>
            <w:pPr>
              <w:ind w:left="80"/>
              <w:spacing w:after="0" w:line="181" w:lineRule="exact"/>
              <w:rPr>
                <w:sz w:val="20"/>
                <w:szCs w:val="20"/>
                <w:color w:val="auto"/>
              </w:rPr>
            </w:pPr>
            <w:r>
              <w:rPr>
                <w:rFonts w:ascii="Arial" w:cs="Arial" w:eastAsia="Arial" w:hAnsi="Arial"/>
                <w:sz w:val="16"/>
                <w:szCs w:val="16"/>
                <w:color w:val="auto"/>
              </w:rPr>
              <w:t>James C. Hale III</w:t>
            </w:r>
          </w:p>
        </w:tc>
        <w:tc>
          <w:tcPr>
            <w:tcW w:w="3240" w:type="dxa"/>
            <w:vAlign w:val="bottom"/>
          </w:tcPr>
          <w:p>
            <w:pPr>
              <w:jc w:val="right"/>
              <w:ind w:right="242"/>
              <w:spacing w:after="0" w:line="181" w:lineRule="exact"/>
              <w:rPr>
                <w:sz w:val="20"/>
                <w:szCs w:val="20"/>
                <w:color w:val="auto"/>
              </w:rPr>
            </w:pPr>
            <w:r>
              <w:rPr>
                <w:rFonts w:ascii="Arial" w:cs="Arial" w:eastAsia="Arial" w:hAnsi="Arial"/>
                <w:sz w:val="16"/>
                <w:szCs w:val="16"/>
                <w:color w:val="auto"/>
              </w:rPr>
              <w:t>68,000</w:t>
            </w:r>
          </w:p>
        </w:tc>
        <w:tc>
          <w:tcPr>
            <w:tcW w:w="1260" w:type="dxa"/>
            <w:vAlign w:val="bottom"/>
          </w:tcPr>
          <w:p>
            <w:pPr>
              <w:jc w:val="right"/>
              <w:ind w:right="285"/>
              <w:spacing w:after="0" w:line="181" w:lineRule="exact"/>
              <w:rPr>
                <w:sz w:val="20"/>
                <w:szCs w:val="20"/>
                <w:color w:val="auto"/>
              </w:rPr>
            </w:pPr>
            <w:r>
              <w:rPr>
                <w:rFonts w:ascii="Arial" w:cs="Arial" w:eastAsia="Arial" w:hAnsi="Arial"/>
                <w:sz w:val="16"/>
                <w:szCs w:val="16"/>
                <w:color w:val="auto"/>
              </w:rPr>
              <w:t>250,000</w:t>
            </w:r>
          </w:p>
        </w:tc>
        <w:tc>
          <w:tcPr>
            <w:tcW w:w="1260" w:type="dxa"/>
            <w:vAlign w:val="bottom"/>
          </w:tcPr>
          <w:p>
            <w:pPr>
              <w:jc w:val="right"/>
              <w:ind w:right="262"/>
              <w:spacing w:after="0" w:line="181" w:lineRule="exact"/>
              <w:rPr>
                <w:sz w:val="20"/>
                <w:szCs w:val="20"/>
                <w:color w:val="auto"/>
              </w:rPr>
            </w:pPr>
            <w:r>
              <w:rPr>
                <w:rFonts w:ascii="Arial" w:cs="Arial" w:eastAsia="Arial" w:hAnsi="Arial"/>
                <w:sz w:val="16"/>
                <w:szCs w:val="16"/>
                <w:color w:val="auto"/>
              </w:rPr>
              <w:t>318,000</w:t>
            </w:r>
          </w:p>
        </w:tc>
      </w:tr>
      <w:tr>
        <w:trPr>
          <w:trHeight w:val="181"/>
        </w:trPr>
        <w:tc>
          <w:tcPr>
            <w:tcW w:w="356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Mary P. Harman</w:t>
            </w:r>
          </w:p>
        </w:tc>
        <w:tc>
          <w:tcPr>
            <w:tcW w:w="3240" w:type="dxa"/>
            <w:vAlign w:val="bottom"/>
            <w:shd w:val="clear" w:color="auto" w:fill="9DBDE4"/>
          </w:tcPr>
          <w:p>
            <w:pPr>
              <w:jc w:val="right"/>
              <w:ind w:right="242"/>
              <w:spacing w:after="0" w:line="181" w:lineRule="exact"/>
              <w:rPr>
                <w:sz w:val="20"/>
                <w:szCs w:val="20"/>
                <w:color w:val="auto"/>
              </w:rPr>
            </w:pPr>
            <w:r>
              <w:rPr>
                <w:rFonts w:ascii="Arial" w:cs="Arial" w:eastAsia="Arial" w:hAnsi="Arial"/>
                <w:sz w:val="16"/>
                <w:szCs w:val="16"/>
                <w:color w:val="auto"/>
              </w:rPr>
              <w:t>74,000</w:t>
            </w:r>
          </w:p>
        </w:tc>
        <w:tc>
          <w:tcPr>
            <w:tcW w:w="1260" w:type="dxa"/>
            <w:vAlign w:val="bottom"/>
            <w:shd w:val="clear" w:color="auto" w:fill="9DBDE4"/>
          </w:tcPr>
          <w:p>
            <w:pPr>
              <w:jc w:val="right"/>
              <w:ind w:right="285"/>
              <w:spacing w:after="0" w:line="181" w:lineRule="exact"/>
              <w:rPr>
                <w:sz w:val="20"/>
                <w:szCs w:val="20"/>
                <w:color w:val="auto"/>
              </w:rPr>
            </w:pPr>
            <w:r>
              <w:rPr>
                <w:rFonts w:ascii="Arial" w:cs="Arial" w:eastAsia="Arial" w:hAnsi="Arial"/>
                <w:sz w:val="16"/>
                <w:szCs w:val="16"/>
                <w:color w:val="auto"/>
              </w:rPr>
              <w:t>250,000</w:t>
            </w:r>
          </w:p>
        </w:tc>
        <w:tc>
          <w:tcPr>
            <w:tcW w:w="1260" w:type="dxa"/>
            <w:vAlign w:val="bottom"/>
            <w:shd w:val="clear" w:color="auto" w:fill="9DBDE4"/>
          </w:tcPr>
          <w:p>
            <w:pPr>
              <w:jc w:val="right"/>
              <w:ind w:right="262"/>
              <w:spacing w:after="0" w:line="181" w:lineRule="exact"/>
              <w:rPr>
                <w:sz w:val="20"/>
                <w:szCs w:val="20"/>
                <w:color w:val="auto"/>
              </w:rPr>
            </w:pPr>
            <w:r>
              <w:rPr>
                <w:rFonts w:ascii="Arial" w:cs="Arial" w:eastAsia="Arial" w:hAnsi="Arial"/>
                <w:sz w:val="16"/>
                <w:szCs w:val="16"/>
                <w:color w:val="auto"/>
              </w:rPr>
              <w:t>324,000</w:t>
            </w:r>
          </w:p>
        </w:tc>
      </w:tr>
      <w:tr>
        <w:trPr>
          <w:trHeight w:val="181"/>
        </w:trPr>
        <w:tc>
          <w:tcPr>
            <w:tcW w:w="3560" w:type="dxa"/>
            <w:vAlign w:val="bottom"/>
          </w:tcPr>
          <w:p>
            <w:pPr>
              <w:ind w:left="80"/>
              <w:spacing w:after="0" w:line="181" w:lineRule="exact"/>
              <w:rPr>
                <w:sz w:val="20"/>
                <w:szCs w:val="20"/>
                <w:color w:val="auto"/>
              </w:rPr>
            </w:pPr>
            <w:r>
              <w:rPr>
                <w:rFonts w:ascii="Arial" w:cs="Arial" w:eastAsia="Arial" w:hAnsi="Arial"/>
                <w:sz w:val="16"/>
                <w:szCs w:val="16"/>
                <w:color w:val="auto"/>
              </w:rPr>
              <w:t>Didier R. Lamouche</w:t>
            </w:r>
          </w:p>
        </w:tc>
        <w:tc>
          <w:tcPr>
            <w:tcW w:w="3240" w:type="dxa"/>
            <w:vAlign w:val="bottom"/>
          </w:tcPr>
          <w:p>
            <w:pPr>
              <w:jc w:val="right"/>
              <w:ind w:right="242"/>
              <w:spacing w:after="0" w:line="181" w:lineRule="exact"/>
              <w:rPr>
                <w:sz w:val="20"/>
                <w:szCs w:val="20"/>
                <w:color w:val="auto"/>
              </w:rPr>
            </w:pPr>
            <w:r>
              <w:rPr>
                <w:rFonts w:ascii="Arial" w:cs="Arial" w:eastAsia="Arial" w:hAnsi="Arial"/>
                <w:sz w:val="16"/>
                <w:szCs w:val="16"/>
                <w:color w:val="auto"/>
              </w:rPr>
              <w:t>68,000</w:t>
            </w:r>
          </w:p>
        </w:tc>
        <w:tc>
          <w:tcPr>
            <w:tcW w:w="1260" w:type="dxa"/>
            <w:vAlign w:val="bottom"/>
          </w:tcPr>
          <w:p>
            <w:pPr>
              <w:jc w:val="right"/>
              <w:ind w:right="285"/>
              <w:spacing w:after="0" w:line="181" w:lineRule="exact"/>
              <w:rPr>
                <w:sz w:val="20"/>
                <w:szCs w:val="20"/>
                <w:color w:val="auto"/>
              </w:rPr>
            </w:pPr>
            <w:r>
              <w:rPr>
                <w:rFonts w:ascii="Arial" w:cs="Arial" w:eastAsia="Arial" w:hAnsi="Arial"/>
                <w:sz w:val="16"/>
                <w:szCs w:val="16"/>
                <w:color w:val="auto"/>
              </w:rPr>
              <w:t>250,000</w:t>
            </w:r>
          </w:p>
        </w:tc>
        <w:tc>
          <w:tcPr>
            <w:tcW w:w="1260" w:type="dxa"/>
            <w:vAlign w:val="bottom"/>
          </w:tcPr>
          <w:p>
            <w:pPr>
              <w:jc w:val="right"/>
              <w:ind w:right="262"/>
              <w:spacing w:after="0" w:line="181" w:lineRule="exact"/>
              <w:rPr>
                <w:sz w:val="20"/>
                <w:szCs w:val="20"/>
                <w:color w:val="auto"/>
              </w:rPr>
            </w:pPr>
            <w:r>
              <w:rPr>
                <w:rFonts w:ascii="Arial" w:cs="Arial" w:eastAsia="Arial" w:hAnsi="Arial"/>
                <w:sz w:val="16"/>
                <w:szCs w:val="16"/>
                <w:color w:val="auto"/>
              </w:rPr>
              <w:t>318,000</w:t>
            </w:r>
          </w:p>
        </w:tc>
      </w:tr>
      <w:tr>
        <w:trPr>
          <w:trHeight w:val="181"/>
        </w:trPr>
        <w:tc>
          <w:tcPr>
            <w:tcW w:w="356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Charles E. Peters, Jr.</w:t>
            </w:r>
          </w:p>
        </w:tc>
        <w:tc>
          <w:tcPr>
            <w:tcW w:w="3240" w:type="dxa"/>
            <w:vAlign w:val="bottom"/>
            <w:shd w:val="clear" w:color="auto" w:fill="9DBDE4"/>
          </w:tcPr>
          <w:p>
            <w:pPr>
              <w:jc w:val="right"/>
              <w:ind w:right="242"/>
              <w:spacing w:after="0" w:line="181" w:lineRule="exact"/>
              <w:rPr>
                <w:sz w:val="20"/>
                <w:szCs w:val="20"/>
                <w:color w:val="auto"/>
              </w:rPr>
            </w:pPr>
            <w:r>
              <w:rPr>
                <w:rFonts w:ascii="Arial" w:cs="Arial" w:eastAsia="Arial" w:hAnsi="Arial"/>
                <w:sz w:val="16"/>
                <w:szCs w:val="16"/>
                <w:color w:val="auto"/>
              </w:rPr>
              <w:t>93,000</w:t>
            </w:r>
          </w:p>
        </w:tc>
        <w:tc>
          <w:tcPr>
            <w:tcW w:w="1260" w:type="dxa"/>
            <w:vAlign w:val="bottom"/>
            <w:shd w:val="clear" w:color="auto" w:fill="9DBDE4"/>
          </w:tcPr>
          <w:p>
            <w:pPr>
              <w:jc w:val="right"/>
              <w:ind w:right="285"/>
              <w:spacing w:after="0" w:line="181" w:lineRule="exact"/>
              <w:rPr>
                <w:sz w:val="20"/>
                <w:szCs w:val="20"/>
                <w:color w:val="auto"/>
              </w:rPr>
            </w:pPr>
            <w:r>
              <w:rPr>
                <w:rFonts w:ascii="Arial" w:cs="Arial" w:eastAsia="Arial" w:hAnsi="Arial"/>
                <w:sz w:val="16"/>
                <w:szCs w:val="16"/>
                <w:color w:val="auto"/>
              </w:rPr>
              <w:t>250,000</w:t>
            </w:r>
          </w:p>
        </w:tc>
        <w:tc>
          <w:tcPr>
            <w:tcW w:w="1260" w:type="dxa"/>
            <w:vAlign w:val="bottom"/>
            <w:shd w:val="clear" w:color="auto" w:fill="9DBDE4"/>
          </w:tcPr>
          <w:p>
            <w:pPr>
              <w:jc w:val="right"/>
              <w:ind w:right="262"/>
              <w:spacing w:after="0" w:line="181" w:lineRule="exact"/>
              <w:rPr>
                <w:sz w:val="20"/>
                <w:szCs w:val="20"/>
                <w:color w:val="auto"/>
              </w:rPr>
            </w:pPr>
            <w:r>
              <w:rPr>
                <w:rFonts w:ascii="Arial" w:cs="Arial" w:eastAsia="Arial" w:hAnsi="Arial"/>
                <w:sz w:val="16"/>
                <w:szCs w:val="16"/>
                <w:color w:val="auto"/>
              </w:rPr>
              <w:t>343,000</w:t>
            </w:r>
          </w:p>
        </w:tc>
      </w:tr>
      <w:tr>
        <w:trPr>
          <w:trHeight w:val="181"/>
        </w:trPr>
        <w:tc>
          <w:tcPr>
            <w:tcW w:w="3560" w:type="dxa"/>
            <w:vAlign w:val="bottom"/>
          </w:tcPr>
          <w:p>
            <w:pPr>
              <w:ind w:left="80"/>
              <w:spacing w:after="0" w:line="181" w:lineRule="exact"/>
              <w:rPr>
                <w:sz w:val="20"/>
                <w:szCs w:val="20"/>
                <w:color w:val="auto"/>
              </w:rPr>
            </w:pPr>
            <w:r>
              <w:rPr>
                <w:rFonts w:ascii="Arial" w:cs="Arial" w:eastAsia="Arial" w:hAnsi="Arial"/>
                <w:sz w:val="16"/>
                <w:szCs w:val="16"/>
                <w:color w:val="auto"/>
              </w:rPr>
              <w:t>Adalio T. Sanchez</w:t>
            </w:r>
          </w:p>
        </w:tc>
        <w:tc>
          <w:tcPr>
            <w:tcW w:w="3240" w:type="dxa"/>
            <w:vAlign w:val="bottom"/>
          </w:tcPr>
          <w:p>
            <w:pPr>
              <w:jc w:val="right"/>
              <w:ind w:right="242"/>
              <w:spacing w:after="0" w:line="181" w:lineRule="exact"/>
              <w:rPr>
                <w:sz w:val="20"/>
                <w:szCs w:val="20"/>
                <w:color w:val="auto"/>
              </w:rPr>
            </w:pPr>
            <w:r>
              <w:rPr>
                <w:rFonts w:ascii="Arial" w:cs="Arial" w:eastAsia="Arial" w:hAnsi="Arial"/>
                <w:sz w:val="16"/>
                <w:szCs w:val="16"/>
                <w:color w:val="auto"/>
              </w:rPr>
              <w:t>101,334</w:t>
            </w:r>
          </w:p>
        </w:tc>
        <w:tc>
          <w:tcPr>
            <w:tcW w:w="1260" w:type="dxa"/>
            <w:vAlign w:val="bottom"/>
          </w:tcPr>
          <w:p>
            <w:pPr>
              <w:jc w:val="right"/>
              <w:ind w:right="285"/>
              <w:spacing w:after="0" w:line="181" w:lineRule="exact"/>
              <w:rPr>
                <w:sz w:val="20"/>
                <w:szCs w:val="20"/>
                <w:color w:val="auto"/>
              </w:rPr>
            </w:pPr>
            <w:r>
              <w:rPr>
                <w:rFonts w:ascii="Arial" w:cs="Arial" w:eastAsia="Arial" w:hAnsi="Arial"/>
                <w:sz w:val="16"/>
                <w:szCs w:val="16"/>
                <w:color w:val="auto"/>
              </w:rPr>
              <w:t>250,000</w:t>
            </w:r>
          </w:p>
        </w:tc>
        <w:tc>
          <w:tcPr>
            <w:tcW w:w="1260" w:type="dxa"/>
            <w:vAlign w:val="bottom"/>
          </w:tcPr>
          <w:p>
            <w:pPr>
              <w:jc w:val="right"/>
              <w:ind w:right="262"/>
              <w:spacing w:after="0" w:line="181" w:lineRule="exact"/>
              <w:rPr>
                <w:sz w:val="20"/>
                <w:szCs w:val="20"/>
                <w:color w:val="auto"/>
              </w:rPr>
            </w:pPr>
            <w:r>
              <w:rPr>
                <w:rFonts w:ascii="Arial" w:cs="Arial" w:eastAsia="Arial" w:hAnsi="Arial"/>
                <w:sz w:val="16"/>
                <w:szCs w:val="16"/>
                <w:color w:val="auto"/>
              </w:rPr>
              <w:t>351,334</w:t>
            </w:r>
          </w:p>
        </w:tc>
      </w:tr>
      <w:tr>
        <w:trPr>
          <w:trHeight w:val="181"/>
        </w:trPr>
        <w:tc>
          <w:tcPr>
            <w:tcW w:w="3560" w:type="dxa"/>
            <w:vAlign w:val="bottom"/>
            <w:shd w:val="clear" w:color="auto" w:fill="9DBDE4"/>
          </w:tcPr>
          <w:p>
            <w:pPr>
              <w:ind w:left="80"/>
              <w:spacing w:after="0" w:line="182" w:lineRule="exact"/>
              <w:rPr>
                <w:sz w:val="20"/>
                <w:szCs w:val="20"/>
                <w:color w:val="auto"/>
              </w:rPr>
            </w:pPr>
            <w:r>
              <w:rPr>
                <w:rFonts w:ascii="Arial" w:cs="Arial" w:eastAsia="Arial" w:hAnsi="Arial"/>
                <w:sz w:val="14"/>
                <w:szCs w:val="14"/>
                <w:color w:val="auto"/>
              </w:rPr>
              <w:t>Thomas W. Warsop III</w:t>
            </w:r>
            <w:r>
              <w:rPr>
                <w:rFonts w:ascii="Arial" w:cs="Arial" w:eastAsia="Arial" w:hAnsi="Arial"/>
                <w:sz w:val="21"/>
                <w:szCs w:val="21"/>
                <w:color w:val="auto"/>
                <w:vertAlign w:val="superscript"/>
              </w:rPr>
              <w:t>(3)</w:t>
            </w:r>
          </w:p>
        </w:tc>
        <w:tc>
          <w:tcPr>
            <w:tcW w:w="3240" w:type="dxa"/>
            <w:vAlign w:val="bottom"/>
            <w:shd w:val="clear" w:color="auto" w:fill="9DBDE4"/>
          </w:tcPr>
          <w:p>
            <w:pPr>
              <w:jc w:val="right"/>
              <w:ind w:right="242"/>
              <w:spacing w:after="0" w:line="181" w:lineRule="exact"/>
              <w:rPr>
                <w:sz w:val="20"/>
                <w:szCs w:val="20"/>
                <w:color w:val="auto"/>
              </w:rPr>
            </w:pPr>
            <w:r>
              <w:rPr>
                <w:rFonts w:ascii="Arial" w:cs="Arial" w:eastAsia="Arial" w:hAnsi="Arial"/>
                <w:sz w:val="16"/>
                <w:szCs w:val="16"/>
                <w:color w:val="auto"/>
              </w:rPr>
              <w:t>96,000</w:t>
            </w:r>
          </w:p>
        </w:tc>
        <w:tc>
          <w:tcPr>
            <w:tcW w:w="1260" w:type="dxa"/>
            <w:vAlign w:val="bottom"/>
            <w:shd w:val="clear" w:color="auto" w:fill="9DBDE4"/>
          </w:tcPr>
          <w:p>
            <w:pPr>
              <w:jc w:val="right"/>
              <w:ind w:right="285"/>
              <w:spacing w:after="0" w:line="181" w:lineRule="exact"/>
              <w:rPr>
                <w:sz w:val="20"/>
                <w:szCs w:val="20"/>
                <w:color w:val="auto"/>
              </w:rPr>
            </w:pPr>
            <w:r>
              <w:rPr>
                <w:rFonts w:ascii="Arial" w:cs="Arial" w:eastAsia="Arial" w:hAnsi="Arial"/>
                <w:sz w:val="16"/>
                <w:szCs w:val="16"/>
                <w:color w:val="auto"/>
              </w:rPr>
              <w:t>250,000</w:t>
            </w:r>
          </w:p>
        </w:tc>
        <w:tc>
          <w:tcPr>
            <w:tcW w:w="1260" w:type="dxa"/>
            <w:vAlign w:val="bottom"/>
            <w:shd w:val="clear" w:color="auto" w:fill="9DBDE4"/>
          </w:tcPr>
          <w:p>
            <w:pPr>
              <w:jc w:val="right"/>
              <w:ind w:right="262"/>
              <w:spacing w:after="0" w:line="181" w:lineRule="exact"/>
              <w:rPr>
                <w:sz w:val="20"/>
                <w:szCs w:val="20"/>
                <w:color w:val="auto"/>
              </w:rPr>
            </w:pPr>
            <w:r>
              <w:rPr>
                <w:rFonts w:ascii="Arial" w:cs="Arial" w:eastAsia="Arial" w:hAnsi="Arial"/>
                <w:sz w:val="16"/>
                <w:szCs w:val="16"/>
                <w:color w:val="auto"/>
              </w:rPr>
              <w:t>346,000</w:t>
            </w:r>
          </w:p>
        </w:tc>
      </w:tr>
      <w:tr>
        <w:trPr>
          <w:trHeight w:val="181"/>
        </w:trPr>
        <w:tc>
          <w:tcPr>
            <w:tcW w:w="3560" w:type="dxa"/>
            <w:vAlign w:val="bottom"/>
            <w:tcBorders>
              <w:bottom w:val="single" w:sz="8" w:color="284993"/>
            </w:tcBorders>
          </w:tcPr>
          <w:p>
            <w:pPr>
              <w:ind w:left="80"/>
              <w:spacing w:after="0" w:line="181" w:lineRule="exact"/>
              <w:rPr>
                <w:sz w:val="20"/>
                <w:szCs w:val="20"/>
                <w:color w:val="auto"/>
              </w:rPr>
            </w:pPr>
            <w:r>
              <w:rPr>
                <w:rFonts w:ascii="Arial" w:cs="Arial" w:eastAsia="Arial" w:hAnsi="Arial"/>
                <w:sz w:val="16"/>
                <w:szCs w:val="16"/>
                <w:color w:val="auto"/>
              </w:rPr>
              <w:t>Samir M. Zabaneh</w:t>
            </w:r>
          </w:p>
        </w:tc>
        <w:tc>
          <w:tcPr>
            <w:tcW w:w="3240" w:type="dxa"/>
            <w:vAlign w:val="bottom"/>
            <w:tcBorders>
              <w:bottom w:val="single" w:sz="8" w:color="284993"/>
            </w:tcBorders>
          </w:tcPr>
          <w:p>
            <w:pPr>
              <w:jc w:val="right"/>
              <w:ind w:right="242"/>
              <w:spacing w:after="0" w:line="181" w:lineRule="exact"/>
              <w:rPr>
                <w:sz w:val="20"/>
                <w:szCs w:val="20"/>
                <w:color w:val="auto"/>
              </w:rPr>
            </w:pPr>
            <w:r>
              <w:rPr>
                <w:rFonts w:ascii="Arial" w:cs="Arial" w:eastAsia="Arial" w:hAnsi="Arial"/>
                <w:sz w:val="16"/>
                <w:szCs w:val="16"/>
                <w:color w:val="auto"/>
              </w:rPr>
              <w:t>71,333</w:t>
            </w:r>
          </w:p>
        </w:tc>
        <w:tc>
          <w:tcPr>
            <w:tcW w:w="1260" w:type="dxa"/>
            <w:vAlign w:val="bottom"/>
            <w:tcBorders>
              <w:bottom w:val="single" w:sz="8" w:color="284993"/>
            </w:tcBorders>
          </w:tcPr>
          <w:p>
            <w:pPr>
              <w:jc w:val="right"/>
              <w:ind w:right="285"/>
              <w:spacing w:after="0" w:line="181" w:lineRule="exact"/>
              <w:rPr>
                <w:sz w:val="20"/>
                <w:szCs w:val="20"/>
                <w:color w:val="auto"/>
              </w:rPr>
            </w:pPr>
            <w:r>
              <w:rPr>
                <w:rFonts w:ascii="Arial" w:cs="Arial" w:eastAsia="Arial" w:hAnsi="Arial"/>
                <w:sz w:val="16"/>
                <w:szCs w:val="16"/>
                <w:color w:val="auto"/>
              </w:rPr>
              <w:t>250,000</w:t>
            </w:r>
          </w:p>
        </w:tc>
        <w:tc>
          <w:tcPr>
            <w:tcW w:w="1260" w:type="dxa"/>
            <w:vAlign w:val="bottom"/>
            <w:tcBorders>
              <w:bottom w:val="single" w:sz="8" w:color="284993"/>
            </w:tcBorders>
          </w:tcPr>
          <w:p>
            <w:pPr>
              <w:jc w:val="right"/>
              <w:ind w:right="262"/>
              <w:spacing w:after="0" w:line="181" w:lineRule="exact"/>
              <w:rPr>
                <w:sz w:val="20"/>
                <w:szCs w:val="20"/>
                <w:color w:val="auto"/>
              </w:rPr>
            </w:pPr>
            <w:r>
              <w:rPr>
                <w:rFonts w:ascii="Arial" w:cs="Arial" w:eastAsia="Arial" w:hAnsi="Arial"/>
                <w:sz w:val="16"/>
                <w:szCs w:val="16"/>
                <w:color w:val="auto"/>
              </w:rPr>
              <w:t>321,333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-238125</wp:posOffset>
            </wp:positionV>
            <wp:extent cx="8255" cy="1149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11493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-467995</wp:posOffset>
            </wp:positionV>
            <wp:extent cx="8255" cy="1149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11493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-698500</wp:posOffset>
            </wp:positionV>
            <wp:extent cx="8255" cy="1149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11493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-928370</wp:posOffset>
            </wp:positionV>
            <wp:extent cx="8255" cy="1149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114935"/>
                    </a:xfrm>
                    <a:prstGeom prst="rect">
                      <a:avLst/>
                    </a:prstGeom>
                    <a:noFill/>
                  </pic:spPr>
                </pic:pic>
              </a:graphicData>
            </a:graphic>
          </wp:anchor>
        </w:drawing>
      </w:r>
    </w:p>
    <w:p>
      <w:pPr>
        <w:spacing w:after="0" w:line="40" w:lineRule="exact"/>
        <w:rPr>
          <w:sz w:val="20"/>
          <w:szCs w:val="20"/>
          <w:color w:val="auto"/>
        </w:rPr>
      </w:pPr>
    </w:p>
    <w:p>
      <w:pPr>
        <w:ind w:left="280" w:right="140" w:hanging="278"/>
        <w:spacing w:after="0" w:line="188" w:lineRule="auto"/>
        <w:tabs>
          <w:tab w:leader="none" w:pos="28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The grant date fair value of the stock awards granted to our independent directors on August 9, 2022, was $25.86 per share of restricted stock, the closing price on the date of grant, multiplied by the number of shares awarded, 9,667. The fair value was computed in accordance with FASB ASC Topic 718.</w:t>
      </w:r>
    </w:p>
    <w:p>
      <w:pPr>
        <w:ind w:left="280" w:right="20" w:hanging="278"/>
        <w:spacing w:after="0" w:line="180" w:lineRule="auto"/>
        <w:tabs>
          <w:tab w:leader="none" w:pos="28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Charles K. Bobrinskoy resigned as a director of the Company effective on June 17, 2022. This amount reflects the retainer fees that he earned as a director through such date.</w:t>
      </w:r>
    </w:p>
    <w:p>
      <w:pPr>
        <w:ind w:left="280" w:right="160" w:hanging="278"/>
        <w:spacing w:after="0" w:line="192" w:lineRule="auto"/>
        <w:tabs>
          <w:tab w:leader="none" w:pos="28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Thomas W. Warsop was a director and the non-executive Chair of the Company’s Board of Directors which ceased with his appointment to interim President &amp; CEO of the Company in November 2022. This amount reflects the retainer fees and stock awards that he earned as a director and Chair of the Board through such date.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each independent director’s aggregate number of stock awards (unvested shares of restricted stock)</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outstanding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145415</wp:posOffset>
            </wp:positionV>
            <wp:extent cx="8255" cy="13982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1398270"/>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145415</wp:posOffset>
            </wp:positionV>
            <wp:extent cx="8255" cy="13982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139827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shd w:val="clear" w:color="auto" w:fill="284993"/>
          </w:tcPr>
          <w:p>
            <w:pPr>
              <w:spacing w:after="0"/>
              <w:rPr>
                <w:sz w:val="16"/>
                <w:szCs w:val="16"/>
                <w:color w:val="auto"/>
              </w:rPr>
            </w:pPr>
          </w:p>
        </w:tc>
        <w:tc>
          <w:tcPr>
            <w:tcW w:w="3420" w:type="dxa"/>
            <w:vAlign w:val="bottom"/>
            <w:shd w:val="clear" w:color="auto" w:fill="284993"/>
          </w:tcPr>
          <w:p>
            <w:pPr>
              <w:jc w:val="center"/>
              <w:ind w:left="1842"/>
              <w:spacing w:after="0"/>
              <w:rPr>
                <w:sz w:val="20"/>
                <w:szCs w:val="20"/>
                <w:color w:val="auto"/>
              </w:rPr>
            </w:pPr>
            <w:r>
              <w:rPr>
                <w:rFonts w:ascii="Arial" w:cs="Arial" w:eastAsia="Arial" w:hAnsi="Arial"/>
                <w:sz w:val="16"/>
                <w:szCs w:val="16"/>
                <w:b w:val="1"/>
                <w:bCs w:val="1"/>
                <w:color w:val="FFFFFF"/>
                <w:w w:val="97"/>
              </w:rPr>
              <w:t>Unvested</w:t>
            </w:r>
          </w:p>
        </w:tc>
        <w:tc>
          <w:tcPr>
            <w:tcW w:w="1800" w:type="dxa"/>
            <w:vAlign w:val="bottom"/>
            <w:shd w:val="clear" w:color="auto" w:fill="284993"/>
          </w:tcPr>
          <w:p>
            <w:pPr>
              <w:jc w:val="right"/>
              <w:ind w:right="402"/>
              <w:spacing w:after="0"/>
              <w:rPr>
                <w:sz w:val="20"/>
                <w:szCs w:val="20"/>
                <w:color w:val="auto"/>
              </w:rPr>
            </w:pPr>
            <w:r>
              <w:rPr>
                <w:rFonts w:ascii="Arial" w:cs="Arial" w:eastAsia="Arial" w:hAnsi="Arial"/>
                <w:sz w:val="16"/>
                <w:szCs w:val="16"/>
                <w:b w:val="1"/>
                <w:bCs w:val="1"/>
                <w:color w:val="FFFFFF"/>
              </w:rPr>
              <w:t>Aggregate</w:t>
            </w:r>
          </w:p>
        </w:tc>
      </w:tr>
      <w:tr>
        <w:trPr>
          <w:trHeight w:val="181"/>
        </w:trPr>
        <w:tc>
          <w:tcPr>
            <w:tcW w:w="4100" w:type="dxa"/>
            <w:vAlign w:val="bottom"/>
            <w:shd w:val="clear" w:color="auto" w:fill="284993"/>
          </w:tcPr>
          <w:p>
            <w:pPr>
              <w:spacing w:after="0"/>
              <w:rPr>
                <w:sz w:val="15"/>
                <w:szCs w:val="15"/>
                <w:color w:val="auto"/>
              </w:rPr>
            </w:pPr>
          </w:p>
        </w:tc>
        <w:tc>
          <w:tcPr>
            <w:tcW w:w="3420" w:type="dxa"/>
            <w:vAlign w:val="bottom"/>
            <w:shd w:val="clear" w:color="auto" w:fill="284993"/>
          </w:tcPr>
          <w:p>
            <w:pPr>
              <w:jc w:val="center"/>
              <w:ind w:left="1842"/>
              <w:spacing w:after="0" w:line="181" w:lineRule="exact"/>
              <w:rPr>
                <w:sz w:val="20"/>
                <w:szCs w:val="20"/>
                <w:color w:val="auto"/>
              </w:rPr>
            </w:pPr>
            <w:r>
              <w:rPr>
                <w:rFonts w:ascii="Arial" w:cs="Arial" w:eastAsia="Arial" w:hAnsi="Arial"/>
                <w:sz w:val="16"/>
                <w:szCs w:val="16"/>
                <w:b w:val="1"/>
                <w:bCs w:val="1"/>
                <w:color w:val="FFFFFF"/>
                <w:w w:val="96"/>
              </w:rPr>
              <w:t>Stock</w:t>
            </w:r>
          </w:p>
        </w:tc>
        <w:tc>
          <w:tcPr>
            <w:tcW w:w="1800" w:type="dxa"/>
            <w:vAlign w:val="bottom"/>
            <w:shd w:val="clear" w:color="auto" w:fill="284993"/>
          </w:tcPr>
          <w:p>
            <w:pPr>
              <w:jc w:val="right"/>
              <w:ind w:right="562"/>
              <w:spacing w:after="0" w:line="181" w:lineRule="exact"/>
              <w:rPr>
                <w:sz w:val="20"/>
                <w:szCs w:val="20"/>
                <w:color w:val="auto"/>
              </w:rPr>
            </w:pPr>
            <w:r>
              <w:rPr>
                <w:rFonts w:ascii="Arial" w:cs="Arial" w:eastAsia="Arial" w:hAnsi="Arial"/>
                <w:sz w:val="16"/>
                <w:szCs w:val="16"/>
                <w:b w:val="1"/>
                <w:bCs w:val="1"/>
                <w:color w:val="FFFFFF"/>
              </w:rPr>
              <w:t>Stock</w:t>
            </w:r>
          </w:p>
        </w:tc>
      </w:tr>
      <w:tr>
        <w:trPr>
          <w:trHeight w:val="208"/>
        </w:trPr>
        <w:tc>
          <w:tcPr>
            <w:tcW w:w="4100" w:type="dxa"/>
            <w:vAlign w:val="bottom"/>
            <w:shd w:val="clear" w:color="auto" w:fill="284993"/>
          </w:tcPr>
          <w:p>
            <w:pPr>
              <w:ind w:left="140"/>
              <w:spacing w:after="0"/>
              <w:rPr>
                <w:sz w:val="20"/>
                <w:szCs w:val="20"/>
                <w:color w:val="auto"/>
              </w:rPr>
            </w:pPr>
            <w:r>
              <w:rPr>
                <w:rFonts w:ascii="Arial" w:cs="Arial" w:eastAsia="Arial" w:hAnsi="Arial"/>
                <w:sz w:val="16"/>
                <w:szCs w:val="16"/>
                <w:b w:val="1"/>
                <w:bCs w:val="1"/>
                <w:color w:val="FFFFFF"/>
              </w:rPr>
              <w:t>Name</w:t>
            </w:r>
          </w:p>
        </w:tc>
        <w:tc>
          <w:tcPr>
            <w:tcW w:w="3420" w:type="dxa"/>
            <w:vAlign w:val="bottom"/>
            <w:shd w:val="clear" w:color="auto" w:fill="284993"/>
          </w:tcPr>
          <w:p>
            <w:pPr>
              <w:jc w:val="center"/>
              <w:ind w:left="1822"/>
              <w:spacing w:after="0"/>
              <w:rPr>
                <w:sz w:val="20"/>
                <w:szCs w:val="20"/>
                <w:color w:val="auto"/>
              </w:rPr>
            </w:pPr>
            <w:r>
              <w:rPr>
                <w:rFonts w:ascii="Arial" w:cs="Arial" w:eastAsia="Arial" w:hAnsi="Arial"/>
                <w:sz w:val="16"/>
                <w:szCs w:val="16"/>
                <w:b w:val="1"/>
                <w:bCs w:val="1"/>
                <w:color w:val="FFFFFF"/>
                <w:w w:val="96"/>
              </w:rPr>
              <w:t>Awards</w:t>
            </w:r>
          </w:p>
        </w:tc>
        <w:tc>
          <w:tcPr>
            <w:tcW w:w="1800" w:type="dxa"/>
            <w:vAlign w:val="bottom"/>
            <w:shd w:val="clear" w:color="auto" w:fill="284993"/>
          </w:tcPr>
          <w:p>
            <w:pPr>
              <w:jc w:val="right"/>
              <w:ind w:right="222"/>
              <w:spacing w:after="0"/>
              <w:rPr>
                <w:sz w:val="20"/>
                <w:szCs w:val="20"/>
                <w:color w:val="auto"/>
              </w:rPr>
            </w:pPr>
            <w:r>
              <w:rPr>
                <w:rFonts w:ascii="Arial" w:cs="Arial" w:eastAsia="Arial" w:hAnsi="Arial"/>
                <w:sz w:val="16"/>
                <w:szCs w:val="16"/>
                <w:b w:val="1"/>
                <w:bCs w:val="1"/>
                <w:color w:val="FFFFFF"/>
              </w:rPr>
              <w:t>Option Awards</w:t>
            </w:r>
          </w:p>
        </w:tc>
      </w:tr>
      <w:tr>
        <w:trPr>
          <w:trHeight w:val="181"/>
        </w:trPr>
        <w:tc>
          <w:tcPr>
            <w:tcW w:w="4100" w:type="dxa"/>
            <w:vAlign w:val="bottom"/>
          </w:tcPr>
          <w:p>
            <w:pPr>
              <w:ind w:left="100"/>
              <w:spacing w:after="0" w:line="182" w:lineRule="exact"/>
              <w:rPr>
                <w:sz w:val="20"/>
                <w:szCs w:val="20"/>
                <w:color w:val="auto"/>
              </w:rPr>
            </w:pPr>
            <w:r>
              <w:rPr>
                <w:rFonts w:ascii="Arial" w:cs="Arial" w:eastAsia="Arial" w:hAnsi="Arial"/>
                <w:sz w:val="14"/>
                <w:szCs w:val="14"/>
                <w:color w:val="auto"/>
              </w:rPr>
              <w:t>Charles K. Bobrinskoy</w:t>
            </w:r>
            <w:r>
              <w:rPr>
                <w:rFonts w:ascii="Arial" w:cs="Arial" w:eastAsia="Arial" w:hAnsi="Arial"/>
                <w:sz w:val="21"/>
                <w:szCs w:val="21"/>
                <w:color w:val="auto"/>
                <w:vertAlign w:val="superscript"/>
              </w:rPr>
              <w:t>(1)</w:t>
            </w:r>
          </w:p>
        </w:tc>
        <w:tc>
          <w:tcPr>
            <w:tcW w:w="3420" w:type="dxa"/>
            <w:vAlign w:val="bottom"/>
          </w:tcPr>
          <w:p>
            <w:pPr>
              <w:jc w:val="right"/>
              <w:ind w:right="322"/>
              <w:spacing w:after="0" w:line="181" w:lineRule="exact"/>
              <w:rPr>
                <w:sz w:val="20"/>
                <w:szCs w:val="20"/>
                <w:color w:val="auto"/>
              </w:rPr>
            </w:pPr>
            <w:r>
              <w:rPr>
                <w:rFonts w:ascii="Arial" w:cs="Arial" w:eastAsia="Arial" w:hAnsi="Arial"/>
                <w:sz w:val="16"/>
                <w:szCs w:val="16"/>
                <w:color w:val="auto"/>
              </w:rPr>
              <w:t>-</w:t>
            </w:r>
          </w:p>
        </w:tc>
        <w:tc>
          <w:tcPr>
            <w:tcW w:w="1800" w:type="dxa"/>
            <w:vAlign w:val="bottom"/>
          </w:tcPr>
          <w:p>
            <w:pPr>
              <w:jc w:val="right"/>
              <w:ind w:right="222"/>
              <w:spacing w:after="0" w:line="181" w:lineRule="exact"/>
              <w:rPr>
                <w:sz w:val="20"/>
                <w:szCs w:val="20"/>
                <w:color w:val="auto"/>
              </w:rPr>
            </w:pPr>
            <w:r>
              <w:rPr>
                <w:rFonts w:ascii="Arial" w:cs="Arial" w:eastAsia="Arial" w:hAnsi="Arial"/>
                <w:sz w:val="16"/>
                <w:szCs w:val="16"/>
                <w:color w:val="auto"/>
              </w:rPr>
              <w:t>-</w:t>
            </w:r>
          </w:p>
        </w:tc>
      </w:tr>
      <w:tr>
        <w:trPr>
          <w:trHeight w:val="181"/>
        </w:trPr>
        <w:tc>
          <w:tcPr>
            <w:tcW w:w="4100" w:type="dxa"/>
            <w:vAlign w:val="bottom"/>
            <w:shd w:val="clear" w:color="auto" w:fill="9DBDE4"/>
          </w:tcPr>
          <w:p>
            <w:pPr>
              <w:ind w:left="100"/>
              <w:spacing w:after="0" w:line="181" w:lineRule="exact"/>
              <w:rPr>
                <w:sz w:val="20"/>
                <w:szCs w:val="20"/>
                <w:color w:val="auto"/>
              </w:rPr>
            </w:pPr>
            <w:r>
              <w:rPr>
                <w:rFonts w:ascii="Arial" w:cs="Arial" w:eastAsia="Arial" w:hAnsi="Arial"/>
                <w:sz w:val="16"/>
                <w:szCs w:val="16"/>
                <w:color w:val="auto"/>
              </w:rPr>
              <w:t>Janet O. Estep</w:t>
            </w:r>
          </w:p>
        </w:tc>
        <w:tc>
          <w:tcPr>
            <w:tcW w:w="3420" w:type="dxa"/>
            <w:vAlign w:val="bottom"/>
            <w:shd w:val="clear" w:color="auto" w:fill="9DBDE4"/>
          </w:tcPr>
          <w:p>
            <w:pPr>
              <w:jc w:val="right"/>
              <w:ind w:right="322"/>
              <w:spacing w:after="0" w:line="181" w:lineRule="exact"/>
              <w:rPr>
                <w:sz w:val="20"/>
                <w:szCs w:val="20"/>
                <w:color w:val="auto"/>
              </w:rPr>
            </w:pPr>
            <w:r>
              <w:rPr>
                <w:rFonts w:ascii="Arial" w:cs="Arial" w:eastAsia="Arial" w:hAnsi="Arial"/>
                <w:sz w:val="16"/>
                <w:szCs w:val="16"/>
                <w:color w:val="auto"/>
              </w:rPr>
              <w:t>9,667</w:t>
            </w:r>
          </w:p>
        </w:tc>
        <w:tc>
          <w:tcPr>
            <w:tcW w:w="1800" w:type="dxa"/>
            <w:vAlign w:val="bottom"/>
            <w:shd w:val="clear" w:color="auto" w:fill="9DBDE4"/>
          </w:tcPr>
          <w:p>
            <w:pPr>
              <w:jc w:val="right"/>
              <w:ind w:right="222"/>
              <w:spacing w:after="0" w:line="181" w:lineRule="exact"/>
              <w:rPr>
                <w:sz w:val="20"/>
                <w:szCs w:val="20"/>
                <w:color w:val="auto"/>
              </w:rPr>
            </w:pPr>
            <w:r>
              <w:rPr>
                <w:rFonts w:ascii="Arial" w:cs="Arial" w:eastAsia="Arial" w:hAnsi="Arial"/>
                <w:sz w:val="16"/>
                <w:szCs w:val="16"/>
                <w:color w:val="auto"/>
              </w:rPr>
              <w:t>-</w:t>
            </w:r>
          </w:p>
        </w:tc>
      </w:tr>
      <w:tr>
        <w:trPr>
          <w:trHeight w:val="181"/>
        </w:trPr>
        <w:tc>
          <w:tcPr>
            <w:tcW w:w="4100" w:type="dxa"/>
            <w:vAlign w:val="bottom"/>
          </w:tcPr>
          <w:p>
            <w:pPr>
              <w:ind w:left="100"/>
              <w:spacing w:after="0" w:line="181" w:lineRule="exact"/>
              <w:rPr>
                <w:sz w:val="20"/>
                <w:szCs w:val="20"/>
                <w:color w:val="auto"/>
              </w:rPr>
            </w:pPr>
            <w:r>
              <w:rPr>
                <w:rFonts w:ascii="Arial" w:cs="Arial" w:eastAsia="Arial" w:hAnsi="Arial"/>
                <w:sz w:val="16"/>
                <w:szCs w:val="16"/>
                <w:color w:val="auto"/>
              </w:rPr>
              <w:t>James C. Hale III</w:t>
            </w:r>
          </w:p>
        </w:tc>
        <w:tc>
          <w:tcPr>
            <w:tcW w:w="3420" w:type="dxa"/>
            <w:vAlign w:val="bottom"/>
          </w:tcPr>
          <w:p>
            <w:pPr>
              <w:jc w:val="right"/>
              <w:ind w:right="322"/>
              <w:spacing w:after="0" w:line="181" w:lineRule="exact"/>
              <w:rPr>
                <w:sz w:val="20"/>
                <w:szCs w:val="20"/>
                <w:color w:val="auto"/>
              </w:rPr>
            </w:pPr>
            <w:r>
              <w:rPr>
                <w:rFonts w:ascii="Arial" w:cs="Arial" w:eastAsia="Arial" w:hAnsi="Arial"/>
                <w:sz w:val="16"/>
                <w:szCs w:val="16"/>
                <w:color w:val="auto"/>
              </w:rPr>
              <w:t>9,667</w:t>
            </w:r>
          </w:p>
        </w:tc>
        <w:tc>
          <w:tcPr>
            <w:tcW w:w="1800" w:type="dxa"/>
            <w:vAlign w:val="bottom"/>
          </w:tcPr>
          <w:p>
            <w:pPr>
              <w:jc w:val="right"/>
              <w:ind w:right="222"/>
              <w:spacing w:after="0" w:line="181" w:lineRule="exact"/>
              <w:rPr>
                <w:sz w:val="20"/>
                <w:szCs w:val="20"/>
                <w:color w:val="auto"/>
              </w:rPr>
            </w:pPr>
            <w:r>
              <w:rPr>
                <w:rFonts w:ascii="Arial" w:cs="Arial" w:eastAsia="Arial" w:hAnsi="Arial"/>
                <w:sz w:val="16"/>
                <w:szCs w:val="16"/>
                <w:color w:val="auto"/>
              </w:rPr>
              <w:t>-</w:t>
            </w:r>
          </w:p>
        </w:tc>
      </w:tr>
      <w:tr>
        <w:trPr>
          <w:trHeight w:val="181"/>
        </w:trPr>
        <w:tc>
          <w:tcPr>
            <w:tcW w:w="4100" w:type="dxa"/>
            <w:vAlign w:val="bottom"/>
            <w:shd w:val="clear" w:color="auto" w:fill="9DBDE4"/>
          </w:tcPr>
          <w:p>
            <w:pPr>
              <w:ind w:left="100"/>
              <w:spacing w:after="0" w:line="181" w:lineRule="exact"/>
              <w:rPr>
                <w:sz w:val="20"/>
                <w:szCs w:val="20"/>
                <w:color w:val="auto"/>
              </w:rPr>
            </w:pPr>
            <w:r>
              <w:rPr>
                <w:rFonts w:ascii="Arial" w:cs="Arial" w:eastAsia="Arial" w:hAnsi="Arial"/>
                <w:sz w:val="16"/>
                <w:szCs w:val="16"/>
                <w:color w:val="auto"/>
              </w:rPr>
              <w:t>Mary P. Harman</w:t>
            </w:r>
          </w:p>
        </w:tc>
        <w:tc>
          <w:tcPr>
            <w:tcW w:w="3420" w:type="dxa"/>
            <w:vAlign w:val="bottom"/>
            <w:shd w:val="clear" w:color="auto" w:fill="9DBDE4"/>
          </w:tcPr>
          <w:p>
            <w:pPr>
              <w:jc w:val="right"/>
              <w:ind w:right="322"/>
              <w:spacing w:after="0" w:line="181" w:lineRule="exact"/>
              <w:rPr>
                <w:sz w:val="20"/>
                <w:szCs w:val="20"/>
                <w:color w:val="auto"/>
              </w:rPr>
            </w:pPr>
            <w:r>
              <w:rPr>
                <w:rFonts w:ascii="Arial" w:cs="Arial" w:eastAsia="Arial" w:hAnsi="Arial"/>
                <w:sz w:val="16"/>
                <w:szCs w:val="16"/>
                <w:color w:val="auto"/>
              </w:rPr>
              <w:t>9,667</w:t>
            </w:r>
          </w:p>
        </w:tc>
        <w:tc>
          <w:tcPr>
            <w:tcW w:w="1800" w:type="dxa"/>
            <w:vAlign w:val="bottom"/>
            <w:shd w:val="clear" w:color="auto" w:fill="9DBDE4"/>
          </w:tcPr>
          <w:p>
            <w:pPr>
              <w:jc w:val="right"/>
              <w:ind w:right="222"/>
              <w:spacing w:after="0" w:line="181" w:lineRule="exact"/>
              <w:rPr>
                <w:sz w:val="20"/>
                <w:szCs w:val="20"/>
                <w:color w:val="auto"/>
              </w:rPr>
            </w:pPr>
            <w:r>
              <w:rPr>
                <w:rFonts w:ascii="Arial" w:cs="Arial" w:eastAsia="Arial" w:hAnsi="Arial"/>
                <w:sz w:val="16"/>
                <w:szCs w:val="16"/>
                <w:color w:val="auto"/>
              </w:rPr>
              <w:t>-</w:t>
            </w:r>
          </w:p>
        </w:tc>
      </w:tr>
      <w:tr>
        <w:trPr>
          <w:trHeight w:val="181"/>
        </w:trPr>
        <w:tc>
          <w:tcPr>
            <w:tcW w:w="4100" w:type="dxa"/>
            <w:vAlign w:val="bottom"/>
          </w:tcPr>
          <w:p>
            <w:pPr>
              <w:ind w:left="100"/>
              <w:spacing w:after="0" w:line="181" w:lineRule="exact"/>
              <w:rPr>
                <w:sz w:val="20"/>
                <w:szCs w:val="20"/>
                <w:color w:val="auto"/>
              </w:rPr>
            </w:pPr>
            <w:r>
              <w:rPr>
                <w:rFonts w:ascii="Arial" w:cs="Arial" w:eastAsia="Arial" w:hAnsi="Arial"/>
                <w:sz w:val="16"/>
                <w:szCs w:val="16"/>
                <w:color w:val="auto"/>
              </w:rPr>
              <w:t>Didier R. Lamouche</w:t>
            </w:r>
          </w:p>
        </w:tc>
        <w:tc>
          <w:tcPr>
            <w:tcW w:w="3420" w:type="dxa"/>
            <w:vAlign w:val="bottom"/>
          </w:tcPr>
          <w:p>
            <w:pPr>
              <w:jc w:val="right"/>
              <w:ind w:right="322"/>
              <w:spacing w:after="0" w:line="181" w:lineRule="exact"/>
              <w:rPr>
                <w:sz w:val="20"/>
                <w:szCs w:val="20"/>
                <w:color w:val="auto"/>
              </w:rPr>
            </w:pPr>
            <w:r>
              <w:rPr>
                <w:rFonts w:ascii="Arial" w:cs="Arial" w:eastAsia="Arial" w:hAnsi="Arial"/>
                <w:sz w:val="16"/>
                <w:szCs w:val="16"/>
                <w:color w:val="auto"/>
              </w:rPr>
              <w:t>9,667</w:t>
            </w:r>
          </w:p>
        </w:tc>
        <w:tc>
          <w:tcPr>
            <w:tcW w:w="1800" w:type="dxa"/>
            <w:vAlign w:val="bottom"/>
          </w:tcPr>
          <w:p>
            <w:pPr>
              <w:jc w:val="right"/>
              <w:ind w:right="222"/>
              <w:spacing w:after="0" w:line="181" w:lineRule="exact"/>
              <w:rPr>
                <w:sz w:val="20"/>
                <w:szCs w:val="20"/>
                <w:color w:val="auto"/>
              </w:rPr>
            </w:pPr>
            <w:r>
              <w:rPr>
                <w:rFonts w:ascii="Arial" w:cs="Arial" w:eastAsia="Arial" w:hAnsi="Arial"/>
                <w:sz w:val="16"/>
                <w:szCs w:val="16"/>
                <w:color w:val="auto"/>
              </w:rPr>
              <w:t>-</w:t>
            </w:r>
          </w:p>
        </w:tc>
      </w:tr>
      <w:tr>
        <w:trPr>
          <w:trHeight w:val="181"/>
        </w:trPr>
        <w:tc>
          <w:tcPr>
            <w:tcW w:w="4100" w:type="dxa"/>
            <w:vAlign w:val="bottom"/>
            <w:shd w:val="clear" w:color="auto" w:fill="9DBDE4"/>
          </w:tcPr>
          <w:p>
            <w:pPr>
              <w:ind w:left="100"/>
              <w:spacing w:after="0" w:line="181" w:lineRule="exact"/>
              <w:rPr>
                <w:sz w:val="20"/>
                <w:szCs w:val="20"/>
                <w:color w:val="auto"/>
              </w:rPr>
            </w:pPr>
            <w:r>
              <w:rPr>
                <w:rFonts w:ascii="Arial" w:cs="Arial" w:eastAsia="Arial" w:hAnsi="Arial"/>
                <w:sz w:val="16"/>
                <w:szCs w:val="16"/>
                <w:color w:val="auto"/>
              </w:rPr>
              <w:t>Charles E. Peters, Jr.</w:t>
            </w:r>
          </w:p>
        </w:tc>
        <w:tc>
          <w:tcPr>
            <w:tcW w:w="3420" w:type="dxa"/>
            <w:vAlign w:val="bottom"/>
            <w:shd w:val="clear" w:color="auto" w:fill="9DBDE4"/>
          </w:tcPr>
          <w:p>
            <w:pPr>
              <w:jc w:val="right"/>
              <w:ind w:right="322"/>
              <w:spacing w:after="0" w:line="181" w:lineRule="exact"/>
              <w:rPr>
                <w:sz w:val="20"/>
                <w:szCs w:val="20"/>
                <w:color w:val="auto"/>
              </w:rPr>
            </w:pPr>
            <w:r>
              <w:rPr>
                <w:rFonts w:ascii="Arial" w:cs="Arial" w:eastAsia="Arial" w:hAnsi="Arial"/>
                <w:sz w:val="16"/>
                <w:szCs w:val="16"/>
                <w:color w:val="auto"/>
              </w:rPr>
              <w:t>9,667</w:t>
            </w:r>
          </w:p>
        </w:tc>
        <w:tc>
          <w:tcPr>
            <w:tcW w:w="1800" w:type="dxa"/>
            <w:vAlign w:val="bottom"/>
            <w:shd w:val="clear" w:color="auto" w:fill="9DBDE4"/>
          </w:tcPr>
          <w:p>
            <w:pPr>
              <w:jc w:val="right"/>
              <w:ind w:right="222"/>
              <w:spacing w:after="0" w:line="181" w:lineRule="exact"/>
              <w:rPr>
                <w:sz w:val="20"/>
                <w:szCs w:val="20"/>
                <w:color w:val="auto"/>
              </w:rPr>
            </w:pPr>
            <w:r>
              <w:rPr>
                <w:rFonts w:ascii="Arial" w:cs="Arial" w:eastAsia="Arial" w:hAnsi="Arial"/>
                <w:sz w:val="16"/>
                <w:szCs w:val="16"/>
                <w:color w:val="auto"/>
              </w:rPr>
              <w:t>-</w:t>
            </w:r>
          </w:p>
        </w:tc>
      </w:tr>
      <w:tr>
        <w:trPr>
          <w:trHeight w:val="181"/>
        </w:trPr>
        <w:tc>
          <w:tcPr>
            <w:tcW w:w="4100" w:type="dxa"/>
            <w:vAlign w:val="bottom"/>
          </w:tcPr>
          <w:p>
            <w:pPr>
              <w:ind w:left="100"/>
              <w:spacing w:after="0" w:line="181" w:lineRule="exact"/>
              <w:rPr>
                <w:sz w:val="20"/>
                <w:szCs w:val="20"/>
                <w:color w:val="auto"/>
              </w:rPr>
            </w:pPr>
            <w:r>
              <w:rPr>
                <w:rFonts w:ascii="Arial" w:cs="Arial" w:eastAsia="Arial" w:hAnsi="Arial"/>
                <w:sz w:val="16"/>
                <w:szCs w:val="16"/>
                <w:color w:val="auto"/>
              </w:rPr>
              <w:t>Adalio T. Sanchez</w:t>
            </w:r>
          </w:p>
        </w:tc>
        <w:tc>
          <w:tcPr>
            <w:tcW w:w="3420" w:type="dxa"/>
            <w:vAlign w:val="bottom"/>
          </w:tcPr>
          <w:p>
            <w:pPr>
              <w:jc w:val="right"/>
              <w:ind w:right="322"/>
              <w:spacing w:after="0" w:line="181" w:lineRule="exact"/>
              <w:rPr>
                <w:sz w:val="20"/>
                <w:szCs w:val="20"/>
                <w:color w:val="auto"/>
              </w:rPr>
            </w:pPr>
            <w:r>
              <w:rPr>
                <w:rFonts w:ascii="Arial" w:cs="Arial" w:eastAsia="Arial" w:hAnsi="Arial"/>
                <w:sz w:val="16"/>
                <w:szCs w:val="16"/>
                <w:color w:val="auto"/>
              </w:rPr>
              <w:t>9,667</w:t>
            </w:r>
          </w:p>
        </w:tc>
        <w:tc>
          <w:tcPr>
            <w:tcW w:w="1800" w:type="dxa"/>
            <w:vAlign w:val="bottom"/>
          </w:tcPr>
          <w:p>
            <w:pPr>
              <w:jc w:val="right"/>
              <w:ind w:right="222"/>
              <w:spacing w:after="0" w:line="181" w:lineRule="exact"/>
              <w:rPr>
                <w:sz w:val="20"/>
                <w:szCs w:val="20"/>
                <w:color w:val="auto"/>
              </w:rPr>
            </w:pPr>
            <w:r>
              <w:rPr>
                <w:rFonts w:ascii="Arial" w:cs="Arial" w:eastAsia="Arial" w:hAnsi="Arial"/>
                <w:sz w:val="16"/>
                <w:szCs w:val="16"/>
                <w:color w:val="auto"/>
              </w:rPr>
              <w:t>-</w:t>
            </w:r>
          </w:p>
        </w:tc>
      </w:tr>
      <w:tr>
        <w:trPr>
          <w:trHeight w:val="181"/>
        </w:trPr>
        <w:tc>
          <w:tcPr>
            <w:tcW w:w="4100" w:type="dxa"/>
            <w:vAlign w:val="bottom"/>
            <w:shd w:val="clear" w:color="auto" w:fill="9DBDE4"/>
          </w:tcPr>
          <w:p>
            <w:pPr>
              <w:ind w:left="100"/>
              <w:spacing w:after="0" w:line="182" w:lineRule="exact"/>
              <w:rPr>
                <w:sz w:val="20"/>
                <w:szCs w:val="20"/>
                <w:color w:val="auto"/>
              </w:rPr>
            </w:pPr>
            <w:r>
              <w:rPr>
                <w:rFonts w:ascii="Arial" w:cs="Arial" w:eastAsia="Arial" w:hAnsi="Arial"/>
                <w:sz w:val="14"/>
                <w:szCs w:val="14"/>
                <w:color w:val="auto"/>
              </w:rPr>
              <w:t>Thomas W. Warsop III</w:t>
            </w:r>
            <w:r>
              <w:rPr>
                <w:rFonts w:ascii="Arial" w:cs="Arial" w:eastAsia="Arial" w:hAnsi="Arial"/>
                <w:sz w:val="21"/>
                <w:szCs w:val="21"/>
                <w:color w:val="auto"/>
                <w:vertAlign w:val="superscript"/>
              </w:rPr>
              <w:t>(2)</w:t>
            </w:r>
          </w:p>
        </w:tc>
        <w:tc>
          <w:tcPr>
            <w:tcW w:w="3420" w:type="dxa"/>
            <w:vAlign w:val="bottom"/>
            <w:shd w:val="clear" w:color="auto" w:fill="9DBDE4"/>
          </w:tcPr>
          <w:p>
            <w:pPr>
              <w:jc w:val="right"/>
              <w:ind w:right="322"/>
              <w:spacing w:after="0" w:line="181" w:lineRule="exact"/>
              <w:rPr>
                <w:sz w:val="20"/>
                <w:szCs w:val="20"/>
                <w:color w:val="auto"/>
              </w:rPr>
            </w:pPr>
            <w:r>
              <w:rPr>
                <w:rFonts w:ascii="Arial" w:cs="Arial" w:eastAsia="Arial" w:hAnsi="Arial"/>
                <w:sz w:val="16"/>
                <w:szCs w:val="16"/>
                <w:color w:val="auto"/>
              </w:rPr>
              <w:t>9,667</w:t>
            </w:r>
          </w:p>
        </w:tc>
        <w:tc>
          <w:tcPr>
            <w:tcW w:w="1800" w:type="dxa"/>
            <w:vAlign w:val="bottom"/>
            <w:shd w:val="clear" w:color="auto" w:fill="9DBDE4"/>
          </w:tcPr>
          <w:p>
            <w:pPr>
              <w:jc w:val="right"/>
              <w:ind w:right="222"/>
              <w:spacing w:after="0" w:line="181" w:lineRule="exact"/>
              <w:rPr>
                <w:sz w:val="20"/>
                <w:szCs w:val="20"/>
                <w:color w:val="auto"/>
              </w:rPr>
            </w:pPr>
            <w:r>
              <w:rPr>
                <w:rFonts w:ascii="Arial" w:cs="Arial" w:eastAsia="Arial" w:hAnsi="Arial"/>
                <w:sz w:val="16"/>
                <w:szCs w:val="16"/>
                <w:color w:val="auto"/>
              </w:rPr>
              <w:t>-</w:t>
            </w:r>
          </w:p>
        </w:tc>
      </w:tr>
      <w:tr>
        <w:trPr>
          <w:trHeight w:val="181"/>
        </w:trPr>
        <w:tc>
          <w:tcPr>
            <w:tcW w:w="4100" w:type="dxa"/>
            <w:vAlign w:val="bottom"/>
            <w:tcBorders>
              <w:bottom w:val="single" w:sz="8" w:color="284993"/>
            </w:tcBorders>
          </w:tcPr>
          <w:p>
            <w:pPr>
              <w:ind w:left="100"/>
              <w:spacing w:after="0" w:line="181" w:lineRule="exact"/>
              <w:rPr>
                <w:sz w:val="20"/>
                <w:szCs w:val="20"/>
                <w:color w:val="auto"/>
              </w:rPr>
            </w:pPr>
            <w:r>
              <w:rPr>
                <w:rFonts w:ascii="Arial" w:cs="Arial" w:eastAsia="Arial" w:hAnsi="Arial"/>
                <w:sz w:val="16"/>
                <w:szCs w:val="16"/>
                <w:color w:val="auto"/>
              </w:rPr>
              <w:t>Samir M. Zabaneh</w:t>
            </w:r>
          </w:p>
        </w:tc>
        <w:tc>
          <w:tcPr>
            <w:tcW w:w="3420" w:type="dxa"/>
            <w:vAlign w:val="bottom"/>
            <w:tcBorders>
              <w:bottom w:val="single" w:sz="8" w:color="284993"/>
            </w:tcBorders>
          </w:tcPr>
          <w:p>
            <w:pPr>
              <w:jc w:val="right"/>
              <w:ind w:right="322"/>
              <w:spacing w:after="0" w:line="181" w:lineRule="exact"/>
              <w:rPr>
                <w:sz w:val="20"/>
                <w:szCs w:val="20"/>
                <w:color w:val="auto"/>
              </w:rPr>
            </w:pPr>
            <w:r>
              <w:rPr>
                <w:rFonts w:ascii="Arial" w:cs="Arial" w:eastAsia="Arial" w:hAnsi="Arial"/>
                <w:sz w:val="16"/>
                <w:szCs w:val="16"/>
                <w:color w:val="auto"/>
              </w:rPr>
              <w:t>9,667</w:t>
            </w:r>
          </w:p>
        </w:tc>
        <w:tc>
          <w:tcPr>
            <w:tcW w:w="1800" w:type="dxa"/>
            <w:vAlign w:val="bottom"/>
            <w:tcBorders>
              <w:bottom w:val="single" w:sz="8" w:color="284993"/>
            </w:tcBorders>
          </w:tcPr>
          <w:p>
            <w:pPr>
              <w:jc w:val="right"/>
              <w:ind w:right="222"/>
              <w:spacing w:after="0" w:line="181" w:lineRule="exact"/>
              <w:rPr>
                <w:sz w:val="20"/>
                <w:szCs w:val="20"/>
                <w:color w:val="auto"/>
              </w:rPr>
            </w:pPr>
            <w:r>
              <w:rPr>
                <w:rFonts w:ascii="Arial" w:cs="Arial" w:eastAsia="Arial" w:hAnsi="Arial"/>
                <w:sz w:val="16"/>
                <w:szCs w:val="16"/>
                <w:color w:val="auto"/>
              </w:rPr>
              <w:t>-</w:t>
            </w:r>
          </w:p>
        </w:tc>
      </w:tr>
    </w:tbl>
    <w:p>
      <w:pPr>
        <w:spacing w:after="0" w:line="66" w:lineRule="exact"/>
        <w:rPr>
          <w:sz w:val="20"/>
          <w:szCs w:val="20"/>
          <w:color w:val="auto"/>
        </w:rPr>
      </w:pPr>
    </w:p>
    <w:p>
      <w:pPr>
        <w:ind w:left="360" w:right="320" w:hanging="358"/>
        <w:spacing w:after="0" w:line="201" w:lineRule="auto"/>
        <w:tabs>
          <w:tab w:leader="none" w:pos="36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Charles K. Bobrinskoy resigned as a director of the Company effective on June 17, 2022, before ACI granted stock awards on August 9, 2022.</w:t>
      </w:r>
    </w:p>
    <w:p>
      <w:pPr>
        <w:spacing w:after="0" w:line="1" w:lineRule="exact"/>
        <w:rPr>
          <w:rFonts w:ascii="Arial" w:cs="Arial" w:eastAsia="Arial" w:hAnsi="Arial"/>
          <w:sz w:val="23"/>
          <w:szCs w:val="23"/>
          <w:color w:val="auto"/>
          <w:vertAlign w:val="superscript"/>
        </w:rPr>
      </w:pPr>
    </w:p>
    <w:p>
      <w:pPr>
        <w:ind w:left="360" w:right="60" w:hanging="358"/>
        <w:spacing w:after="0" w:line="209" w:lineRule="auto"/>
        <w:tabs>
          <w:tab w:leader="none" w:pos="36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Thomas W. Warsop was a director and the non-executive Chair of the Company’s Board of Directors which ceased with his appointment to interim President &amp; CEO of the Company in November 2022. This amount reflects stock awards that he earned as a director and Chair of the Board through such date.</w:t>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Director Stock Ownership Guidelines</w:t>
      </w:r>
    </w:p>
    <w:p>
      <w:pPr>
        <w:spacing w:after="0" w:line="123"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The Board has stock ownership guidelines designed to further link the interests of our Board with those of our stockholders. These guidelines provide that each of our independent directors should have equity positions in ACI with a value equal to five times his or her annual retainer amount (base retainer only). Direct and indirect stock ownership, including the vested in-the-money portion of any stock options held by the independent director, are included in determining each director’s equity position. Each independent director has five years to achieve the target ownership level. A director who fails to meet the ownership guidelines within the five-year period will not be eligible for new equity awards until the director achieves his or her prescribed ownership level.</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25</w:t>
      </w:r>
    </w:p>
    <w:p>
      <w:pPr>
        <w:sectPr>
          <w:pgSz w:w="11900" w:h="16838" w:orient="portrait"/>
          <w:cols w:equalWidth="0" w:num="1">
            <w:col w:w="9320"/>
          </w:cols>
          <w:pgMar w:left="1280" w:top="285" w:right="129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59207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At all times during 2022, each member of the Audit Committee was “independent” as defined in the NASDAQ listing standards. Our Board determined that each member met the NASDAQ regulatory requirements for financial literacy, and all members are “audit committee financial experts” as defined under SEC rules.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operates pursuant to a charter, a copy of which is available on our website at aciworldwide.com.</w:t>
      </w:r>
    </w:p>
    <w:p>
      <w:pPr>
        <w:spacing w:after="0" w:line="20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Audit Committee, on behalf of our Board, oversees ACI’s financial reporting process as more fully described in its charter. Management is responsible for the preparation, presentation and integrity of ACI’s consolidated financial statements, accounting and financial reporting principles, internal controls over financial reporting and compliance with laws and regulations and ethical business standards. Management is responsible for objectively reviewing and evaluating the adequacy, effectiveness and quality of ACI’s system of internal controls. Audit Committee members are not professional accountants or auditors, and their functions are not intended to duplicate or to certify the activities of management or the independent registered public accounting firm.</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ACI’s independent registered public accounting firm, Deloitte &amp; Touche LLP (“Deloitte”), is responsible for performing independent audits of ACI’s consolidated financial statements and the effectiveness of ACI’s internal controls over financial reporting in accordance with the standards of the Public Company Accounting Oversight Board (United States) (“PCAOB”) and to issue reports thereon. In fulfilling its oversight responsibilities, the Audit Committee (i) reviewed and discussed the audited consolidated financial statements and the footnotes thereto in ACI’s annual report on Form 10-K for 2022 with management and Deloitte, and (ii) discussed with management and Deloitte the quality, not just the acceptability, of the accounting principles, the reasonableness of significant judgments and the clarity of the disclosures in the financial statements. The Audit Committee discussed with Deloitte the matters required to be discussed by PCAOB Auditing Standard No. 1301 “Communication with Audit Committees”, Rule 2-07 “Communication with Audit Committees” of Regulation S-X, and other PCAOB Rules and Standards. The Audit Committee discussed with ACI’s internal auditors and Deloitte, with and without management present, their evaluations of ACI’s internal accounting controls and reviewed with management the basis for management’s assessment of the effectiveness of ACI’s internal controls over financial reporting. The Audit Committee has also discussed with Deloitte the matters required to be discussed by the Statement on Auditing Standards No. 61, as amended (AICPA, Professional Standards, Vol. 1 AU Section 380), as adopted by the Public Company Accounting and Oversight Board in Rule 3200T.</w:t>
      </w:r>
    </w:p>
    <w:p>
      <w:pPr>
        <w:spacing w:after="0" w:line="350"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Deloitte is responsible for expressing opinions on (i) the conformity of ACI’s audited consolidated financial statements, in all material respects, to accounting principles generally accepted in the U.S., and (ii) the effectiveness of ACI’s internal controls over financial reporting. Deloitte has full and free access to the Audit Committee. Deloitte has expressed the opinion that ACI’s audited consolidated financial statements conform, in all material respects, to accounting principles generally accepted in the U.S. The Audit Committee reviewed and discussed with Deloitte its judgments as to the quality, not just the acceptability, of ACI’s accounting principles and such other matters as are required to be discussed by the standards of the PCAOB.</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The Audit Committee discussed with Deloitte its independence from management and ACI received from Deloitte the written disclosures and the letter required by applicable requirements of the PCAOB, including as required by PCAOB Ethics and Independence Rule 3526 “Communication with Audit Committees Concerning Independence,” regarding Deloitte’s communications with the Audit Committee concerning independence, and has discussed with Deloitte and management Deloitte’s independence. Upon completing these activities, the Audit Committee concluded that Deloitte is independent from the Company and its management.</w:t>
      </w:r>
    </w:p>
    <w:p>
      <w:pPr>
        <w:spacing w:after="0" w:line="15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reliance on the reviews and discussions referred to above, the Audit Committee recommended to our Board that the audited consolidated financial statements be included in ACI’s annual report on Form 10-K for 2022 and filed with the Securities and Exchange Commission.</w:t>
      </w:r>
    </w:p>
    <w:p>
      <w:pPr>
        <w:spacing w:after="0" w:line="204" w:lineRule="exact"/>
        <w:rPr>
          <w:sz w:val="20"/>
          <w:szCs w:val="20"/>
          <w:color w:val="auto"/>
        </w:rPr>
      </w:pPr>
    </w:p>
    <w:p>
      <w:pPr>
        <w:jc w:val="center"/>
        <w:ind w:left="4840"/>
        <w:spacing w:after="0"/>
        <w:rPr>
          <w:sz w:val="20"/>
          <w:szCs w:val="20"/>
          <w:color w:val="auto"/>
        </w:rPr>
      </w:pPr>
      <w:r>
        <w:rPr>
          <w:rFonts w:ascii="Arial" w:cs="Arial" w:eastAsia="Arial" w:hAnsi="Arial"/>
          <w:sz w:val="16"/>
          <w:szCs w:val="16"/>
          <w:color w:val="auto"/>
        </w:rPr>
        <w:t>Members of the Audit Committee</w:t>
      </w:r>
    </w:p>
    <w:p>
      <w:pPr>
        <w:spacing w:after="0" w:line="230" w:lineRule="exact"/>
        <w:rPr>
          <w:sz w:val="20"/>
          <w:szCs w:val="20"/>
          <w:color w:val="auto"/>
        </w:rPr>
      </w:pPr>
    </w:p>
    <w:p>
      <w:pPr>
        <w:jc w:val="center"/>
        <w:ind w:left="4840"/>
        <w:spacing w:after="0"/>
        <w:rPr>
          <w:sz w:val="20"/>
          <w:szCs w:val="20"/>
          <w:color w:val="auto"/>
        </w:rPr>
      </w:pPr>
      <w:r>
        <w:rPr>
          <w:rFonts w:ascii="Arial" w:cs="Arial" w:eastAsia="Arial" w:hAnsi="Arial"/>
          <w:sz w:val="16"/>
          <w:szCs w:val="16"/>
          <w:color w:val="auto"/>
        </w:rPr>
        <w:t>Charles E. Peters, Jr., Chair</w:t>
      </w:r>
    </w:p>
    <w:p>
      <w:pPr>
        <w:spacing w:after="0" w:line="9" w:lineRule="exact"/>
        <w:rPr>
          <w:sz w:val="20"/>
          <w:szCs w:val="20"/>
          <w:color w:val="auto"/>
        </w:rPr>
      </w:pPr>
    </w:p>
    <w:p>
      <w:pPr>
        <w:jc w:val="center"/>
        <w:ind w:left="4840"/>
        <w:spacing w:after="0"/>
        <w:rPr>
          <w:sz w:val="20"/>
          <w:szCs w:val="20"/>
          <w:color w:val="auto"/>
        </w:rPr>
      </w:pPr>
      <w:r>
        <w:rPr>
          <w:rFonts w:ascii="Arial" w:cs="Arial" w:eastAsia="Arial" w:hAnsi="Arial"/>
          <w:sz w:val="16"/>
          <w:szCs w:val="16"/>
          <w:color w:val="auto"/>
        </w:rPr>
        <w:t>Janet O. Estep</w:t>
      </w:r>
    </w:p>
    <w:p>
      <w:pPr>
        <w:jc w:val="center"/>
        <w:ind w:left="4840"/>
        <w:spacing w:after="0" w:line="236" w:lineRule="auto"/>
        <w:rPr>
          <w:sz w:val="20"/>
          <w:szCs w:val="20"/>
          <w:color w:val="auto"/>
        </w:rPr>
      </w:pPr>
      <w:r>
        <w:rPr>
          <w:rFonts w:ascii="Arial" w:cs="Arial" w:eastAsia="Arial" w:hAnsi="Arial"/>
          <w:sz w:val="16"/>
          <w:szCs w:val="16"/>
          <w:color w:val="auto"/>
        </w:rPr>
        <w:t>James C. Hale III</w:t>
      </w:r>
    </w:p>
    <w:p>
      <w:pPr>
        <w:jc w:val="center"/>
        <w:ind w:left="4840"/>
        <w:spacing w:after="0"/>
        <w:rPr>
          <w:sz w:val="20"/>
          <w:szCs w:val="20"/>
          <w:color w:val="auto"/>
        </w:rPr>
      </w:pPr>
      <w:r>
        <w:rPr>
          <w:rFonts w:ascii="Arial" w:cs="Arial" w:eastAsia="Arial" w:hAnsi="Arial"/>
          <w:sz w:val="16"/>
          <w:szCs w:val="16"/>
          <w:color w:val="auto"/>
        </w:rPr>
        <w:t>Samir M. Zabaneh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95885</wp:posOffset>
            </wp:positionV>
            <wp:extent cx="699135" cy="1314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26</w:t>
      </w:r>
    </w:p>
    <w:p>
      <w:pPr>
        <w:sectPr>
          <w:pgSz w:w="11900" w:h="16838" w:orient="portrait"/>
          <w:cols w:equalWidth="0" w:num="1">
            <w:col w:w="9280"/>
          </w:cols>
          <w:pgMar w:left="1280" w:top="253" w:right="1339" w:bottom="1440" w:gutter="0" w:footer="0" w:header="0"/>
        </w:sectPr>
      </w:pPr>
    </w:p>
    <w:bookmarkStart w:id="32" w:name="page33"/>
    <w:bookmarkEnd w:id="32"/>
    <w:p>
      <w:pPr>
        <w:jc w:val="center"/>
        <w:ind w:left="1300" w:right="680"/>
        <w:spacing w:after="0" w:line="259" w:lineRule="auto"/>
        <w:rPr>
          <w:sz w:val="20"/>
          <w:szCs w:val="20"/>
          <w:color w:val="auto"/>
        </w:rPr>
      </w:pPr>
      <w:r>
        <w:rPr>
          <w:rFonts w:ascii="Arial" w:cs="Arial" w:eastAsia="Arial" w:hAnsi="Arial"/>
          <w:sz w:val="51"/>
          <w:szCs w:val="5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Proposal 2 — Ratification of Appointment of ACI’s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169545</wp:posOffset>
            </wp:positionV>
            <wp:extent cx="59207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Audit Committee has selected and appointed, and our Board has approved, the Audit Committee’s selection and appointment of, Deloitte &amp; Touche LLP as our independent registered public accounting firm for the fiscal year ending December 31, 2023. Neither our Bylaws nor other governing documents or law require stockholder ratification of the appointment of Deloitte &amp; Touche LLP as our independent registered public accounting firm. However, the Board is submitting the appointment of Deloitte &amp; Touche LLP to the stockholders for ratification as a matter of good corporate practice. If the stockholders do not ratify the selection, the Audit Committee will consider whether it is appropriate to select another independent registered public accounting firm for the next fiscal year. Even if the selection is ratified by our stockholders, the Audit Committee may, in its discretion, change the appointment at any time during the year if it determines that such a change would be in the best interests of stockholders.</w:t>
      </w:r>
    </w:p>
    <w:p>
      <w:pPr>
        <w:spacing w:after="0" w:line="186"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Representatives of Deloitte &amp; Touche LLP are expected to be present at the Annual Meeting to make a statement should they so desire and to respond to appropriate questions.</w:t>
      </w:r>
    </w:p>
    <w:p>
      <w:pPr>
        <w:spacing w:after="0" w:line="260"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Independent Registered Public Accounting Firm Fees</w:t>
      </w:r>
    </w:p>
    <w:p>
      <w:pPr>
        <w:spacing w:after="0" w:line="12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The following table sets forth the aggregate fees paid or payable for the indicated services performed by Deloitte during 2022 and 2021 in its capacity as our independent registered public accounting firm during such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shd w:val="clear" w:color="auto" w:fill="284993"/>
          </w:tcPr>
          <w:p>
            <w:pPr>
              <w:spacing w:after="0"/>
              <w:rPr>
                <w:sz w:val="16"/>
                <w:szCs w:val="16"/>
                <w:color w:val="auto"/>
              </w:rPr>
            </w:pPr>
          </w:p>
        </w:tc>
        <w:tc>
          <w:tcPr>
            <w:tcW w:w="3540" w:type="dxa"/>
            <w:vAlign w:val="bottom"/>
            <w:shd w:val="clear" w:color="auto" w:fill="284993"/>
          </w:tcPr>
          <w:p>
            <w:pPr>
              <w:jc w:val="right"/>
              <w:ind w:right="534"/>
              <w:spacing w:after="0"/>
              <w:rPr>
                <w:sz w:val="20"/>
                <w:szCs w:val="20"/>
                <w:color w:val="auto"/>
              </w:rPr>
            </w:pPr>
            <w:r>
              <w:rPr>
                <w:rFonts w:ascii="Arial" w:cs="Arial" w:eastAsia="Arial" w:hAnsi="Arial"/>
                <w:sz w:val="17"/>
                <w:szCs w:val="17"/>
                <w:b w:val="1"/>
                <w:bCs w:val="1"/>
                <w:color w:val="FFFFFF"/>
              </w:rPr>
              <w:t>2022</w:t>
            </w:r>
          </w:p>
        </w:tc>
        <w:tc>
          <w:tcPr>
            <w:tcW w:w="1820" w:type="dxa"/>
            <w:vAlign w:val="bottom"/>
            <w:shd w:val="clear" w:color="auto" w:fill="284993"/>
          </w:tcPr>
          <w:p>
            <w:pPr>
              <w:jc w:val="right"/>
              <w:ind w:right="794"/>
              <w:spacing w:after="0"/>
              <w:rPr>
                <w:sz w:val="20"/>
                <w:szCs w:val="20"/>
                <w:color w:val="auto"/>
              </w:rPr>
            </w:pPr>
            <w:r>
              <w:rPr>
                <w:rFonts w:ascii="Arial" w:cs="Arial" w:eastAsia="Arial" w:hAnsi="Arial"/>
                <w:sz w:val="17"/>
                <w:szCs w:val="17"/>
                <w:b w:val="1"/>
                <w:bCs w:val="1"/>
                <w:color w:val="FFFFFF"/>
              </w:rPr>
              <w:t>2021</w:t>
            </w:r>
          </w:p>
        </w:tc>
      </w:tr>
      <w:tr>
        <w:trPr>
          <w:trHeight w:val="226"/>
        </w:trPr>
        <w:tc>
          <w:tcPr>
            <w:tcW w:w="3960" w:type="dxa"/>
            <w:vAlign w:val="bottom"/>
            <w:shd w:val="clear" w:color="auto" w:fill="284993"/>
          </w:tcPr>
          <w:p>
            <w:pPr>
              <w:ind w:left="100"/>
              <w:spacing w:after="0"/>
              <w:rPr>
                <w:sz w:val="20"/>
                <w:szCs w:val="20"/>
                <w:color w:val="auto"/>
              </w:rPr>
            </w:pPr>
            <w:r>
              <w:rPr>
                <w:rFonts w:ascii="Arial" w:cs="Arial" w:eastAsia="Arial" w:hAnsi="Arial"/>
                <w:sz w:val="17"/>
                <w:szCs w:val="17"/>
                <w:b w:val="1"/>
                <w:bCs w:val="1"/>
                <w:color w:val="FFFFFF"/>
              </w:rPr>
              <w:t>Fee Category</w:t>
            </w:r>
          </w:p>
        </w:tc>
        <w:tc>
          <w:tcPr>
            <w:tcW w:w="3540" w:type="dxa"/>
            <w:vAlign w:val="bottom"/>
            <w:shd w:val="clear" w:color="auto" w:fill="284993"/>
          </w:tcPr>
          <w:p>
            <w:pPr>
              <w:jc w:val="right"/>
              <w:ind w:right="674"/>
              <w:spacing w:after="0"/>
              <w:rPr>
                <w:sz w:val="20"/>
                <w:szCs w:val="20"/>
                <w:color w:val="auto"/>
              </w:rPr>
            </w:pPr>
            <w:r>
              <w:rPr>
                <w:rFonts w:ascii="Arial" w:cs="Arial" w:eastAsia="Arial" w:hAnsi="Arial"/>
                <w:sz w:val="17"/>
                <w:szCs w:val="17"/>
                <w:b w:val="1"/>
                <w:bCs w:val="1"/>
                <w:color w:val="FFFFFF"/>
              </w:rPr>
              <w:t>$</w:t>
            </w:r>
          </w:p>
        </w:tc>
        <w:tc>
          <w:tcPr>
            <w:tcW w:w="1820" w:type="dxa"/>
            <w:vAlign w:val="bottom"/>
            <w:shd w:val="clear" w:color="auto" w:fill="284993"/>
          </w:tcPr>
          <w:p>
            <w:pPr>
              <w:jc w:val="right"/>
              <w:ind w:right="934"/>
              <w:spacing w:after="0"/>
              <w:rPr>
                <w:sz w:val="20"/>
                <w:szCs w:val="20"/>
                <w:color w:val="auto"/>
              </w:rPr>
            </w:pPr>
            <w:r>
              <w:rPr>
                <w:rFonts w:ascii="Arial" w:cs="Arial" w:eastAsia="Arial" w:hAnsi="Arial"/>
                <w:sz w:val="17"/>
                <w:szCs w:val="17"/>
                <w:b w:val="1"/>
                <w:bCs w:val="1"/>
                <w:color w:val="FFFFFF"/>
              </w:rPr>
              <w:t>$</w:t>
            </w:r>
          </w:p>
        </w:tc>
      </w:tr>
      <w:tr>
        <w:trPr>
          <w:trHeight w:val="194"/>
        </w:trPr>
        <w:tc>
          <w:tcPr>
            <w:tcW w:w="3960" w:type="dxa"/>
            <w:vAlign w:val="bottom"/>
          </w:tcPr>
          <w:p>
            <w:pPr>
              <w:ind w:left="100"/>
              <w:spacing w:after="0" w:line="194" w:lineRule="exact"/>
              <w:rPr>
                <w:sz w:val="20"/>
                <w:szCs w:val="20"/>
                <w:color w:val="auto"/>
              </w:rPr>
            </w:pPr>
            <w:r>
              <w:rPr>
                <w:rFonts w:ascii="Arial" w:cs="Arial" w:eastAsia="Arial" w:hAnsi="Arial"/>
                <w:sz w:val="17"/>
                <w:szCs w:val="17"/>
                <w:color w:val="auto"/>
              </w:rPr>
              <w:t>Audit Fees</w:t>
            </w:r>
          </w:p>
        </w:tc>
        <w:tc>
          <w:tcPr>
            <w:tcW w:w="3540" w:type="dxa"/>
            <w:vAlign w:val="bottom"/>
          </w:tcPr>
          <w:p>
            <w:pPr>
              <w:jc w:val="right"/>
              <w:ind w:right="314"/>
              <w:spacing w:after="0" w:line="194" w:lineRule="exact"/>
              <w:rPr>
                <w:sz w:val="20"/>
                <w:szCs w:val="20"/>
                <w:color w:val="auto"/>
              </w:rPr>
            </w:pPr>
            <w:r>
              <w:rPr>
                <w:rFonts w:ascii="Arial" w:cs="Arial" w:eastAsia="Arial" w:hAnsi="Arial"/>
                <w:sz w:val="17"/>
                <w:szCs w:val="17"/>
                <w:color w:val="auto"/>
              </w:rPr>
              <w:t>3,482,503</w:t>
            </w:r>
          </w:p>
        </w:tc>
        <w:tc>
          <w:tcPr>
            <w:tcW w:w="1820" w:type="dxa"/>
            <w:vAlign w:val="bottom"/>
          </w:tcPr>
          <w:p>
            <w:pPr>
              <w:jc w:val="right"/>
              <w:ind w:right="554"/>
              <w:spacing w:after="0" w:line="194" w:lineRule="exact"/>
              <w:rPr>
                <w:sz w:val="20"/>
                <w:szCs w:val="20"/>
                <w:color w:val="auto"/>
              </w:rPr>
            </w:pPr>
            <w:r>
              <w:rPr>
                <w:rFonts w:ascii="Arial" w:cs="Arial" w:eastAsia="Arial" w:hAnsi="Arial"/>
                <w:sz w:val="17"/>
                <w:szCs w:val="17"/>
                <w:color w:val="auto"/>
              </w:rPr>
              <w:t>3,209,096</w:t>
            </w:r>
          </w:p>
        </w:tc>
      </w:tr>
      <w:tr>
        <w:trPr>
          <w:trHeight w:val="194"/>
        </w:trPr>
        <w:tc>
          <w:tcPr>
            <w:tcW w:w="3960" w:type="dxa"/>
            <w:vAlign w:val="bottom"/>
            <w:shd w:val="clear" w:color="auto" w:fill="9DBDE4"/>
          </w:tcPr>
          <w:p>
            <w:pPr>
              <w:ind w:left="100"/>
              <w:spacing w:after="0" w:line="194" w:lineRule="exact"/>
              <w:rPr>
                <w:sz w:val="20"/>
                <w:szCs w:val="20"/>
                <w:color w:val="auto"/>
              </w:rPr>
            </w:pPr>
            <w:r>
              <w:rPr>
                <w:rFonts w:ascii="Arial" w:cs="Arial" w:eastAsia="Arial" w:hAnsi="Arial"/>
                <w:sz w:val="17"/>
                <w:szCs w:val="17"/>
                <w:color w:val="auto"/>
              </w:rPr>
              <w:t>Audit-Related Fees</w:t>
            </w:r>
          </w:p>
        </w:tc>
        <w:tc>
          <w:tcPr>
            <w:tcW w:w="3540" w:type="dxa"/>
            <w:vAlign w:val="bottom"/>
            <w:shd w:val="clear" w:color="auto" w:fill="9DBDE4"/>
          </w:tcPr>
          <w:p>
            <w:pPr>
              <w:jc w:val="right"/>
              <w:ind w:right="314"/>
              <w:spacing w:after="0" w:line="194" w:lineRule="exact"/>
              <w:rPr>
                <w:sz w:val="20"/>
                <w:szCs w:val="20"/>
                <w:color w:val="auto"/>
              </w:rPr>
            </w:pPr>
            <w:r>
              <w:rPr>
                <w:rFonts w:ascii="Arial" w:cs="Arial" w:eastAsia="Arial" w:hAnsi="Arial"/>
                <w:sz w:val="17"/>
                <w:szCs w:val="17"/>
                <w:color w:val="auto"/>
              </w:rPr>
              <w:t>25,000</w:t>
            </w:r>
          </w:p>
        </w:tc>
        <w:tc>
          <w:tcPr>
            <w:tcW w:w="1820" w:type="dxa"/>
            <w:vAlign w:val="bottom"/>
            <w:shd w:val="clear" w:color="auto" w:fill="9DBDE4"/>
          </w:tcPr>
          <w:p>
            <w:pPr>
              <w:jc w:val="right"/>
              <w:ind w:right="554"/>
              <w:spacing w:after="0" w:line="194" w:lineRule="exact"/>
              <w:rPr>
                <w:sz w:val="20"/>
                <w:szCs w:val="20"/>
                <w:color w:val="auto"/>
              </w:rPr>
            </w:pPr>
            <w:r>
              <w:rPr>
                <w:rFonts w:ascii="Arial" w:cs="Arial" w:eastAsia="Arial" w:hAnsi="Arial"/>
                <w:sz w:val="17"/>
                <w:szCs w:val="17"/>
                <w:color w:val="auto"/>
              </w:rPr>
              <w:t>30,000</w:t>
            </w:r>
          </w:p>
        </w:tc>
      </w:tr>
      <w:tr>
        <w:trPr>
          <w:trHeight w:val="194"/>
        </w:trPr>
        <w:tc>
          <w:tcPr>
            <w:tcW w:w="3960" w:type="dxa"/>
            <w:vAlign w:val="bottom"/>
          </w:tcPr>
          <w:p>
            <w:pPr>
              <w:ind w:left="100"/>
              <w:spacing w:after="0" w:line="194" w:lineRule="exact"/>
              <w:rPr>
                <w:sz w:val="20"/>
                <w:szCs w:val="20"/>
                <w:color w:val="auto"/>
              </w:rPr>
            </w:pPr>
            <w:r>
              <w:rPr>
                <w:rFonts w:ascii="Arial" w:cs="Arial" w:eastAsia="Arial" w:hAnsi="Arial"/>
                <w:sz w:val="17"/>
                <w:szCs w:val="17"/>
                <w:color w:val="auto"/>
              </w:rPr>
              <w:t>Tax Fees</w:t>
            </w:r>
          </w:p>
        </w:tc>
        <w:tc>
          <w:tcPr>
            <w:tcW w:w="3540" w:type="dxa"/>
            <w:vAlign w:val="bottom"/>
          </w:tcPr>
          <w:p>
            <w:pPr>
              <w:jc w:val="right"/>
              <w:ind w:right="314"/>
              <w:spacing w:after="0" w:line="194" w:lineRule="exact"/>
              <w:rPr>
                <w:sz w:val="20"/>
                <w:szCs w:val="20"/>
                <w:color w:val="auto"/>
              </w:rPr>
            </w:pPr>
            <w:r>
              <w:rPr>
                <w:rFonts w:ascii="Arial" w:cs="Arial" w:eastAsia="Arial" w:hAnsi="Arial"/>
                <w:sz w:val="17"/>
                <w:szCs w:val="17"/>
                <w:color w:val="auto"/>
              </w:rPr>
              <w:t>702,923</w:t>
            </w:r>
          </w:p>
        </w:tc>
        <w:tc>
          <w:tcPr>
            <w:tcW w:w="1820" w:type="dxa"/>
            <w:vAlign w:val="bottom"/>
          </w:tcPr>
          <w:p>
            <w:pPr>
              <w:jc w:val="right"/>
              <w:ind w:right="554"/>
              <w:spacing w:after="0" w:line="194" w:lineRule="exact"/>
              <w:rPr>
                <w:sz w:val="20"/>
                <w:szCs w:val="20"/>
                <w:color w:val="auto"/>
              </w:rPr>
            </w:pPr>
            <w:r>
              <w:rPr>
                <w:rFonts w:ascii="Arial" w:cs="Arial" w:eastAsia="Arial" w:hAnsi="Arial"/>
                <w:sz w:val="17"/>
                <w:szCs w:val="17"/>
                <w:color w:val="auto"/>
              </w:rPr>
              <w:t>741,466</w:t>
            </w:r>
          </w:p>
        </w:tc>
      </w:tr>
      <w:tr>
        <w:trPr>
          <w:trHeight w:val="194"/>
        </w:trPr>
        <w:tc>
          <w:tcPr>
            <w:tcW w:w="3960" w:type="dxa"/>
            <w:vAlign w:val="bottom"/>
            <w:shd w:val="clear" w:color="auto" w:fill="9DBDE4"/>
          </w:tcPr>
          <w:p>
            <w:pPr>
              <w:ind w:left="100"/>
              <w:spacing w:after="0" w:line="194" w:lineRule="exact"/>
              <w:rPr>
                <w:sz w:val="20"/>
                <w:szCs w:val="20"/>
                <w:color w:val="auto"/>
              </w:rPr>
            </w:pPr>
            <w:r>
              <w:rPr>
                <w:rFonts w:ascii="Arial" w:cs="Arial" w:eastAsia="Arial" w:hAnsi="Arial"/>
                <w:sz w:val="17"/>
                <w:szCs w:val="17"/>
                <w:color w:val="auto"/>
              </w:rPr>
              <w:t>All Other Fees</w:t>
            </w:r>
          </w:p>
        </w:tc>
        <w:tc>
          <w:tcPr>
            <w:tcW w:w="3540" w:type="dxa"/>
            <w:vAlign w:val="bottom"/>
            <w:shd w:val="clear" w:color="auto" w:fill="9DBDE4"/>
          </w:tcPr>
          <w:p>
            <w:pPr>
              <w:jc w:val="right"/>
              <w:ind w:right="314"/>
              <w:spacing w:after="0" w:line="194" w:lineRule="exact"/>
              <w:rPr>
                <w:sz w:val="20"/>
                <w:szCs w:val="20"/>
                <w:color w:val="auto"/>
              </w:rPr>
            </w:pPr>
            <w:r>
              <w:rPr>
                <w:rFonts w:ascii="Arial" w:cs="Arial" w:eastAsia="Arial" w:hAnsi="Arial"/>
                <w:sz w:val="17"/>
                <w:szCs w:val="17"/>
                <w:color w:val="auto"/>
              </w:rPr>
              <w:t>0</w:t>
            </w:r>
          </w:p>
        </w:tc>
        <w:tc>
          <w:tcPr>
            <w:tcW w:w="1820" w:type="dxa"/>
            <w:vAlign w:val="bottom"/>
            <w:shd w:val="clear" w:color="auto" w:fill="9DBDE4"/>
          </w:tcPr>
          <w:p>
            <w:pPr>
              <w:jc w:val="right"/>
              <w:ind w:right="554"/>
              <w:spacing w:after="0" w:line="194" w:lineRule="exact"/>
              <w:rPr>
                <w:sz w:val="20"/>
                <w:szCs w:val="20"/>
                <w:color w:val="auto"/>
              </w:rPr>
            </w:pPr>
            <w:r>
              <w:rPr>
                <w:rFonts w:ascii="Arial" w:cs="Arial" w:eastAsia="Arial" w:hAnsi="Arial"/>
                <w:sz w:val="17"/>
                <w:szCs w:val="17"/>
                <w:color w:val="auto"/>
              </w:rPr>
              <w:t>0</w:t>
            </w:r>
          </w:p>
        </w:tc>
      </w:tr>
      <w:tr>
        <w:trPr>
          <w:trHeight w:val="194"/>
        </w:trPr>
        <w:tc>
          <w:tcPr>
            <w:tcW w:w="3960" w:type="dxa"/>
            <w:vAlign w:val="bottom"/>
            <w:tcBorders>
              <w:bottom w:val="single" w:sz="8" w:color="284993"/>
            </w:tcBorders>
          </w:tcPr>
          <w:p>
            <w:pPr>
              <w:ind w:left="100"/>
              <w:spacing w:after="0" w:line="194" w:lineRule="exact"/>
              <w:rPr>
                <w:sz w:val="20"/>
                <w:szCs w:val="20"/>
                <w:color w:val="auto"/>
              </w:rPr>
            </w:pPr>
            <w:r>
              <w:rPr>
                <w:rFonts w:ascii="Arial" w:cs="Arial" w:eastAsia="Arial" w:hAnsi="Arial"/>
                <w:sz w:val="17"/>
                <w:szCs w:val="17"/>
                <w:b w:val="1"/>
                <w:bCs w:val="1"/>
                <w:color w:val="auto"/>
              </w:rPr>
              <w:t>Total Fees</w:t>
            </w:r>
          </w:p>
        </w:tc>
        <w:tc>
          <w:tcPr>
            <w:tcW w:w="3540" w:type="dxa"/>
            <w:vAlign w:val="bottom"/>
            <w:tcBorders>
              <w:bottom w:val="single" w:sz="8" w:color="284993"/>
            </w:tcBorders>
          </w:tcPr>
          <w:p>
            <w:pPr>
              <w:jc w:val="right"/>
              <w:ind w:right="314"/>
              <w:spacing w:after="0" w:line="194" w:lineRule="exact"/>
              <w:rPr>
                <w:sz w:val="20"/>
                <w:szCs w:val="20"/>
                <w:color w:val="auto"/>
              </w:rPr>
            </w:pPr>
            <w:r>
              <w:rPr>
                <w:rFonts w:ascii="Arial" w:cs="Arial" w:eastAsia="Arial" w:hAnsi="Arial"/>
                <w:sz w:val="17"/>
                <w:szCs w:val="17"/>
                <w:color w:val="auto"/>
              </w:rPr>
              <w:t>4,210,426</w:t>
            </w:r>
          </w:p>
        </w:tc>
        <w:tc>
          <w:tcPr>
            <w:tcW w:w="1820" w:type="dxa"/>
            <w:vAlign w:val="bottom"/>
            <w:tcBorders>
              <w:bottom w:val="single" w:sz="8" w:color="284993"/>
            </w:tcBorders>
          </w:tcPr>
          <w:p>
            <w:pPr>
              <w:jc w:val="right"/>
              <w:ind w:right="554"/>
              <w:spacing w:after="0" w:line="194" w:lineRule="exact"/>
              <w:rPr>
                <w:sz w:val="20"/>
                <w:szCs w:val="20"/>
                <w:color w:val="auto"/>
              </w:rPr>
            </w:pPr>
            <w:r>
              <w:rPr>
                <w:rFonts w:ascii="Arial" w:cs="Arial" w:eastAsia="Arial" w:hAnsi="Arial"/>
                <w:sz w:val="17"/>
                <w:szCs w:val="17"/>
                <w:color w:val="auto"/>
              </w:rPr>
              <w:t>3,980,562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4737735</wp:posOffset>
            </wp:positionH>
            <wp:positionV relativeFrom="paragraph">
              <wp:posOffset>-879475</wp:posOffset>
            </wp:positionV>
            <wp:extent cx="8255" cy="8801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8011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-879475</wp:posOffset>
            </wp:positionV>
            <wp:extent cx="8255" cy="8801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80110"/>
                    </a:xfrm>
                    <a:prstGeom prst="rect">
                      <a:avLst/>
                    </a:prstGeom>
                    <a:noFill/>
                  </pic:spPr>
                </pic:pic>
              </a:graphicData>
            </a:graphic>
          </wp:anchor>
        </w:drawing>
      </w:r>
    </w:p>
    <w:p>
      <w:pPr>
        <w:spacing w:after="0" w:line="175"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This category represents the aggregate fees paid or payable to Deloitte &amp; Touche LLP for professional services rendered</w:t>
      </w:r>
      <w:r>
        <w:rPr>
          <w:rFonts w:ascii="Arial" w:cs="Arial" w:eastAsia="Arial" w:hAnsi="Arial"/>
          <w:sz w:val="16"/>
          <w:szCs w:val="16"/>
          <w:i w:val="1"/>
          <w:iCs w:val="1"/>
          <w:color w:val="auto"/>
        </w:rPr>
        <w:t xml:space="preserve"> </w:t>
      </w:r>
      <w:r>
        <w:rPr>
          <w:rFonts w:ascii="Arial" w:cs="Arial" w:eastAsia="Arial" w:hAnsi="Arial"/>
          <w:sz w:val="16"/>
          <w:szCs w:val="16"/>
          <w:color w:val="auto"/>
        </w:rPr>
        <w:t>for (i) the audit of our annual financial statements and quarterly reviews of ACI’s annual consolidated financial statements for 2022 and 2021, (ii) the audit of the effectiveness of ACI’s internal controls over financial reporting as of December 31, 2022 and December 31, 2021 in accordance with the standards of the PCAOB and (iii) statutory audits of certain subsidiaries.</w:t>
      </w:r>
    </w:p>
    <w:p>
      <w:pPr>
        <w:spacing w:after="0" w:line="181"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This category represents the aggregate fees billed by Deloitte &amp; Touche LLP for professional services rendered for</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and related services that were reasonably related to the performance of the audit or review of ACI’s financial statements that are not reported under “Audit Fees” for 2022 or 2021. The professional services performed by Deloitte &amp; Touche LLP consisted of audit and tax related services.</w:t>
      </w:r>
    </w:p>
    <w:p>
      <w:pPr>
        <w:spacing w:after="0" w:line="18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This category represents the aggregate fees billed by Deloitte &amp; Touche LLP for tax-related services rendered to ACI for</w:t>
      </w:r>
      <w:r>
        <w:rPr>
          <w:rFonts w:ascii="Arial" w:cs="Arial" w:eastAsia="Arial" w:hAnsi="Arial"/>
          <w:sz w:val="16"/>
          <w:szCs w:val="16"/>
          <w:i w:val="1"/>
          <w:iCs w:val="1"/>
          <w:color w:val="auto"/>
        </w:rPr>
        <w:t xml:space="preserve"> </w:t>
      </w:r>
      <w:r>
        <w:rPr>
          <w:rFonts w:ascii="Arial" w:cs="Arial" w:eastAsia="Arial" w:hAnsi="Arial"/>
          <w:sz w:val="16"/>
          <w:szCs w:val="16"/>
          <w:color w:val="auto"/>
        </w:rPr>
        <w:t>2022 and 2021. Tax fees billed by Deloitte &amp; Touche LLP in 2022 and 2021 consisted of fees for professional services related primarily to tax compliance projects, including audit- and tax-related services.</w:t>
      </w:r>
    </w:p>
    <w:p>
      <w:pPr>
        <w:spacing w:after="0" w:line="178"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There were no other fees billed by Deloitte &amp; Touche LLP for services rendered to ACI during 2022 or 2021,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the services described above under “Audit Fees,” “Audit-Related Fees” and “Tax Fees.”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27</w:t>
      </w:r>
    </w:p>
    <w:p>
      <w:pPr>
        <w:sectPr>
          <w:pgSz w:w="11900" w:h="16838" w:orient="portrait"/>
          <w:cols w:equalWidth="0" w:num="1">
            <w:col w:w="9320"/>
          </w:cols>
          <w:pgMar w:left="1280" w:top="253" w:right="1299" w:bottom="1440" w:gutter="0" w:footer="0" w:header="0"/>
        </w:sectPr>
      </w:pPr>
    </w:p>
    <w:bookmarkStart w:id="33" w:name="page34"/>
    <w:bookmarkEnd w:id="33"/>
    <w:p>
      <w:pPr>
        <w:ind w:right="40"/>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The Audit Committee has considered whether the provision of the services by Deloitte &amp; Touche LLP as described above in “Tax Fees” is compatible with maintaining the independent registered public accounting firm’s independence.</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Pre-Approval of Audit and Non-Audit Services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We have policies for pre-approval of all audit and non-audit services to be provided to us by our independent registered public accounting firm and its member firms. Under these policies, all audit and non-audit services to be performed by our independent registered public accounting firm must be approved by the Audit Committee in advance. A proposal for audit and non-audit services must include a description and purpose of the services, estimated fees and other terms of the services. To the extent a proposal relates to non-audit services, a determination that such services qualify as permitted non-audit services and an explanation as to why the provision of such services would not impair the independence of our independent registered public accounting firm are also required. Any engagement letter relating to a proposal must be presented to the Audit Committee for review and approval, and the Chair of the Audit Committee may sign, or authorize an officer to sign, such engagement letter.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All services provided by Deloitte &amp; Touche LLP in 2022 and 2021 were pre-approved by the Audit Committee.</w:t>
      </w:r>
    </w:p>
    <w:p>
      <w:pPr>
        <w:spacing w:after="0" w:line="194"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Vote Required</w:t>
      </w:r>
    </w:p>
    <w:p>
      <w:pPr>
        <w:spacing w:after="0" w:line="123"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The affirmative vote of a majority of the shares represented at the Annual Meeting and actually voting on this proposal is required for the approval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5937885" cy="535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37885" cy="535305"/>
                    </a:xfrm>
                    <a:prstGeom prst="rect">
                      <a:avLst/>
                    </a:prstGeom>
                    <a:noFill/>
                  </pic:spPr>
                </pic:pic>
              </a:graphicData>
            </a:graphic>
          </wp:anchor>
        </w:drawing>
      </w:r>
    </w:p>
    <w:p>
      <w:pPr>
        <w:spacing w:after="0" w:line="326" w:lineRule="exact"/>
        <w:rPr>
          <w:sz w:val="20"/>
          <w:szCs w:val="20"/>
          <w:color w:val="auto"/>
        </w:rPr>
      </w:pPr>
    </w:p>
    <w:p>
      <w:pPr>
        <w:ind w:left="340" w:right="180"/>
        <w:spacing w:after="0" w:line="256" w:lineRule="auto"/>
        <w:rPr>
          <w:sz w:val="20"/>
          <w:szCs w:val="20"/>
          <w:color w:val="auto"/>
        </w:rPr>
      </w:pPr>
      <w:r>
        <w:rPr>
          <w:rFonts w:ascii="Arial" w:cs="Arial" w:eastAsia="Arial" w:hAnsi="Arial"/>
          <w:sz w:val="16"/>
          <w:szCs w:val="16"/>
          <w:b w:val="1"/>
          <w:bCs w:val="1"/>
          <w:color w:val="284993"/>
        </w:rPr>
        <w:t>OUR BOARD RECOMMENDS THAT STOCKHOLDERS VOTE “FOR” RATIFICATION OF THE APPOINTMENT OF DELOITTE &amp; TOUCHE LLP AS OUR INDEPENDENT REGISTERED PUBLIC ACCOUNTING FIRM FOR THE FISCAL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144780</wp:posOffset>
            </wp:positionV>
            <wp:extent cx="699135" cy="1314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28</w:t>
      </w:r>
    </w:p>
    <w:p>
      <w:pPr>
        <w:sectPr>
          <w:pgSz w:w="11900" w:h="16838" w:orient="portrait"/>
          <w:cols w:equalWidth="0" w:num="1">
            <w:col w:w="9280"/>
          </w:cols>
          <w:pgMar w:left="1280" w:top="296" w:right="1339" w:bottom="1440" w:gutter="0" w:footer="0" w:header="0"/>
        </w:sectPr>
      </w:pPr>
    </w:p>
    <w:bookmarkStart w:id="34" w:name="page35"/>
    <w:bookmarkEnd w:id="34"/>
    <w:p>
      <w:pPr>
        <w:ind w:left="60" w:right="60" w:firstLine="53"/>
        <w:spacing w:after="0" w:line="279" w:lineRule="auto"/>
        <w:rPr>
          <w:sz w:val="20"/>
          <w:szCs w:val="20"/>
          <w:color w:val="auto"/>
        </w:rPr>
      </w:pPr>
      <w:r>
        <w:rPr>
          <w:rFonts w:ascii="Arial" w:cs="Arial" w:eastAsia="Arial" w:hAnsi="Arial"/>
          <w:sz w:val="51"/>
          <w:szCs w:val="5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Proposal 3 — 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139065</wp:posOffset>
            </wp:positionV>
            <wp:extent cx="59207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As required pursuant to Section 14A of the Exchange Act, stockholders are asked to cast an advisory vote on the compensation of our Named Executive Officers as disclosed in this Proxy Statement pursuant to the compensation disclosure rules of the SEC, including the Compensation Discussion and Analysis, the accompanying compensation tables and related narrative disclosures contained in this Proxy Statement. This advisory vote is commonly known as a “say-on-pay” vote.</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As described in the Compensation Discussion and Analysis, our executive compensation programs are performance-based programs with a significant portion of each Named Executive Officer’s overall compensation opportunity linked to our annual and long-term financial performance and our long-term relative total shareholder return. The Compensation Committee sets challenging thresholds and target performance levels for each of the metrics in our incentive compensation plans to help ensure that the amounts earned are based upon outstanding performance as measured against pre-established financial, operational and strategic objectives.</w:t>
      </w:r>
    </w:p>
    <w:p>
      <w:pPr>
        <w:spacing w:after="0" w:line="154"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We value the feedback from our stockholders regarding our executive compensation programs. As part of our ongoing shareholder dialogue, we regularly seek feedback on these programs, as well as other important issues. Over the last year we proactively reached out to stockholders representing more than 60% of our outstanding shares. For the stockholders that were interested in engaging with us, the feedback from our stockholders has been generally positive. The feedback from our stockholders, and our resulting actions, are described in the Compensation Discussion and Analysis.</w:t>
      </w:r>
    </w:p>
    <w:p>
      <w:pPr>
        <w:spacing w:after="0" w:line="182" w:lineRule="exact"/>
        <w:rPr>
          <w:sz w:val="20"/>
          <w:szCs w:val="20"/>
          <w:color w:val="auto"/>
        </w:rPr>
      </w:pPr>
    </w:p>
    <w:p>
      <w:pPr>
        <w:jc w:val="both"/>
        <w:ind w:right="480"/>
        <w:spacing w:after="0" w:line="249" w:lineRule="auto"/>
        <w:rPr>
          <w:sz w:val="20"/>
          <w:szCs w:val="20"/>
          <w:color w:val="auto"/>
        </w:rPr>
      </w:pPr>
      <w:r>
        <w:rPr>
          <w:rFonts w:ascii="Arial" w:cs="Arial" w:eastAsia="Arial" w:hAnsi="Arial"/>
          <w:sz w:val="16"/>
          <w:szCs w:val="16"/>
          <w:color w:val="auto"/>
        </w:rPr>
        <w:t>We urge our stockholders to read the Compensation Discussion and Analysis, the accompanying compensation tables and other related tables and narrative disclosures, which describe in more detail how our executive compensation policies and procedures operate and are designed to achieve our compensation objectives.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Stockholders are being asked to approve the following resolution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5937885" cy="576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37885" cy="57658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00" w:right="340"/>
        <w:spacing w:after="0" w:line="302" w:lineRule="auto"/>
        <w:rPr>
          <w:sz w:val="20"/>
          <w:szCs w:val="20"/>
          <w:color w:val="auto"/>
        </w:rPr>
      </w:pPr>
      <w:r>
        <w:rPr>
          <w:rFonts w:ascii="Arial" w:cs="Arial" w:eastAsia="Arial" w:hAnsi="Arial"/>
          <w:sz w:val="14"/>
          <w:szCs w:val="14"/>
          <w:color w:val="284993"/>
        </w:rPr>
        <w:t>RESOLVED, that our stockholders approve, on an advisory basis, the compensation of our Named Executive Officers, as disclosed in this Proxy Statement pursuant to the compensation disclosure rules of the Securities and Exchange Commission, including the Compensation Discussion and Analysis, the accompanying compensation tables and related narrative disclosures.</w:t>
      </w:r>
    </w:p>
    <w:p>
      <w:pPr>
        <w:spacing w:after="0" w:line="263"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Advisory Vote</w:t>
      </w:r>
    </w:p>
    <w:p>
      <w:pPr>
        <w:spacing w:after="0" w:line="123"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As this is an advisory vote, the outcome of the vote is not binding on ACI or the Board. However, we value the opinions expressed by our stockholders and the Compensation Committee will consider the outcome of the vote when making future executive compensation decisions. Currently, advisory say-on-pay votes are scheduled to be held once every year. It is anticipated that our next say-on-pay vote will occur at our 2024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Vote Required</w:t>
      </w:r>
    </w:p>
    <w:p>
      <w:pPr>
        <w:spacing w:after="0" w:line="123" w:lineRule="exact"/>
        <w:rPr>
          <w:sz w:val="20"/>
          <w:szCs w:val="20"/>
          <w:color w:val="auto"/>
        </w:rPr>
      </w:pPr>
    </w:p>
    <w:p>
      <w:pPr>
        <w:ind w:right="240"/>
        <w:spacing w:after="0" w:line="263" w:lineRule="auto"/>
        <w:rPr>
          <w:sz w:val="20"/>
          <w:szCs w:val="20"/>
          <w:color w:val="auto"/>
        </w:rPr>
      </w:pPr>
      <w:r>
        <w:rPr>
          <w:rFonts w:ascii="Arial" w:cs="Arial" w:eastAsia="Arial" w:hAnsi="Arial"/>
          <w:sz w:val="16"/>
          <w:szCs w:val="16"/>
          <w:color w:val="auto"/>
        </w:rPr>
        <w:t>The affirmative vote of a majority of the shares represented at the Annual Meeting and actually voting on this proposal is required for the approval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5937885" cy="4610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37885" cy="461010"/>
                    </a:xfrm>
                    <a:prstGeom prst="rect">
                      <a:avLst/>
                    </a:prstGeom>
                    <a:noFill/>
                  </pic:spPr>
                </pic:pic>
              </a:graphicData>
            </a:graphic>
          </wp:anchor>
        </w:drawing>
      </w:r>
    </w:p>
    <w:p>
      <w:pPr>
        <w:spacing w:after="0" w:line="378" w:lineRule="exact"/>
        <w:rPr>
          <w:sz w:val="20"/>
          <w:szCs w:val="20"/>
          <w:color w:val="auto"/>
        </w:rPr>
      </w:pPr>
    </w:p>
    <w:p>
      <w:pPr>
        <w:ind w:left="200" w:right="840"/>
        <w:spacing w:after="0" w:line="276" w:lineRule="auto"/>
        <w:rPr>
          <w:sz w:val="20"/>
          <w:szCs w:val="20"/>
          <w:color w:val="auto"/>
        </w:rPr>
      </w:pPr>
      <w:r>
        <w:rPr>
          <w:rFonts w:ascii="Arial" w:cs="Arial" w:eastAsia="Arial" w:hAnsi="Arial"/>
          <w:sz w:val="16"/>
          <w:szCs w:val="16"/>
          <w:b w:val="1"/>
          <w:bCs w:val="1"/>
          <w:color w:val="284993"/>
        </w:rPr>
        <w:t>OUR BOARD RECOMMENDS THAT STOCKHOLDERS VOTE “FOR” THE ADVISORY VOTE TO APPROVE NAMED EXECUTIVE OFFICER COMPENSATION AS DISCLOSED IN THIS PROXY STATEMENT.</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29</w:t>
      </w:r>
    </w:p>
    <w:p>
      <w:pPr>
        <w:sectPr>
          <w:pgSz w:w="11900" w:h="16838" w:orient="portrait"/>
          <w:cols w:equalWidth="0" w:num="1">
            <w:col w:w="9320"/>
          </w:cols>
          <w:pgMar w:left="1280" w:top="253" w:right="1299" w:bottom="1440" w:gutter="0" w:footer="0" w:header="0"/>
        </w:sectPr>
      </w:pPr>
    </w:p>
    <w:bookmarkStart w:id="35" w:name="page36"/>
    <w:bookmarkEnd w:id="35"/>
    <w:p>
      <w:pPr>
        <w:jc w:val="center"/>
        <w:ind w:left="1300" w:right="160"/>
        <w:spacing w:after="0" w:line="251" w:lineRule="auto"/>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Proposal 4 — Advisory Vote on the Frequency of Future Advisory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183515</wp:posOffset>
            </wp:positionV>
            <wp:extent cx="59207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Board is asking stockholders to indicate the frequency with which they believe an advisory vote on executive compensation, or a “say-on-pay” vote, such as that provided in Proposal 4 above should occur. Stockholders may indicate whether they prefer that we hold a “say-on-pay” vote every one year, every two years, or every three years, or they may abstain from this vote.</w:t>
      </w:r>
    </w:p>
    <w:p>
      <w:pPr>
        <w:spacing w:after="0" w:line="17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Our Board has determined that holding an advisory vote on executive compensation every one year is the most appropriate policy for ACI and our stockholders, and recommends that stockholders vote for future advisory votes on executive compensation to occur every one year.</w:t>
      </w:r>
    </w:p>
    <w:p>
      <w:pPr>
        <w:spacing w:after="0" w:line="17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While our executive compensation programs are designed to promote a long-term connection between pay and performance, our Board recognizes that executive compensation disclosures are made annually. Stockholders should note that because the advisory vote on executive compensation occurs well after the beginning of the compensation year, and because the different elements of our executive compensation programs are designed to operate in an integrated manner and to complement one another, in many cases it may not be appropriate or feasible to change our executive compensation programs in consideration of any one year’s advisory vote on executive compensation by the time of the following year’s annual meeting of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Advisory Vote</w:t>
      </w:r>
    </w:p>
    <w:p>
      <w:pPr>
        <w:spacing w:after="0" w:line="123"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Stockholders are not ultimately voting to approve or disapprove our Board’s recommendation. As this is an advisory vote, the outcome of the vote is not binding on us. Our Board will consider the outcome of the vote when making decisions regarding the frequency of future advisory votes on executive compensation. Our Board may in the future decide to conduct advisory votes on a more or less frequent basis than the alternative selected by our stockholders based on factors such as discussions with stockholders and the adoption of material changes to our compensation programs.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Vote Required</w:t>
      </w:r>
    </w:p>
    <w:p>
      <w:pPr>
        <w:spacing w:after="0" w:line="123"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The affirmative vote of a majority of the shares represented at the Annual Meeting and actually voting on this proposal is required for the approval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5937885" cy="4610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37885" cy="461010"/>
                    </a:xfrm>
                    <a:prstGeom prst="rect">
                      <a:avLst/>
                    </a:prstGeom>
                    <a:noFill/>
                  </pic:spPr>
                </pic:pic>
              </a:graphicData>
            </a:graphic>
          </wp:anchor>
        </w:drawing>
      </w:r>
    </w:p>
    <w:p>
      <w:pPr>
        <w:spacing w:after="0" w:line="378" w:lineRule="exact"/>
        <w:rPr>
          <w:sz w:val="20"/>
          <w:szCs w:val="20"/>
          <w:color w:val="auto"/>
        </w:rPr>
      </w:pPr>
    </w:p>
    <w:p>
      <w:pPr>
        <w:ind w:left="200" w:right="960"/>
        <w:spacing w:after="0" w:line="276" w:lineRule="auto"/>
        <w:rPr>
          <w:sz w:val="20"/>
          <w:szCs w:val="20"/>
          <w:color w:val="auto"/>
        </w:rPr>
      </w:pPr>
      <w:r>
        <w:rPr>
          <w:rFonts w:ascii="Arial" w:cs="Arial" w:eastAsia="Arial" w:hAnsi="Arial"/>
          <w:sz w:val="16"/>
          <w:szCs w:val="16"/>
          <w:b w:val="1"/>
          <w:bCs w:val="1"/>
          <w:color w:val="284993"/>
        </w:rPr>
        <w:t>OUR BOARD RECOMMENDS THAT STOCKHOLDERS VOTE FOR THE APPROVAL OF AN ADVISORY VOTE ON EXECUTIVE COMPENSATION EVERY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143510</wp:posOffset>
            </wp:positionV>
            <wp:extent cx="699135" cy="1314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30</w:t>
      </w:r>
    </w:p>
    <w:p>
      <w:pPr>
        <w:sectPr>
          <w:pgSz w:w="11900" w:h="16838" w:orient="portrait"/>
          <w:cols w:equalWidth="0" w:num="1">
            <w:col w:w="9300"/>
          </w:cols>
          <w:pgMar w:left="1280" w:top="253" w:right="1319" w:bottom="1440" w:gutter="0" w:footer="0" w:header="0"/>
        </w:sectPr>
      </w:pPr>
    </w:p>
    <w:bookmarkStart w:id="36" w:name="page37"/>
    <w:bookmarkEnd w:id="36"/>
    <w:p>
      <w:pPr>
        <w:jc w:val="center"/>
        <w:ind w:left="1300" w:right="440"/>
        <w:spacing w:after="0" w:line="245" w:lineRule="auto"/>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Proposal 5 — Approval of the Amendment and Restatement of the ACI Worldwide, Inc. 2020 Equity and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194945</wp:posOffset>
            </wp:positionV>
            <wp:extent cx="59207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Overview</w:t>
      </w:r>
    </w:p>
    <w:p>
      <w:pPr>
        <w:spacing w:after="0" w:line="109"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We are asking stockholders to approve an amendment and restatement of the ACI Worldwide, Inc. 2020 Equity and Incentive Compensation Plan. On March 29, 2023, upon recommendation by the Compensation Committee, the Board approved and adopted, subject to the approval of the Company’s stockholders at the Annual Meeting, the amendment and restatement of the ACI Worldwide, Inc. 2020 Equity and Incentive Compensation Plan. In this proposal, we refer to the original ACI Worldwide, Inc. 2020 Equity and Incentive Compensation Plan as the “2020 Equity Plan,” and we refer to the amended and restated ACI Worldwide, Inc. 2020 Equity and Incentive Compensation Plan as the “Amended 2020 Plan.”</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4"/>
          <w:szCs w:val="14"/>
          <w:color w:val="auto"/>
        </w:rPr>
        <w:t>The Company’s stockholders approved the 2020 Equity Plan, which succeeded the ACI Worldwide, Inc. 2005 Equity and Performance Incentive Plan (the “2005 Plan”) and the ACI Worldwide, Inc. 2016 Equity and Performance Incentive Plan (the “2016 Plan,” and, together with the 2005 Plan, the “Predecessor Plans”). No further grants may be made under the Predecessor Plans.</w:t>
      </w:r>
    </w:p>
    <w:p>
      <w:pPr>
        <w:spacing w:after="0" w:line="143"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The Amended 2020 Plan affords the Compensation Committee the ability to design compensatory awards that are responsive to the Company’s needs and includes authorization for a variety of awards designed to advance the interests and long-term success of the Company by encouraging stock ownership among officers and other employees of the Company and its subsidiaries, certain consultants or other service providers to the Company and its subsidiaries, and non-employee directors of the Company. You are being asked to approve the Amended 2020 Plan.</w:t>
      </w:r>
    </w:p>
    <w:p>
      <w:pPr>
        <w:spacing w:after="0" w:line="182"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Stockholder approval of the Amended 2020 Plan would primarily make available for awards under the Amended 2020 Plan an additional 4,960,000 shares of Common Stock, par value $0.005 per share, of the Company (“Common Shares”), as described below and in the Amended 2020 Plan, with such amount subject to adjustment, including under the share counting rules.</w:t>
      </w:r>
    </w:p>
    <w:p>
      <w:pPr>
        <w:spacing w:after="0" w:line="178"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The Board recommends that you vote to approve the Amended 2020 Plan. If the Amended 2020 Plan is approved by stockholders at the Annual Meeting, it will be effective as of the day of the Annual Meeting, and future grants will be made on or after such date under the Amended 2020 Plan. If the Amended 2020 Plan is not approved by our stockholders, then it will not become effective, no awards will be granted under the Amended 2020 Plan, and the 2020 Equity Plan will continue in accordance with its terms as previously approved by our stockholders.</w:t>
      </w:r>
    </w:p>
    <w:p>
      <w:pPr>
        <w:spacing w:after="0" w:line="182"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actual text of the Amended 2020 Plan is attached to this proxy statement as Appendix B. The following description of the Amended 2020 Plan is only a summary of its principal terms and provisions and is qualified by reference to the actual text as set forth in Appendix B.</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Why We Recommend That You Vote for this Proposal</w:t>
      </w:r>
    </w:p>
    <w:p>
      <w:pPr>
        <w:spacing w:after="0" w:line="109" w:lineRule="exact"/>
        <w:rPr>
          <w:sz w:val="20"/>
          <w:szCs w:val="20"/>
          <w:color w:val="auto"/>
        </w:rPr>
      </w:pPr>
    </w:p>
    <w:p>
      <w:pPr>
        <w:ind w:right="40"/>
        <w:spacing w:after="0"/>
        <w:rPr>
          <w:sz w:val="20"/>
          <w:szCs w:val="20"/>
          <w:color w:val="auto"/>
        </w:rPr>
      </w:pPr>
      <w:r>
        <w:rPr>
          <w:rFonts w:ascii="Arial" w:cs="Arial" w:eastAsia="Arial" w:hAnsi="Arial"/>
          <w:sz w:val="16"/>
          <w:szCs w:val="16"/>
          <w:color w:val="auto"/>
        </w:rPr>
        <w:t>The Amended 2020 Plan continues to authorize the Compensation Committee to provide cash awards and equity-based compensation in the form of stock options, stock appreciation rights (“SARs”), restricted stock, restricted stock units (“RSUs”), performance shares, performance units, dividend equivalents, and certain other awards, including those denominated or payable in, or otherwise based on, Common Shares, for the purpose of providing our non-employee directors, officers and other employees of the Company and its subsidiaries, and certain consultants and other service providers of the Company and its subsidiaries, incentives and rewards for service and/or performance. Some of the key features of the Amended 2020 Plan that reflect our commitment to effective management of equity and incentive compensation are set forth below in this subsection.</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31</w:t>
      </w:r>
    </w:p>
    <w:p>
      <w:pPr>
        <w:sectPr>
          <w:pgSz w:w="11900" w:h="16838" w:orient="portrait"/>
          <w:cols w:equalWidth="0" w:num="1">
            <w:col w:w="9320"/>
          </w:cols>
          <w:pgMar w:left="1280" w:top="253" w:right="1299" w:bottom="1440" w:gutter="0" w:footer="0" w:header="0"/>
        </w:sectPr>
      </w:pPr>
    </w:p>
    <w:bookmarkStart w:id="37" w:name="page38"/>
    <w:bookmarkEnd w:id="37"/>
    <w:p>
      <w:pPr>
        <w:spacing w:after="0" w:line="2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We believe our future success continues to depend in part on our ability to attract, motivate, and retain high quality employees and directors and that the ability to provide equity-based and incentive-based awards under the Amended 2020 Plan is critical to achieving this success. We would be at a severe competitive disadvantage if we could not use share-based awards to recruit and compensate our employees and directors. The use of Common Shares as part of our compensation program is also important because equity-based awards continue to be an essential component of our compensation program for key employees, as they help link compensation with long-term stockholder value creation and reward participants based on service and/or performance.</w:t>
      </w:r>
    </w:p>
    <w:p>
      <w:pPr>
        <w:spacing w:after="0" w:line="18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In 2020, the Company’s stockholders approved 6,658,754 Common Shares, minus the number of Common Shares subject to awards granted under the Predecessor Plans between April 16, 2020 and June 9, 2020, to be used for awards under the 2020 Equity Plan. As of March 31, 2023, 5,052,715 Common Shares remained available under the 2020 Equity Plan. If the Amended 2020 Plan is not approved, we may be compelled to increase significantly the cash component of our employee and director compensation, which approach may not necessarily align employee and director compensation interests with the investment interests of our stockholders. Replacing equity awards with cash also would increase cash compensation expense and use cash that could be better utilized.</w:t>
      </w:r>
    </w:p>
    <w:p>
      <w:pPr>
        <w:spacing w:after="0" w:line="156" w:lineRule="exact"/>
        <w:rPr>
          <w:sz w:val="20"/>
          <w:szCs w:val="20"/>
          <w:color w:val="auto"/>
        </w:rPr>
      </w:pPr>
    </w:p>
    <w:p>
      <w:pPr>
        <w:jc w:val="both"/>
        <w:ind w:right="100"/>
        <w:spacing w:after="0" w:line="249" w:lineRule="auto"/>
        <w:rPr>
          <w:sz w:val="20"/>
          <w:szCs w:val="20"/>
          <w:color w:val="auto"/>
        </w:rPr>
      </w:pPr>
      <w:r>
        <w:rPr>
          <w:rFonts w:ascii="Arial" w:cs="Arial" w:eastAsia="Arial" w:hAnsi="Arial"/>
          <w:sz w:val="16"/>
          <w:szCs w:val="16"/>
          <w:color w:val="auto"/>
        </w:rPr>
        <w:t>The following includes aggregated information regarding our view of the overhang and dilution associated with the Predecessor Plans and the 2020 Equity Plan, and the potential dilution associated with the Amended 2020 Plan. This information is as of March 31, 2023. As of that date, there were approximately 108,317,168 Common Shares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Common Shares Subject to Outstanding Awards and Available for Future Awards:</w:t>
      </w:r>
    </w:p>
    <w:p>
      <w:pPr>
        <w:spacing w:after="0" w:line="114" w:lineRule="exact"/>
        <w:rPr>
          <w:sz w:val="20"/>
          <w:szCs w:val="20"/>
          <w:color w:val="auto"/>
        </w:rPr>
      </w:pPr>
    </w:p>
    <w:p>
      <w:pPr>
        <w:ind w:left="360" w:right="620" w:hanging="267"/>
        <w:spacing w:after="0" w:line="263"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Common Shares subject to outstanding full-value awards (restricted stock, RSUs and performance shares based on maximum performance): 1,837,769 shares (approximately 1.70% of our outstanding Common Shares);</w:t>
      </w:r>
    </w:p>
    <w:p>
      <w:pPr>
        <w:spacing w:after="0" w:line="75" w:lineRule="exact"/>
        <w:rPr>
          <w:rFonts w:ascii="Arial" w:cs="Arial" w:eastAsia="Arial" w:hAnsi="Arial"/>
          <w:sz w:val="16"/>
          <w:szCs w:val="16"/>
          <w:color w:val="auto"/>
        </w:rPr>
      </w:pPr>
    </w:p>
    <w:p>
      <w:pPr>
        <w:jc w:val="both"/>
        <w:ind w:left="360" w:right="140" w:hanging="267"/>
        <w:spacing w:after="0" w:line="249"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Common Shares subject to outstanding stock options: 1,211,613 shares (approximately 1.12% of our outstanding Common Shares) (outstanding stock options have a weighted average exercise price of $19.01 and a weighted average remaining term of 2.46 years);</w:t>
      </w:r>
    </w:p>
    <w:p>
      <w:pPr>
        <w:spacing w:after="0" w:line="87" w:lineRule="exact"/>
        <w:rPr>
          <w:rFonts w:ascii="Arial" w:cs="Arial" w:eastAsia="Arial" w:hAnsi="Arial"/>
          <w:sz w:val="16"/>
          <w:szCs w:val="16"/>
          <w:color w:val="auto"/>
        </w:rPr>
      </w:pPr>
    </w:p>
    <w:p>
      <w:pPr>
        <w:ind w:left="360" w:right="420" w:hanging="267"/>
        <w:spacing w:after="0" w:line="263"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summary, total Common Shares subject to outstanding awards, as described above (full-value awards and stock options): 3,049,382 shares (approximately 2.82% of our outstanding Common Shares); and</w:t>
      </w:r>
    </w:p>
    <w:p>
      <w:pPr>
        <w:spacing w:after="0" w:line="75" w:lineRule="exact"/>
        <w:rPr>
          <w:rFonts w:ascii="Arial" w:cs="Arial" w:eastAsia="Arial" w:hAnsi="Arial"/>
          <w:sz w:val="16"/>
          <w:szCs w:val="16"/>
          <w:color w:val="auto"/>
        </w:rPr>
      </w:pPr>
    </w:p>
    <w:p>
      <w:pPr>
        <w:ind w:left="360" w:right="360" w:hanging="267"/>
        <w:spacing w:after="0" w:line="263"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Common Shares available for future awards under the 2020 Equity Plan: 5,052,715 shares (approximately 4.66% of our outstanding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Proposed Common Shares Available for Awards Under the Amended 2020 Plan:</w:t>
      </w:r>
    </w:p>
    <w:p>
      <w:pPr>
        <w:spacing w:after="0" w:line="114" w:lineRule="exact"/>
        <w:rPr>
          <w:sz w:val="20"/>
          <w:szCs w:val="20"/>
          <w:color w:val="auto"/>
        </w:rPr>
      </w:pPr>
    </w:p>
    <w:p>
      <w:pPr>
        <w:ind w:left="360" w:right="20" w:hanging="267"/>
        <w:spacing w:after="0" w:line="249"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4,960,000 additional Common Shares (approximately 4.58% of our outstanding Common Shares, which percentage reflects the simple dilution of our stockholders that would occur if the Amended 2020 Plan is approved), subject to adjustment, including under the share counting rules of the Amended 2020 Plan; and</w:t>
      </w:r>
    </w:p>
    <w:p>
      <w:pPr>
        <w:spacing w:after="0" w:line="87" w:lineRule="exact"/>
        <w:rPr>
          <w:rFonts w:ascii="Arial" w:cs="Arial" w:eastAsia="Arial" w:hAnsi="Arial"/>
          <w:sz w:val="16"/>
          <w:szCs w:val="16"/>
          <w:color w:val="auto"/>
        </w:rPr>
      </w:pPr>
    </w:p>
    <w:p>
      <w:pPr>
        <w:ind w:left="360" w:right="60" w:hanging="267"/>
        <w:spacing w:after="0" w:line="291" w:lineRule="auto"/>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total Common Shares subject to outstanding awards as described above as of March 31, 2023 (3,049,382 shares), plus the Common Shares remaining available for future awards under the 2020 Equity Plan as of such date (5,052,715 shares), plus the proposed additional Common Shares available for future awards under the Amended 2020 Plan (4,960,000 shares), represent an approximate total overhang of 13,062,097 shares (12.06% of our Common Shares) under the Amended 2020 Plan.</w:t>
      </w:r>
    </w:p>
    <w:p>
      <w:pPr>
        <w:spacing w:after="0" w:line="15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Based on the closing price on the NASDAQ Global Select Market for our Common Shares on March 31, 2023 of $26.98 per share, the aggregate market value as of March 31, 2023 of the up to 4,960,000 new Common Shares requested under the Amended 2020 Plan was $133,820,800.</w:t>
      </w:r>
    </w:p>
    <w:p>
      <w:pPr>
        <w:spacing w:after="0" w:line="178"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In fiscal years 2020, 2021, and 2022, we granted awards under the Predecessor Plans and the 2020 Equity Plan covering 2,170,933 shares, 1,365,351 shares, and 2,135,739 shares, respectively. Based on our basic weighted average Common Shares outstanding for those three fiscal years of 116,397,000, 117,407,000, and 113,700,000, respectively, for the three-fiscal-year period 2020-2022, our average burn rate, not taking into account forfeitures, was 1.64% (our individual years’ burn rates were 1.87% for fiscal 2020, 1.16% for fiscal 2021, and 1.88%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82550</wp:posOffset>
            </wp:positionV>
            <wp:extent cx="699135" cy="1314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32</w:t>
      </w:r>
    </w:p>
    <w:p>
      <w:pPr>
        <w:sectPr>
          <w:pgSz w:w="11900" w:h="16838" w:orient="portrait"/>
          <w:cols w:equalWidth="0" w:num="1">
            <w:col w:w="9320"/>
          </w:cols>
          <w:pgMar w:left="1280" w:top="296" w:right="1299" w:bottom="1440" w:gutter="0" w:footer="0" w:header="0"/>
        </w:sectPr>
      </w:pPr>
    </w:p>
    <w:bookmarkStart w:id="38" w:name="page39"/>
    <w:bookmarkEnd w:id="38"/>
    <w:p>
      <w:pPr>
        <w:ind w:right="300"/>
        <w:spacing w:after="0" w:line="24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In determining the number of shares to request for approval under the Amended 2020 Plan, our management team worked with the Compensation Committee to evaluate a number of factors, including our recent share usage and criteria expected to be utilized by institutional proxy advisory firms in evaluating our proposal for the Amended 2020 Plan.</w:t>
      </w:r>
    </w:p>
    <w:p>
      <w:pPr>
        <w:spacing w:after="0" w:line="178"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If the Amended 2020 Plan is approved, we intend to utilize the shares authorized under the Amended 2020 Plan to continue our practice of incentivizing key individuals through equity grants. We currently anticipate that the shares requested in connection with the approval of the Amended 2020 Plan will last for about three years, based on our historic grant rates and the approximate current share price, but could last for a different period of time if actual practice does not match recent rates or our share price changes materially. As noted below, our Compensation Committee would retain full discretion under the Amended 2020 Plan to determine the number and amount of awards to be granted under the Amended 2020 Plan, subject to the terms of the Amended 2020 Plan, and future benefits that may be received by participants under the Amended 2020 Plan are not determinable at this time.</w:t>
      </w:r>
    </w:p>
    <w:p>
      <w:pPr>
        <w:spacing w:after="0" w:line="157"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We believe that we have demonstrated a commitment to sound equity compensation practices in recent years. We recognize that equity compensation awards dilute stockholders’ equity, so we have carefully managed our equity incentive compensation. Our equity compensation practices are intended to be competitive and consistent with market practices, and we believe our historical share usage has been responsible and mindful of stockholder interests, as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evaluating this proposal, stockholders should consider all of the information in this proposal and this proxy statement.</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Material Changes From The 2020 Equity Plan</w:t>
      </w:r>
    </w:p>
    <w:p>
      <w:pPr>
        <w:spacing w:after="0" w:line="109" w:lineRule="exact"/>
        <w:rPr>
          <w:sz w:val="20"/>
          <w:szCs w:val="20"/>
          <w:color w:val="auto"/>
        </w:rPr>
      </w:pPr>
    </w:p>
    <w:p>
      <w:pPr>
        <w:ind w:right="60"/>
        <w:spacing w:after="0" w:line="225" w:lineRule="auto"/>
        <w:rPr>
          <w:sz w:val="20"/>
          <w:szCs w:val="20"/>
          <w:color w:val="auto"/>
        </w:rPr>
      </w:pPr>
      <w:r>
        <w:rPr>
          <w:rFonts w:ascii="Arial" w:cs="Arial" w:eastAsia="Arial" w:hAnsi="Arial"/>
          <w:sz w:val="16"/>
          <w:szCs w:val="16"/>
          <w:color w:val="auto"/>
        </w:rPr>
        <w:t>The Amended 2020 Plan (1) increases the number of Common Shares available for awards under the 2020 Equity Plan by 4,960,000 shares, (2) correspondingly increases the limit on shares that may be issued or transferred upon the exercise of incentive stock options granted under the 2020 Equity Plan, during its duration (as described below), by 4,960,000 Common Shares, and (3) extends the term of the 2020 Equity Plan until the 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anniversary of the date of stockholder approval of the Amended 2020 Plan. The Amended 2020 Plan also makes certain other conforming, clarifying or nonsubstantive changes to the terms of the 2020 Equity Plan to implement the Amended 2020 Plan.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not seeking to make any other material changes to the terms of the 2020 Equity Plan.</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Amended 2020 Plan Highlights</w:t>
      </w:r>
    </w:p>
    <w:p>
      <w:pPr>
        <w:spacing w:after="0" w:line="109"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Below are certain highlights of the Amended 2020 Plan. These features of the Amended 2020 Plan are designed to reinforce alignment between equity compensation arrangements awarded pursuant to the Amended 2020 Plan and stockholders’ interests, consistent with sound corporate governance practices:</w:t>
      </w:r>
    </w:p>
    <w:p>
      <w:pPr>
        <w:spacing w:after="0" w:line="178" w:lineRule="exact"/>
        <w:rPr>
          <w:sz w:val="20"/>
          <w:szCs w:val="20"/>
          <w:color w:val="auto"/>
        </w:rPr>
      </w:pPr>
    </w:p>
    <w:p>
      <w:pPr>
        <w:spacing w:after="0" w:line="243" w:lineRule="auto"/>
        <w:rPr>
          <w:sz w:val="20"/>
          <w:szCs w:val="20"/>
          <w:color w:val="auto"/>
        </w:rPr>
      </w:pPr>
      <w:r>
        <w:rPr>
          <w:rFonts w:ascii="Arial" w:cs="Arial" w:eastAsia="Arial" w:hAnsi="Arial"/>
          <w:sz w:val="16"/>
          <w:szCs w:val="16"/>
          <w:b w:val="1"/>
          <w:bCs w:val="1"/>
          <w:i w:val="1"/>
          <w:iCs w:val="1"/>
          <w:color w:val="auto"/>
        </w:rPr>
        <w:t>Reasonable Amended 2020 Plan Limits</w:t>
      </w:r>
      <w:r>
        <w:rPr>
          <w:rFonts w:ascii="Arial" w:cs="Arial" w:eastAsia="Arial" w:hAnsi="Arial"/>
          <w:sz w:val="16"/>
          <w:szCs w:val="16"/>
          <w:color w:val="auto"/>
        </w:rPr>
        <w:t>. Generally, awards under the Amended 2020 Plan are limited to 11,618,754 Common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(consisting of 6,658,754 Common Shares that were approved by stockholders in 2020 and 4,960,000 Common Shares to be approved by stockholders in 2023) </w:t>
      </w:r>
      <w:r>
        <w:rPr>
          <w:rFonts w:ascii="Arial" w:cs="Arial" w:eastAsia="Arial" w:hAnsi="Arial"/>
          <w:sz w:val="16"/>
          <w:szCs w:val="16"/>
          <w:u w:val="single" w:color="auto"/>
          <w:color w:val="auto"/>
        </w:rPr>
        <w:t>minus</w:t>
      </w:r>
      <w:r>
        <w:rPr>
          <w:rFonts w:ascii="Arial" w:cs="Arial" w:eastAsia="Arial" w:hAnsi="Arial"/>
          <w:sz w:val="16"/>
          <w:szCs w:val="16"/>
          <w:color w:val="auto"/>
        </w:rPr>
        <w:t>, as of June 9, 2020, one Common Share for every Common Share subject to an award granted under the Predecessor Plans between April 16, 2020 and June 9, 2020. These shares may be shares of original issuance or treasury shares, or a combination of the two.</w:t>
      </w:r>
    </w:p>
    <w:p>
      <w:pPr>
        <w:spacing w:after="0" w:line="182"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b w:val="1"/>
          <w:bCs w:val="1"/>
          <w:i w:val="1"/>
          <w:iCs w:val="1"/>
          <w:color w:val="auto"/>
        </w:rPr>
        <w:t>Non-Employee Director Compensation Limit</w:t>
      </w:r>
      <w:r>
        <w:rPr>
          <w:rFonts w:ascii="Arial" w:cs="Arial" w:eastAsia="Arial" w:hAnsi="Arial"/>
          <w:sz w:val="16"/>
          <w:szCs w:val="16"/>
          <w:color w:val="auto"/>
        </w:rPr>
        <w:t>. The Amended 2020 Plan provides that in no event will any non-employee director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one calendar year be granted compensation for such service having an aggregate maximum value (measured at the date of grant, as applicable, and calculating the value of any awards based on the grant date fair value for financial reporting purposes) in excess of $750,000.</w:t>
      </w:r>
    </w:p>
    <w:p>
      <w:pPr>
        <w:spacing w:after="0" w:line="181"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b w:val="1"/>
          <w:bCs w:val="1"/>
          <w:i w:val="1"/>
          <w:iCs w:val="1"/>
          <w:color w:val="auto"/>
        </w:rPr>
        <w:t>Other Limits</w:t>
      </w:r>
      <w:r>
        <w:rPr>
          <w:rFonts w:ascii="Arial" w:cs="Arial" w:eastAsia="Arial" w:hAnsi="Arial"/>
          <w:sz w:val="16"/>
          <w:szCs w:val="16"/>
          <w:color w:val="auto"/>
        </w:rPr>
        <w:t>. The Amended 2020 Plan also provides that, subject as applicable to adjustment and the applicable Common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counting provisions as described in the Amended 2020 Plan, the aggregate number of Common Shares actually issued or transferred upon the exercise of Incentive Stock Options (as defined below) will not exceed 11,618,754 Common Shares.</w:t>
      </w:r>
    </w:p>
    <w:p>
      <w:pPr>
        <w:spacing w:after="0" w:line="178" w:lineRule="exact"/>
        <w:rPr>
          <w:sz w:val="20"/>
          <w:szCs w:val="20"/>
          <w:color w:val="auto"/>
        </w:rPr>
      </w:pPr>
    </w:p>
    <w:p>
      <w:pPr>
        <w:jc w:val="both"/>
        <w:ind w:right="400"/>
        <w:spacing w:after="0" w:line="291" w:lineRule="auto"/>
        <w:rPr>
          <w:sz w:val="20"/>
          <w:szCs w:val="20"/>
          <w:color w:val="auto"/>
        </w:rPr>
      </w:pPr>
      <w:r>
        <w:rPr>
          <w:rFonts w:ascii="Arial" w:cs="Arial" w:eastAsia="Arial" w:hAnsi="Arial"/>
          <w:sz w:val="14"/>
          <w:szCs w:val="14"/>
          <w:b w:val="1"/>
          <w:bCs w:val="1"/>
          <w:i w:val="1"/>
          <w:iCs w:val="1"/>
          <w:color w:val="auto"/>
        </w:rPr>
        <w:t>Share Recycling Provisions</w:t>
      </w:r>
      <w:r>
        <w:rPr>
          <w:rFonts w:ascii="Arial" w:cs="Arial" w:eastAsia="Arial" w:hAnsi="Arial"/>
          <w:sz w:val="14"/>
          <w:szCs w:val="14"/>
          <w:color w:val="auto"/>
        </w:rPr>
        <w:t>. Subject to certain exceptions described in the Amended 2020 Plan, if any award granted under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Amended 2020 Plan (in whole or in part) is canceled or forfeited, expires, is settled for cash, or is unearned, the Common Shares subject to such award will, to the extent of such cancellation, forfeiture, expiration, cash settlement, or unearned amount, again be available under the Amended 2020 Plan. Additionally, if after April 16, 2020, any Common Shares subject to</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33</w:t>
      </w:r>
    </w:p>
    <w:p>
      <w:pPr>
        <w:sectPr>
          <w:pgSz w:w="11900" w:h="16838" w:orient="portrait"/>
          <w:cols w:equalWidth="0" w:num="1">
            <w:col w:w="9320"/>
          </w:cols>
          <w:pgMar w:left="1280" w:top="296" w:right="1299" w:bottom="1440" w:gutter="0" w:footer="0" w:header="0"/>
        </w:sectPr>
      </w:pPr>
    </w:p>
    <w:bookmarkStart w:id="39" w:name="page40"/>
    <w:bookmarkEnd w:id="39"/>
    <w:p>
      <w:pPr>
        <w:ind w:right="140"/>
        <w:spacing w:after="0" w:line="29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an award granted under a Predecessor Plan are forfeited, or an award granted under a Predecessor Plan (in whole or in part) is cancelled or forfeited, expires, is settled in cash, or is unearned, the Common Shares subject to such award will, to the extent of such cancellation, forfeiture, expiration, cash settlement, or unearned amount, be available for awards under the Amended 2020 Plan. Notwithstanding anything else in the Amended 2020 Plan, the following share recycling rules apply under the Amended 2020 Plan:</w:t>
      </w:r>
    </w:p>
    <w:p>
      <w:pPr>
        <w:spacing w:after="0" w:line="61" w:lineRule="exact"/>
        <w:rPr>
          <w:sz w:val="20"/>
          <w:szCs w:val="20"/>
          <w:color w:val="auto"/>
        </w:rPr>
      </w:pPr>
    </w:p>
    <w:p>
      <w:pPr>
        <w:ind w:left="360" w:hanging="267"/>
        <w:spacing w:after="0" w:line="249"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Common Shares withheld by us, tendered or otherwise used in payment of the exercise price of a stock option granted under the Amended 2020 Plan or a Predecessor Plan will not be added (or added back, as applicable) to the aggregate number of Common Shares available under the Amended 2020 Plan;</w:t>
      </w:r>
    </w:p>
    <w:p>
      <w:pPr>
        <w:spacing w:after="0" w:line="87" w:lineRule="exact"/>
        <w:rPr>
          <w:rFonts w:ascii="Arial" w:cs="Arial" w:eastAsia="Arial" w:hAnsi="Arial"/>
          <w:sz w:val="16"/>
          <w:szCs w:val="16"/>
          <w:color w:val="auto"/>
        </w:rPr>
      </w:pPr>
    </w:p>
    <w:p>
      <w:pPr>
        <w:ind w:left="360" w:right="440" w:hanging="267"/>
        <w:spacing w:after="0" w:line="249"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Common Shares withheld by us, tendered or otherwise used to satisfy tax withholding with respect to awards (other than as described in the next bullet) will not be added (or added back, as applicable) to the aggregate number of Common Shares available under the Amended 2020 Plan;</w:t>
      </w:r>
    </w:p>
    <w:p>
      <w:pPr>
        <w:spacing w:after="0" w:line="87" w:lineRule="exact"/>
        <w:rPr>
          <w:rFonts w:ascii="Arial" w:cs="Arial" w:eastAsia="Arial" w:hAnsi="Arial"/>
          <w:sz w:val="16"/>
          <w:szCs w:val="16"/>
          <w:color w:val="auto"/>
        </w:rPr>
      </w:pPr>
    </w:p>
    <w:p>
      <w:pPr>
        <w:ind w:left="360" w:right="120" w:hanging="267"/>
        <w:spacing w:after="0" w:line="245"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Common Shares withheld by us, tendered or otherwise used prior to the 10th anniversary of the date of stockholder approval of the Amended 2020 Plan to satisfy tax withholding with respect to awards other than stock options or SARs granted under the Amended 2020 Plan or a Predecessor Plan will be added back to the aggregate number of Common Shares available under the Amended 2020 Plan;</w:t>
      </w:r>
    </w:p>
    <w:p>
      <w:pPr>
        <w:spacing w:after="0" w:line="90" w:lineRule="exact"/>
        <w:rPr>
          <w:rFonts w:ascii="Arial" w:cs="Arial" w:eastAsia="Arial" w:hAnsi="Arial"/>
          <w:sz w:val="16"/>
          <w:szCs w:val="16"/>
          <w:color w:val="auto"/>
        </w:rPr>
      </w:pPr>
    </w:p>
    <w:p>
      <w:pPr>
        <w:ind w:left="360" w:right="300" w:hanging="267"/>
        <w:spacing w:after="0" w:line="249"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Common Shares subject to a share-settled SAR that are not actually issued in connection with the settlement of such SAR on exercise will not be added (or added back, as applicable) to the aggregate number of Common Shares available under the Amended 2020 Plan;</w:t>
      </w:r>
    </w:p>
    <w:p>
      <w:pPr>
        <w:spacing w:after="0" w:line="87" w:lineRule="exact"/>
        <w:rPr>
          <w:rFonts w:ascii="Arial" w:cs="Arial" w:eastAsia="Arial" w:hAnsi="Arial"/>
          <w:sz w:val="16"/>
          <w:szCs w:val="16"/>
          <w:color w:val="auto"/>
        </w:rPr>
      </w:pPr>
    </w:p>
    <w:p>
      <w:pPr>
        <w:ind w:left="360" w:right="240" w:hanging="267"/>
        <w:spacing w:after="0" w:line="249"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Common Shares reacquired by the Company on the open market or otherwise using cash proceeds from the exercise of stock options will not be added (or added back, as applicable) to the aggregate number of Common Shares available under the Amended 2020 Plan; and</w:t>
      </w:r>
    </w:p>
    <w:p>
      <w:pPr>
        <w:spacing w:after="0" w:line="87" w:lineRule="exact"/>
        <w:rPr>
          <w:rFonts w:ascii="Arial" w:cs="Arial" w:eastAsia="Arial" w:hAnsi="Arial"/>
          <w:sz w:val="16"/>
          <w:szCs w:val="16"/>
          <w:color w:val="auto"/>
        </w:rPr>
      </w:pPr>
    </w:p>
    <w:p>
      <w:pPr>
        <w:ind w:left="360" w:right="200" w:hanging="267"/>
        <w:spacing w:after="0" w:line="335" w:lineRule="auto"/>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If a participant elects to give up the right to receive compensation in exchange for Common Shares based on fair market value, such Common Shares will not count against the aggregate number of shares available under the Amended 2020 Plan.</w:t>
      </w:r>
    </w:p>
    <w:p>
      <w:pPr>
        <w:spacing w:after="0" w:line="120" w:lineRule="exact"/>
        <w:rPr>
          <w:sz w:val="20"/>
          <w:szCs w:val="20"/>
          <w:color w:val="auto"/>
        </w:rPr>
      </w:pPr>
    </w:p>
    <w:p>
      <w:pPr>
        <w:ind w:right="280"/>
        <w:spacing w:after="0" w:line="245" w:lineRule="auto"/>
        <w:rPr>
          <w:sz w:val="20"/>
          <w:szCs w:val="20"/>
          <w:color w:val="auto"/>
        </w:rPr>
      </w:pPr>
      <w:r>
        <w:rPr>
          <w:rFonts w:ascii="Arial" w:cs="Arial" w:eastAsia="Arial" w:hAnsi="Arial"/>
          <w:sz w:val="16"/>
          <w:szCs w:val="16"/>
          <w:b w:val="1"/>
          <w:bCs w:val="1"/>
          <w:i w:val="1"/>
          <w:iCs w:val="1"/>
          <w:color w:val="auto"/>
        </w:rPr>
        <w:t>No Repricing Without Stockholder Approval</w:t>
      </w:r>
      <w:r>
        <w:rPr>
          <w:rFonts w:ascii="Arial" w:cs="Arial" w:eastAsia="Arial" w:hAnsi="Arial"/>
          <w:sz w:val="16"/>
          <w:szCs w:val="16"/>
          <w:color w:val="auto"/>
        </w:rPr>
        <w:t>. Outside of certain corporate transactions or adjustment events described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2020 Plan or in connection with a “change in control,” the exercise or base price of stock options and SARs cannot be reduced, nor can “underwater” stock options or SARs be cancelled in exchange for cash or replaced with other awards with a lower exercise or base price, without stockholder approval under the Amended 2020 Plan.</w:t>
      </w:r>
    </w:p>
    <w:p>
      <w:pPr>
        <w:spacing w:after="0" w:line="181" w:lineRule="exact"/>
        <w:rPr>
          <w:sz w:val="20"/>
          <w:szCs w:val="20"/>
          <w:color w:val="auto"/>
        </w:rPr>
      </w:pPr>
    </w:p>
    <w:p>
      <w:pPr>
        <w:ind w:right="340"/>
        <w:spacing w:after="0" w:line="263" w:lineRule="auto"/>
        <w:rPr>
          <w:sz w:val="20"/>
          <w:szCs w:val="20"/>
          <w:color w:val="auto"/>
        </w:rPr>
      </w:pPr>
      <w:r>
        <w:rPr>
          <w:rFonts w:ascii="Arial" w:cs="Arial" w:eastAsia="Arial" w:hAnsi="Arial"/>
          <w:sz w:val="16"/>
          <w:szCs w:val="16"/>
          <w:b w:val="1"/>
          <w:bCs w:val="1"/>
          <w:i w:val="1"/>
          <w:iCs w:val="1"/>
          <w:color w:val="auto"/>
        </w:rPr>
        <w:t>Change in Control Definition</w:t>
      </w:r>
      <w:r>
        <w:rPr>
          <w:rFonts w:ascii="Arial" w:cs="Arial" w:eastAsia="Arial" w:hAnsi="Arial"/>
          <w:sz w:val="16"/>
          <w:szCs w:val="16"/>
          <w:color w:val="auto"/>
        </w:rPr>
        <w:t>. The Amended 2020 Plan includes a non-liberal definition of “change in control,” which is described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w:t>
      </w:r>
    </w:p>
    <w:p>
      <w:pPr>
        <w:spacing w:after="0" w:line="16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b w:val="1"/>
          <w:bCs w:val="1"/>
          <w:i w:val="1"/>
          <w:iCs w:val="1"/>
          <w:color w:val="auto"/>
        </w:rPr>
        <w:t>Exercise or Base Price Limitation</w:t>
      </w:r>
      <w:r>
        <w:rPr>
          <w:rFonts w:ascii="Arial" w:cs="Arial" w:eastAsia="Arial" w:hAnsi="Arial"/>
          <w:sz w:val="16"/>
          <w:szCs w:val="16"/>
          <w:color w:val="auto"/>
        </w:rPr>
        <w:t>. The Amended 2020 Plan also provides that, except with respect to certain converted, assumed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substituted awards as described in the Amended 2020 Plan, no stock options or SARs will be granted with an exercise or base price less than the fair market value of a Common Share on the date of grant.</w:t>
      </w:r>
    </w:p>
    <w:p>
      <w:pPr>
        <w:spacing w:after="0" w:line="17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b w:val="1"/>
          <w:bCs w:val="1"/>
          <w:i w:val="1"/>
          <w:iCs w:val="1"/>
          <w:color w:val="auto"/>
        </w:rPr>
        <w:t>Dividends and Dividend Equivalents</w:t>
      </w:r>
      <w:r>
        <w:rPr>
          <w:rFonts w:ascii="Arial" w:cs="Arial" w:eastAsia="Arial" w:hAnsi="Arial"/>
          <w:sz w:val="16"/>
          <w:szCs w:val="16"/>
          <w:color w:val="auto"/>
        </w:rPr>
        <w:t>. The Amended 2020 Plan provides that dividends and dividend equivalents on Amended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awards will generally be deferred until, and paid contingent upon, the vesting or earning of such awards. The Amended 2020 Plan does not allow for dividends or dividend equivalents on stock options or SARs.</w:t>
      </w:r>
    </w:p>
    <w:p>
      <w:pPr>
        <w:spacing w:after="0" w:line="178" w:lineRule="exact"/>
        <w:rPr>
          <w:sz w:val="20"/>
          <w:szCs w:val="20"/>
          <w:color w:val="auto"/>
        </w:rPr>
      </w:pPr>
    </w:p>
    <w:p>
      <w:pPr>
        <w:ind w:right="460"/>
        <w:spacing w:after="0" w:line="249" w:lineRule="auto"/>
        <w:rPr>
          <w:sz w:val="20"/>
          <w:szCs w:val="20"/>
          <w:color w:val="auto"/>
        </w:rPr>
      </w:pPr>
      <w:r>
        <w:rPr>
          <w:rFonts w:ascii="Arial" w:cs="Arial" w:eastAsia="Arial" w:hAnsi="Arial"/>
          <w:sz w:val="16"/>
          <w:szCs w:val="16"/>
          <w:b w:val="1"/>
          <w:bCs w:val="1"/>
          <w:i w:val="1"/>
          <w:iCs w:val="1"/>
          <w:color w:val="auto"/>
        </w:rPr>
        <w:t>Clawback Provisions</w:t>
      </w:r>
      <w:r>
        <w:rPr>
          <w:rFonts w:ascii="Arial" w:cs="Arial" w:eastAsia="Arial" w:hAnsi="Arial"/>
          <w:sz w:val="16"/>
          <w:szCs w:val="16"/>
          <w:color w:val="auto"/>
        </w:rPr>
        <w:t>. The Amended 2020 Plan provides that awards under the Amended 2020 Plan may be made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clawback policy of the Company or otherwise provide for recoupment by the Company in the event that a grantee engages in detrimental activity, as provided in the documents governing the awards or the applicable clawback policy.</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284993"/>
        </w:rPr>
        <w:t>Summary of Other Material Terms of the Amended 2020 Plan</w:t>
      </w:r>
    </w:p>
    <w:p>
      <w:pPr>
        <w:spacing w:after="0" w:line="109"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The Amended 2020 Plan will generally be administered by the Compensation Committee (or its successor), 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committee of the Board designated by the Board to administer the Amended 2020 Plan. However, at the discretion of the Board, the Amended 2020 Plan may be administered by the Board, including with respect to the administration of any responsibilities and duties held by the Compensation Committee. References to the “Committee” in this proposal refer to the Compensation Committee, such other committee designated by the Board, or the full Board, as applicable.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82550</wp:posOffset>
            </wp:positionV>
            <wp:extent cx="699135" cy="1314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34</w:t>
      </w:r>
    </w:p>
    <w:p>
      <w:pPr>
        <w:sectPr>
          <w:pgSz w:w="11900" w:h="16838" w:orient="portrait"/>
          <w:cols w:equalWidth="0" w:num="1">
            <w:col w:w="9280"/>
          </w:cols>
          <w:pgMar w:left="1280" w:top="296" w:right="1339" w:bottom="1440" w:gutter="0" w:footer="0" w:header="0"/>
        </w:sectPr>
      </w:pPr>
    </w:p>
    <w:bookmarkStart w:id="40" w:name="page41"/>
    <w:bookmarkEnd w:id="40"/>
    <w:p>
      <w:pPr>
        <w:ind w:right="20"/>
        <w:spacing w:after="0" w:line="2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may from time to time delegate all or any part of its authority under the Amended 2020 Plan to a subcommittee. Any interpretation, construction and determination by the Committee of any provision of the Amended 2020 Plan, or of any agreement, notification or document evidencing the grant of awards under the Amended 2020 Plan, will be final and conclusive. To the extent permitted by applicable law, the Committee may delegate to one or more of its members or to one or more officers, or to one or more agents or advisors of the Company, such administrative duties or powers as it deems advisable. To the extent permitted by law and in compliance with applicable legal requirements, the Committee may by resolution, subject to certain restrictions set forth in the Amended 2020 Plan, authorize one or more officers of the Company to authorize the granting or sale of awards under the Amended 2020 Plan on the same basis as the Committee. However, the Committee may not delegate such authority to officers for awards granted to such officers, or to non-employee directors or certain employees who are subject to the reporting requirements of Section 16 of the Exchange Act of 1934. The Committee is authorized to take appropriate action under the Amended 2020 Plan subject to the express limitations contained in the Amended 2020 Plan.</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color w:val="auto"/>
        </w:rPr>
        <w:t>. Any person who is selected by the Committee to receive benefits under the Amended 2020 Plan and who is at that time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or other employee of the Company or any of its subsidiaries (including a person who has agreed to commence serving in such capacity within 90 days of the date of grant) is eligible to participate in the Amended 2020 Plan. In addition, certain persons (including consultants) who provide services to the Company or any of its subsidiaries that are equivalent to those typically provided by an employee (provided that such persons satisfy the Form S-8 definition of “employee”), and non-employee directors of the Company, may also be selected by the Committee to participate in the Amended 2020 Plan. As of March 31, 2023, the Company and its subsidiaries had approximately 3,294 employees and 1,235 consultants, and the Company had seven non-employee directors. The basis for participation in the Amended 2020 Plan by eligible persons is the selection of such persons by the Committee (or its authorized delegate) in its discretion.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Available for Awards under the Amended 2020 Plan</w:t>
      </w:r>
      <w:r>
        <w:rPr>
          <w:rFonts w:ascii="Arial" w:cs="Arial" w:eastAsia="Arial" w:hAnsi="Arial"/>
          <w:sz w:val="14"/>
          <w:szCs w:val="14"/>
          <w:color w:val="auto"/>
        </w:rPr>
        <w:t>. Subject to adjustment as described in the Amended 2020 Plan and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Amended 2020 Plan share counting rules, the number of Common Shares available under the Amended 2020 Plan for awards of:</w:t>
      </w:r>
    </w:p>
    <w:p>
      <w:pPr>
        <w:spacing w:after="0" w:line="100" w:lineRule="exact"/>
        <w:rPr>
          <w:sz w:val="20"/>
          <w:szCs w:val="20"/>
          <w:color w:val="auto"/>
        </w:rPr>
      </w:pPr>
    </w:p>
    <w:p>
      <w:pPr>
        <w:ind w:left="360" w:hanging="267"/>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stock options or SARs;</w:t>
      </w:r>
    </w:p>
    <w:p>
      <w:pPr>
        <w:spacing w:after="0" w:line="113" w:lineRule="exact"/>
        <w:rPr>
          <w:rFonts w:ascii="Arial" w:cs="Arial" w:eastAsia="Arial" w:hAnsi="Arial"/>
          <w:sz w:val="16"/>
          <w:szCs w:val="16"/>
          <w:color w:val="auto"/>
        </w:rPr>
      </w:pPr>
    </w:p>
    <w:p>
      <w:pPr>
        <w:ind w:left="360" w:hanging="267"/>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restricted stock;</w:t>
      </w:r>
    </w:p>
    <w:p>
      <w:pPr>
        <w:spacing w:after="0" w:line="113" w:lineRule="exact"/>
        <w:rPr>
          <w:rFonts w:ascii="Arial" w:cs="Arial" w:eastAsia="Arial" w:hAnsi="Arial"/>
          <w:sz w:val="16"/>
          <w:szCs w:val="16"/>
          <w:color w:val="auto"/>
        </w:rPr>
      </w:pPr>
    </w:p>
    <w:p>
      <w:pPr>
        <w:ind w:left="360" w:hanging="267"/>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RSUs;</w:t>
      </w:r>
    </w:p>
    <w:p>
      <w:pPr>
        <w:spacing w:after="0" w:line="113" w:lineRule="exact"/>
        <w:rPr>
          <w:rFonts w:ascii="Arial" w:cs="Arial" w:eastAsia="Arial" w:hAnsi="Arial"/>
          <w:sz w:val="16"/>
          <w:szCs w:val="16"/>
          <w:color w:val="auto"/>
        </w:rPr>
      </w:pPr>
    </w:p>
    <w:p>
      <w:pPr>
        <w:ind w:left="360" w:hanging="267"/>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performance shares or performance units;</w:t>
      </w:r>
    </w:p>
    <w:p>
      <w:pPr>
        <w:spacing w:after="0" w:line="113" w:lineRule="exact"/>
        <w:rPr>
          <w:rFonts w:ascii="Arial" w:cs="Arial" w:eastAsia="Arial" w:hAnsi="Arial"/>
          <w:sz w:val="16"/>
          <w:szCs w:val="16"/>
          <w:color w:val="auto"/>
        </w:rPr>
      </w:pPr>
    </w:p>
    <w:p>
      <w:pPr>
        <w:ind w:left="360" w:hanging="267"/>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share-based awards under the Amended 2020 Plan; or</w:t>
      </w:r>
    </w:p>
    <w:p>
      <w:pPr>
        <w:spacing w:after="0" w:line="113" w:lineRule="exact"/>
        <w:rPr>
          <w:rFonts w:ascii="Arial" w:cs="Arial" w:eastAsia="Arial" w:hAnsi="Arial"/>
          <w:sz w:val="16"/>
          <w:szCs w:val="16"/>
          <w:color w:val="auto"/>
        </w:rPr>
      </w:pPr>
    </w:p>
    <w:p>
      <w:pPr>
        <w:ind w:left="360" w:hanging="267"/>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dividend equivalents paid with respect to awards under the Amended 2020 Plan;</w:t>
      </w:r>
    </w:p>
    <w:p>
      <w:pPr>
        <w:spacing w:after="0" w:line="205"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 xml:space="preserve">will not exceed, in the aggregate, 11,618,754 Common Shares (consisting of 6,658,754 Common Shares that were approved by stockholders in 2020 and 4,960,000 Common Shares to be approved by stockholders in 2023)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as of June 9, 2020, one Common Share for every Common Share subject to an award granted under the Predecessor Plans between April 16, 2020 and June 9, 2020,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Common Shares that become available under the Amended 2020 Plan as a result of forfeiture, cancellation, expiration, cash settlement or less-than-maximum earning of awards.</w:t>
      </w:r>
    </w:p>
    <w:p>
      <w:pPr>
        <w:spacing w:after="0" w:line="182"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b w:val="1"/>
          <w:bCs w:val="1"/>
          <w:i w:val="1"/>
          <w:iCs w:val="1"/>
          <w:color w:val="auto"/>
        </w:rPr>
        <w:t>Share Counting</w:t>
      </w:r>
      <w:r>
        <w:rPr>
          <w:rFonts w:ascii="Arial" w:cs="Arial" w:eastAsia="Arial" w:hAnsi="Arial"/>
          <w:sz w:val="16"/>
          <w:szCs w:val="16"/>
          <w:color w:val="auto"/>
        </w:rPr>
        <w:t>. Generally, the aggregate number of Common Shares available under the Amended 2020 Plan will be reduced by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Share for every one Common Share subject to an award granted under the Amended 2020 Plan. Additionally, if after April 16, 2020, any Common Shares subject to an award granted under a Predecessor Plan are forfeited, or an award granted under a Predecessor Plan (in whole or in part) is cancelled or forfeited, expires, is settled for cash, or is unearned, the Common Shares subject to such award will, to the extent of such cancellation, forfeiture, expiration, cash settlement, or unearned amount, be available for awards under the Amended 2020 Plan.</w:t>
      </w:r>
    </w:p>
    <w:p>
      <w:pPr>
        <w:spacing w:after="0" w:line="187" w:lineRule="exact"/>
        <w:rPr>
          <w:sz w:val="20"/>
          <w:szCs w:val="20"/>
          <w:color w:val="auto"/>
        </w:rPr>
      </w:pPr>
    </w:p>
    <w:p>
      <w:pPr>
        <w:jc w:val="both"/>
        <w:ind w:right="100"/>
        <w:spacing w:after="0" w:line="245" w:lineRule="auto"/>
        <w:rPr>
          <w:sz w:val="20"/>
          <w:szCs w:val="20"/>
          <w:color w:val="auto"/>
        </w:rPr>
      </w:pPr>
      <w:r>
        <w:rPr>
          <w:rFonts w:ascii="Arial" w:cs="Arial" w:eastAsia="Arial" w:hAnsi="Arial"/>
          <w:sz w:val="16"/>
          <w:szCs w:val="16"/>
          <w:b w:val="1"/>
          <w:bCs w:val="1"/>
          <w:i w:val="1"/>
          <w:iCs w:val="1"/>
          <w:color w:val="auto"/>
        </w:rPr>
        <w:t>Types of Awards Under the Amended 2020 Plan</w:t>
      </w:r>
      <w:r>
        <w:rPr>
          <w:rFonts w:ascii="Arial" w:cs="Arial" w:eastAsia="Arial" w:hAnsi="Arial"/>
          <w:sz w:val="16"/>
          <w:szCs w:val="16"/>
          <w:color w:val="auto"/>
        </w:rPr>
        <w:t>. Pursuant to the Amended 2020 Plan, the Company may grant cash awards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options (including stock options intended to be “incentive stock options” as defined in Section 422 of the Code (“Incentive Stock Options”)), SARs, restricted stock, RSUs, performance shares, performance units, and certain other awards based on or related to our Common Shares.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35</w:t>
      </w:r>
    </w:p>
    <w:p>
      <w:pPr>
        <w:sectPr>
          <w:pgSz w:w="11900" w:h="16838" w:orient="portrait"/>
          <w:cols w:equalWidth="0" w:num="1">
            <w:col w:w="9320"/>
          </w:cols>
          <w:pgMar w:left="1280" w:top="296" w:right="1299" w:bottom="1440" w:gutter="0" w:footer="0" w:header="0"/>
        </w:sectPr>
      </w:pPr>
    </w:p>
    <w:bookmarkStart w:id="41" w:name="page42"/>
    <w:bookmarkEnd w:id="41"/>
    <w:p>
      <w:pPr>
        <w:ind w:right="80"/>
        <w:spacing w:after="0" w:line="24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Generally, each grant of an award under the Amended 2020 Plan will be evidenced by an award agreement, certificate, resolution or other type or form of writing or other evidence approved by the Committee (an “Evidence of Award”), which will contain such terms and provisions as the Committee may determine, consistent with the Amended 2020 Plan. A brief description of the types of awards which may be granted under the Amended 2020 Plan is set forth below.</w:t>
      </w:r>
    </w:p>
    <w:p>
      <w:pPr>
        <w:spacing w:after="0" w:line="181"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A stock option is a right to purchase Common Shares upon exercise of the stock option. Stock options granted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under the Amended 2020 Plan may consist of either an Incentive Stock Option, a non-qualified stock option that is not intended to be an “incentive stock option” under Section 422 of the Code, or a combination of both. Incentive Stock Options may only be granted to employees of the Company or certain of our related corporations. Except with respect to awards issued in substitution for, in conversion of, or in connection with an assumption of stock options held by awardees of an entity engaging in a corporate acquisition or merger with us or any of our subsidiaries, Incentive Stock Options and non-qualified stock options must have an exercise price per share that is not less than the fair market value of a Common Share on the date of grant. The term of a stock option may not extend more than 10 years from the date of grant. The Committee may provide in an Evidence of Award for the automatic exercise of a stock option.</w:t>
      </w:r>
    </w:p>
    <w:p>
      <w:pPr>
        <w:spacing w:after="0" w:line="190"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Each grant of a stock option will specify the applicable terms of the stock option, including the number of Common Shares subject to the stock option and the required period or periods of the participant’s continuous service, if any, before any stock option or portion of a stock option will become exercisable. Stock options may provide for continued vesting or the earlier vesting of such stock options, including in the event of the retirement, death, disability or termination of employment or service of a participant or in the event of a change in control.</w:t>
      </w:r>
    </w:p>
    <w:p>
      <w:pPr>
        <w:spacing w:after="0" w:line="182"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Any grant of stock options may specify management objectives regarding the vesting of the stock options. Each grant will specify whether the consideration to be paid in satisfaction of the exercise price will be payable: (1) in cash, by check acceptable to the Company, or by wire transfer of immediately available funds; (2) by the actual or constructive transfer to the Company of Common Shares owned by the participant with a value at the time of exercise that is equal to the total exercise price; (3) subject to any conditions or limitations established by the Committee, by a net exercise arrangement pursuant to which the Company will withhold Common Shares otherwise issuable upon exercise of a stock option; (4) by a combination of the foregoing methods; or (5) by such other methods as may be approved by the Committee. To the extent permitted by law, any grant may provide for deferred payment of the exercise price from the proceeds of a sale through a bank or broker of some or all of the shares to which the exercise relates. Stock options granted under the Amended 2020 Plan may not provide for dividends or dividend equivalents.</w:t>
      </w:r>
    </w:p>
    <w:p>
      <w:pPr>
        <w:spacing w:after="0" w:line="190"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i w:val="1"/>
          <w:iCs w:val="1"/>
          <w:color w:val="auto"/>
        </w:rPr>
        <w:t>SARs</w:t>
      </w:r>
      <w:r>
        <w:rPr>
          <w:rFonts w:ascii="Arial" w:cs="Arial" w:eastAsia="Arial" w:hAnsi="Arial"/>
          <w:sz w:val="16"/>
          <w:szCs w:val="16"/>
          <w:color w:val="auto"/>
        </w:rPr>
        <w:t>. The Committee may, from time to time and upon such terms and conditions as it may determine, authorize the granting of SARs.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SAR is a right to receive from us an amount equal to 100%, or such lesser percentage as the Committee may determine, of the spread between the base price and the value of our Common Shares on the date of exercise.</w:t>
      </w:r>
    </w:p>
    <w:p>
      <w:pPr>
        <w:spacing w:after="0" w:line="178"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color w:val="auto"/>
        </w:rPr>
        <w:t>Each grant of SARs will specify the period or periods of continuous service, if any, by the participant with the Company or any subsidiary that is necessary before the SARs or installments of such SARs will become exercisable. SARs may provide for continued vesting or the earlier vesting of such SARs, including in the event of the retirement, death, disability or termination of employment or service of a participant or in the event of a change in control. Any grant of SARs may specify management objectives regarding the vesting of such SARs. A SAR may be paid in cash, Common Shares or any combination of the two.</w:t>
      </w:r>
    </w:p>
    <w:p>
      <w:pPr>
        <w:spacing w:after="0" w:line="182"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Except with respect to awards issued in substitution for, in conversion of, or in connection with an assumption of SARs held by awardees of an entity engaging in a corporate acquisition or merger with us or any of our subsidiaries, the base price of a SAR may not be less than the fair market value of a Common Share on the date of grant. The term of a SAR may not extend more than 10 years from the date of grant. The Committee may provide in an Evidence of Award for the automatic exercise of a SAR. SARs granted under the Amended 2020 Plan may not provide for dividends or dividend equivalents.</w:t>
      </w:r>
    </w:p>
    <w:p>
      <w:pPr>
        <w:spacing w:after="0" w:line="182"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Restricted stock constitutes an immediate transfer of the ownership of Common Shares to the participant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of the performance of services, entitling such participant to dividend, voting and other ownership rights, subject to the substantial risk of forfeiture and restrictions on transfer determined by the Committee for a period of time determined by the Committee or until certain management objectives specified by the Committee are achieved. Each such grant or sale of restricted stock may be made without additional consideration or in consideration of a payment by the participant that is less than the fair market value per Common Share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85090</wp:posOffset>
            </wp:positionV>
            <wp:extent cx="699135" cy="1314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36</w:t>
      </w:r>
    </w:p>
    <w:p>
      <w:pPr>
        <w:sectPr>
          <w:pgSz w:w="11900" w:h="16838" w:orient="portrait"/>
          <w:cols w:equalWidth="0" w:num="1">
            <w:col w:w="9320"/>
          </w:cols>
          <w:pgMar w:left="1280" w:top="296" w:right="1299" w:bottom="1440" w:gutter="0" w:footer="0" w:header="0"/>
        </w:sectPr>
      </w:pPr>
    </w:p>
    <w:bookmarkStart w:id="42" w:name="page43"/>
    <w:bookmarkEnd w:id="42"/>
    <w:p>
      <w:pPr>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Restricted stock may provide for continued vesting or the earlier vesting of such restricted stock, including in the event of the retirement, death, disability or termination of employment or service of a participant or in the event of a change in control.</w:t>
      </w:r>
    </w:p>
    <w:p>
      <w:pPr>
        <w:spacing w:after="0" w:line="167"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Any grant of restricted stock may specify management objectives regarding the vesting of the restricted stock. Any grant of restricted stock may require that any and all dividends or distributions paid on restricted stock that remains subject to a substantial risk of forfeiture be automatically deferred and/or reinvested in additional restricted stock, which will be subject to the same restrictions as the underlying restricted stock. Any such dividends or other distributions on restricted stock will be deferred until, and paid contingent upon, the vesting of such restricted stock.</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16"/>
          <w:szCs w:val="16"/>
          <w:b w:val="1"/>
          <w:bCs w:val="1"/>
          <w:i w:val="1"/>
          <w:iCs w:val="1"/>
          <w:color w:val="auto"/>
        </w:rPr>
        <w:t>RSUs</w:t>
      </w:r>
      <w:r>
        <w:rPr>
          <w:rFonts w:ascii="Arial" w:cs="Arial" w:eastAsia="Arial" w:hAnsi="Arial"/>
          <w:sz w:val="16"/>
          <w:szCs w:val="16"/>
          <w:color w:val="auto"/>
        </w:rPr>
        <w:t>. RSUs awarded under the Amended 2020 Plan constitute an agreement by the Company to deliver Common Shares, cash, 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of the two, to the participant in the future in consideration of the performance of services, but subject to the fulfillment of such conditions (which may include achievement regarding management objectives) during the restriction period as the Committee may specify. Each grant or sale of RSUs may be made without additional consideration or in consideration of a payment by the participant that is less than the fair market value of our Common Shares on the date of grant.</w:t>
      </w:r>
    </w:p>
    <w:p>
      <w:pPr>
        <w:spacing w:after="0" w:line="182"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RSUs may provide for continued vesting or the earlier lapse or other modification of the restriction period, including in the event of the retirement, death, disability or termination or employment of service of a participant or in the event of a change in control.</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During the restriction period applicable to RSUs, the participant will have no right to transfer any rights under the award and will have no rights of ownership in the Common Shares deliverable upon payment of the RSUs and no right to vote them. Rights to dividend equivalents may be extended to and made part of any RSU award at the discretion of and on the terms determined by the Committee, on a deferred and contingent basis, either in cash or in additional Common Shares, but dividend equivalents or other distributions on Common Shares underlying the RSUs will be deferred until and paid contingent upon vesting of such RSUs. Each grant or sale of RSUs will specify the time and manner of payment of the RSUs that have been earned. An RSU may be paid in cash, Common Shares or any combination of the two.</w:t>
      </w:r>
    </w:p>
    <w:p>
      <w:pPr>
        <w:spacing w:after="0" w:line="188"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b w:val="1"/>
          <w:bCs w:val="1"/>
          <w:i w:val="1"/>
          <w:iCs w:val="1"/>
          <w:color w:val="auto"/>
        </w:rPr>
        <w:t>Performance Shares, Performance Units and Cash Incentive Awards</w:t>
      </w:r>
      <w:r>
        <w:rPr>
          <w:rFonts w:ascii="Arial" w:cs="Arial" w:eastAsia="Arial" w:hAnsi="Arial"/>
          <w:sz w:val="16"/>
          <w:szCs w:val="16"/>
          <w:color w:val="auto"/>
        </w:rPr>
        <w:t>. Performance shares, performance units and cash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may also be granted to participants under the Amended 2020 Plan. A performance share is a bookkeeping entry that records the equivalent of one Common Share, and a performance unit is a bookkeeping entry that records a unit equivalent to $1.00 or such other value as determined by the Committee. Each grant will specify the number or amount of performance shares or performance units, or the amount payable with respect to a cash incentive award being awarded, which number or amount may be subject to adjustment to reflect changes in compensation or other factors.</w:t>
      </w:r>
    </w:p>
    <w:p>
      <w:pPr>
        <w:spacing w:after="0" w:line="187" w:lineRule="exact"/>
        <w:rPr>
          <w:sz w:val="20"/>
          <w:szCs w:val="20"/>
          <w:color w:val="auto"/>
        </w:rPr>
      </w:pPr>
    </w:p>
    <w:p>
      <w:pPr>
        <w:ind w:right="400"/>
        <w:spacing w:after="0" w:line="263" w:lineRule="auto"/>
        <w:rPr>
          <w:sz w:val="20"/>
          <w:szCs w:val="20"/>
          <w:color w:val="auto"/>
        </w:rPr>
      </w:pPr>
      <w:r>
        <w:rPr>
          <w:rFonts w:ascii="Arial" w:cs="Arial" w:eastAsia="Arial" w:hAnsi="Arial"/>
          <w:sz w:val="16"/>
          <w:szCs w:val="16"/>
          <w:color w:val="auto"/>
        </w:rPr>
        <w:t>Each grant of a cash incentive award, performance shares or performance units will specify management objectives regarding the earning of the award.</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The performance period with respect to each cash incentive award or grant of performance shares or performance units will be a period of time determined by the Committee and within which the management objectives relating to such award are to be achieved, which may be subject to continued vesting or earlier lapse or other modification, including in the event of the retirement, death, disability or termination of employment or service of a participant or in the event of a change in control. Each grant will specify the time and manner of payment of performance shares, performance units or a cash incentive award that has been earned.</w:t>
      </w:r>
    </w:p>
    <w:p>
      <w:pPr>
        <w:spacing w:after="0" w:line="154" w:lineRule="exact"/>
        <w:rPr>
          <w:sz w:val="20"/>
          <w:szCs w:val="20"/>
          <w:color w:val="auto"/>
        </w:rPr>
      </w:pPr>
    </w:p>
    <w:p>
      <w:pPr>
        <w:ind w:right="360"/>
        <w:spacing w:after="0" w:line="302" w:lineRule="auto"/>
        <w:rPr>
          <w:sz w:val="20"/>
          <w:szCs w:val="20"/>
          <w:color w:val="auto"/>
        </w:rPr>
      </w:pPr>
      <w:r>
        <w:rPr>
          <w:rFonts w:ascii="Arial" w:cs="Arial" w:eastAsia="Arial" w:hAnsi="Arial"/>
          <w:sz w:val="14"/>
          <w:szCs w:val="14"/>
          <w:color w:val="auto"/>
        </w:rPr>
        <w:t>Any grant of performance shares or performance units may provide for the payment of dividend equivalents in cash or in additional Common Shares, subject to deferral and payment on a contingent basis based on the participant’s earning and vesting of the performance shares or performance units, as applicable, with respect to which such dividend equivalents are paid.</w:t>
      </w:r>
    </w:p>
    <w:p>
      <w:pPr>
        <w:spacing w:after="0" w:line="143"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b w:val="1"/>
          <w:bCs w:val="1"/>
          <w:i w:val="1"/>
          <w:iCs w:val="1"/>
          <w:color w:val="auto"/>
        </w:rPr>
        <w:t>Other Awards</w:t>
      </w:r>
      <w:r>
        <w:rPr>
          <w:rFonts w:ascii="Arial" w:cs="Arial" w:eastAsia="Arial" w:hAnsi="Arial"/>
          <w:sz w:val="16"/>
          <w:szCs w:val="16"/>
          <w:color w:val="auto"/>
        </w:rPr>
        <w:t>. Subject to applicable law and applicable share limits under the Amended 2020 Plan, the Committee may grant to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Common Shares or such other awards (“Other Awards”) that may be denominated or payable in, valued in whole or in part by reference to, or otherwise based on, or related to, Common Shares or factors that may influence the value of such Common Shares, including, without limitation, convertible or exchangeable debt securities, other rights convertible or</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37</w:t>
      </w:r>
    </w:p>
    <w:p>
      <w:pPr>
        <w:sectPr>
          <w:pgSz w:w="11900" w:h="16838" w:orient="portrait"/>
          <w:cols w:equalWidth="0" w:num="1">
            <w:col w:w="9320"/>
          </w:cols>
          <w:pgMar w:left="1280" w:top="296" w:right="1299" w:bottom="1440" w:gutter="0" w:footer="0" w:header="0"/>
        </w:sectPr>
      </w:pPr>
    </w:p>
    <w:bookmarkStart w:id="43" w:name="page44"/>
    <w:bookmarkEnd w:id="43"/>
    <w:p>
      <w:pPr>
        <w:ind w:right="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exchangeable into Common Shares, purchase rights for Common Shares, awards with value and payment contingent upon performance of the Company or specified subsidiaries, affiliates or other business units or any other factors designated by the Committee, and awards valued by reference to the book value of the Common Shares or the value of securities of, or the performance of the subsidiaries, affiliates or other business units of the Company. The terms and conditions of any such awards will be determined by the Committee. Common Shares delivered under such an award in the nature of a purchase right granted under the Amended 2020 Plan will be purchased for such consideration, paid for at such time, by such methods, and in such forms, including, without limitation, cash, Common Shares, other awards, notes or other property, as the Committee determines.</w:t>
      </w:r>
    </w:p>
    <w:p>
      <w:pPr>
        <w:spacing w:after="0" w:line="188"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In addition, the Committee may grant cash awards, as an element of or supplement to any other awards granted under the Amended 2020 Plan. The Committee may also authorize the grant of Common Shares as a bonus, or may authorize the grant of Other Awards in lieu of obligations of the Company or a subsidiary to pay cash or deliver other property under the Amended 2020 Plan or under other plans or compensatory arrangements, subject to terms determined by the Committee in a manner that complies with Section 409A of the Code.</w:t>
      </w:r>
    </w:p>
    <w:p>
      <w:pPr>
        <w:spacing w:after="0" w:line="18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Committee may provide for the payment of dividends or dividend equivalents on Other Awards in cash or in additional Common Shares, subject to deferral and payment on a contingent basis based on the participant’s earning and vesting of the Other Awards wish respect to which such dividends or dividend equivalents are paid.</w:t>
      </w:r>
    </w:p>
    <w:p>
      <w:pPr>
        <w:spacing w:after="0" w:line="178" w:lineRule="exact"/>
        <w:rPr>
          <w:sz w:val="20"/>
          <w:szCs w:val="20"/>
          <w:color w:val="auto"/>
        </w:rPr>
      </w:pPr>
    </w:p>
    <w:p>
      <w:pPr>
        <w:jc w:val="both"/>
        <w:ind w:right="160"/>
        <w:spacing w:after="0" w:line="335" w:lineRule="auto"/>
        <w:rPr>
          <w:sz w:val="20"/>
          <w:szCs w:val="20"/>
          <w:color w:val="auto"/>
        </w:rPr>
      </w:pPr>
      <w:r>
        <w:rPr>
          <w:rFonts w:ascii="Arial" w:cs="Arial" w:eastAsia="Arial" w:hAnsi="Arial"/>
          <w:sz w:val="14"/>
          <w:szCs w:val="14"/>
          <w:color w:val="auto"/>
        </w:rPr>
        <w:t>Other Awards may provide for the earning or vesting of, or earlier elimination of restrictions applicable to, such award, including in the event of the retirement, death, disability or termination of employment or service of a participant or in the event of a change in control.</w:t>
      </w:r>
    </w:p>
    <w:p>
      <w:pPr>
        <w:spacing w:after="0" w:line="120"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The Amended 2020 Plan includes a definition of “change in control.” In general, except as may be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prescribed by the Committee in an Evidence of Award, a change in control will be deemed to have occurred upon the occurrence (after June 9, 2020) of any of the following events (subject to certain exceptions and limitations and as further described in the Amended 2020 Plan): (1) an individual, entity or group becomes the beneficial owner of 20% or more of the combined voting power of the then-outstanding voting securities of the Company entitled to vote generally in the election of directors; (2) individuals who, as of June 9, 2020, constitute the Board cease to constitute a majority of the Board, unless their replacements are approved as described in the Amended 2020 Plan; (3) consummation of a reorganization, merger, statutory share exchange or consolidation or similar transaction involving the Company or any of its subsidiaries, a sale or other disposition of all or substantially all of the assets of the Company, or the acquisition of assets or stock of another entity by the Company or any of its subsidiaries; or (4) approval by the stockholders of a complete liquidation or dissolution of the Company.</w:t>
      </w:r>
    </w:p>
    <w:p>
      <w:pPr>
        <w:spacing w:after="0" w:line="188"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b w:val="1"/>
          <w:bCs w:val="1"/>
          <w:i w:val="1"/>
          <w:iCs w:val="1"/>
          <w:color w:val="auto"/>
        </w:rPr>
        <w:t>Management Objectives</w:t>
      </w:r>
      <w:r>
        <w:rPr>
          <w:rFonts w:ascii="Arial" w:cs="Arial" w:eastAsia="Arial" w:hAnsi="Arial"/>
          <w:sz w:val="16"/>
          <w:szCs w:val="16"/>
          <w:color w:val="auto"/>
        </w:rPr>
        <w:t>. The Amended 2020 Plan generally provides that any of the awards set forth above may be granted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achievement of specified management objectives. Management objectives are defined as the measurable performance objective or objectives established pursuant to the Amended 2020 Plan for participants who have received grants of performance shares, performance units or cash incentive awards or, when so determined by the Committee, stock options, SARs, restricted stock, RSUs, dividend equivalents or Other Awards.</w:t>
      </w:r>
    </w:p>
    <w:p>
      <w:pPr>
        <w:spacing w:after="0" w:line="182" w:lineRule="exact"/>
        <w:rPr>
          <w:sz w:val="20"/>
          <w:szCs w:val="20"/>
          <w:color w:val="auto"/>
        </w:rPr>
      </w:pPr>
    </w:p>
    <w:p>
      <w:pPr>
        <w:ind w:right="280"/>
        <w:spacing w:after="0" w:line="245" w:lineRule="auto"/>
        <w:rPr>
          <w:sz w:val="20"/>
          <w:szCs w:val="20"/>
          <w:color w:val="auto"/>
        </w:rPr>
      </w:pPr>
      <w:r>
        <w:rPr>
          <w:rFonts w:ascii="Arial" w:cs="Arial" w:eastAsia="Arial" w:hAnsi="Arial"/>
          <w:sz w:val="16"/>
          <w:szCs w:val="16"/>
          <w:color w:val="auto"/>
        </w:rPr>
        <w:t>Additionally,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in whole or in part, as the Committee deems appropriate and equitable.</w:t>
      </w:r>
    </w:p>
    <w:p>
      <w:pPr>
        <w:spacing w:after="0" w:line="181"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Transferability of Awards</w:t>
      </w:r>
      <w:r>
        <w:rPr>
          <w:rFonts w:ascii="Arial" w:cs="Arial" w:eastAsia="Arial" w:hAnsi="Arial"/>
          <w:sz w:val="14"/>
          <w:szCs w:val="14"/>
          <w:color w:val="auto"/>
        </w:rPr>
        <w:t>. Except as otherwise provided by the Committee, and subject to the terms of the Amended 2020 Plan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respect to Section 409A of the Code, no stock option, SAR, restricted stock, RSU, performance share, performance unit, cash incentive award, Other Award or dividend equivalents paid with respect to awards made under the Amended 2020 Plan will be transferrable by a participant except by will or the laws of descent and distribution. In no event will any such award granted under the Amended 2020 Plan be transferred for value. Except as otherwise determined by the Committee, stock options and SARs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66040</wp:posOffset>
            </wp:positionV>
            <wp:extent cx="699135" cy="1314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38</w:t>
      </w:r>
    </w:p>
    <w:p>
      <w:pPr>
        <w:sectPr>
          <w:pgSz w:w="11900" w:h="16838" w:orient="portrait"/>
          <w:cols w:equalWidth="0" w:num="1">
            <w:col w:w="9300"/>
          </w:cols>
          <w:pgMar w:left="1280" w:top="296" w:right="1319" w:bottom="1440" w:gutter="0" w:footer="0" w:header="0"/>
        </w:sectPr>
      </w:pPr>
    </w:p>
    <w:bookmarkStart w:id="44" w:name="page45"/>
    <w:bookmarkEnd w:id="44"/>
    <w:p>
      <w:pPr>
        <w:ind w:right="300"/>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The Committee may specify on the grant date that all or part of the Common Shares that are subject to awards under the Amended 2020 Plan will be subject to further restrictions on transfer, including minimum holding periods.</w:t>
      </w:r>
    </w:p>
    <w:p>
      <w:pPr>
        <w:spacing w:after="0" w:line="167"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b w:val="1"/>
          <w:bCs w:val="1"/>
          <w:i w:val="1"/>
          <w:iCs w:val="1"/>
          <w:color w:val="auto"/>
        </w:rPr>
        <w:t>Adjustments; Corporate Transactions</w:t>
      </w:r>
      <w:r>
        <w:rPr>
          <w:rFonts w:ascii="Arial" w:cs="Arial" w:eastAsia="Arial" w:hAnsi="Arial"/>
          <w:sz w:val="14"/>
          <w:szCs w:val="14"/>
          <w:color w:val="auto"/>
        </w:rPr>
        <w:t>. The Committee will make or provide for such adjustments in: (1) the number of and kind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Common Shares covered by outstanding stock options, SARs, restricted stock, RSUs, performance shares and performance units granted under the Amended 2020 Plan; (2) if applicable, the number of and kind of Common Shares covered by Other Awards granted pursuant to the Amended 2020 Plan; (3) the exercise price or base price provided in outstanding stock options and SARs, respectively;</w:t>
      </w:r>
    </w:p>
    <w:p>
      <w:pPr>
        <w:spacing w:after="0" w:line="1" w:lineRule="exact"/>
        <w:rPr>
          <w:sz w:val="20"/>
          <w:szCs w:val="20"/>
          <w:color w:val="auto"/>
        </w:rPr>
      </w:pPr>
    </w:p>
    <w:p>
      <w:pPr>
        <w:ind w:right="80" w:firstLine="2"/>
        <w:spacing w:after="0" w:line="238" w:lineRule="auto"/>
        <w:tabs>
          <w:tab w:leader="none" w:pos="233"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cash incentive awards; and (5) other award terms, as the Committee in its sole discretion, exercised in good faith determines to be equitably required in order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spin-out, split-off, split-up, reorganization, partial or complete liquidation or other distribution of assets, issuance of rights or warrants to purchase securities; or (c) any other corporate transaction or event having an effect similar to any of the foregoing.</w:t>
      </w:r>
    </w:p>
    <w:p>
      <w:pPr>
        <w:spacing w:after="0" w:line="18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the event of any such transaction or event, or in the event of a change in control of the Company, the Committee may provide in substitution for any or all outstanding awards under the Amended 2020 Plan such alternative consideration (including cash), if any, as it may in good faith determine to be equitable under the circumstances and will require in connection therewith the surrender of all awards so replaced in a manner that complies with Section 409A of the Code. In addition, for each stock option or SAR with an exercise price or base price, respectively, greater than the consideration offered in connection with any such transaction or event or change in control of the Company, the Committee may in its discretion elect to cancel such stock option or SAR without any payment to the person holding such stock option or SAR. The Committee will make or provide for such adjustments to the number of Common Shares available under the Amended 2020 Plan and the share limits of the Amended 2020 Plan as the Committee in its sole discretion may in good faith determine to be appropriate to reflect such transaction or event. However, any adjustment to the limit on the number of Common Shares that may be issued upon exercise of Incentive Stock Options will be made only if and to the extent such adjustment would not cause any stock option intended to qualify as an Incentive Stock Option to fail to so qualify.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Prohibition on Repricing</w:t>
      </w:r>
      <w:r>
        <w:rPr>
          <w:rFonts w:ascii="Arial" w:cs="Arial" w:eastAsia="Arial" w:hAnsi="Arial"/>
          <w:sz w:val="16"/>
          <w:szCs w:val="16"/>
          <w:color w:val="auto"/>
        </w:rPr>
        <w:t>. Except in connection with certain corporate transactions or changes in the capital structure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in connection with a change in control, the terms of outstanding awards may not be amended to (1) reduce the exercise price or base price of outstanding stock options or SARs, respectively, or (2) cancel outstanding “underwater” stock options or SARs in exchange for cash, other awards or stock options or SARs with an exercise price or base price, as applicable, that is less than the exercise price or base price of the original stock options or SARs, as applicable, without stockholder approval. The Amended 2020 Plan specifically provides that this provision is intended to prohibit the repricing of “underwater” stock options and SARs and that it may not be amended without approval by our stockholders.</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6"/>
          <w:szCs w:val="16"/>
          <w:b w:val="1"/>
          <w:bCs w:val="1"/>
          <w:i w:val="1"/>
          <w:iCs w:val="1"/>
          <w:color w:val="auto"/>
        </w:rPr>
        <w:t>Detrimental Activity and Recapture</w:t>
      </w:r>
      <w:r>
        <w:rPr>
          <w:rFonts w:ascii="Arial" w:cs="Arial" w:eastAsia="Arial" w:hAnsi="Arial"/>
          <w:sz w:val="16"/>
          <w:szCs w:val="16"/>
          <w:color w:val="auto"/>
        </w:rPr>
        <w:t>. Any Evidence of Award may reference a clawback policy of the Company or provide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cancellation or forfeiture of an award or forfeiture and repayment to us of any gain related to an award, or include other provisions intended to have a similar effect, upon such terms and conditions as may be determined by the Committee or the Board from time to time or as required by applicable law or any applicable rules or regulations promulgated by the Securities and Exchange Commission or any national securities exchange or national securities association on which the Common Shares may be traded. In addition, any Evidence of Award or such clawback policy may provide for cancellation or forfeiture of an award or the forfeiture and repayment of any Common Shares issued under and/or any other benefit related to an award, or include other provisions intended to have a similar effect, including upon such terms and conditions as may be required by the Committee or the Board or under Section 10D of the Exchange Act and/or any applicable rules and regulations promulgated by the Securities and Exchange Commission or any national securities exchange or national securities association on which the Common Shares may be traded.</w:t>
      </w:r>
    </w:p>
    <w:p>
      <w:pPr>
        <w:spacing w:after="0" w:line="188"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b w:val="1"/>
          <w:bCs w:val="1"/>
          <w:i w:val="1"/>
          <w:iCs w:val="1"/>
          <w:color w:val="auto"/>
        </w:rPr>
        <w:t>Grants to Non-U.S. Based Participants</w:t>
      </w:r>
      <w:r>
        <w:rPr>
          <w:rFonts w:ascii="Arial" w:cs="Arial" w:eastAsia="Arial" w:hAnsi="Arial"/>
          <w:sz w:val="16"/>
          <w:szCs w:val="16"/>
          <w:color w:val="auto"/>
        </w:rPr>
        <w:t>. In order to facilitate the making of any grant or combination of grants under the Amended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Plan, the Committee may provide for such special terms for awards to participants who are foreign nationals, who are employed by the Company or any of its subsidiaries outside of the United States of America or who provide services to the Company or any of its subsidiaries under an agreement with a foreign nation or agency, as the Committee may consider necessary or appropriate to accommodate differences in local law, tax policy or custom. The Committee may approve such supplements to, or amendments, restatements or alternative versions of, the Amended 2020 Plan (including sub-plans) (to be</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39</w:t>
      </w:r>
    </w:p>
    <w:p>
      <w:pPr>
        <w:sectPr>
          <w:pgSz w:w="11900" w:h="16838" w:orient="portrait"/>
          <w:cols w:equalWidth="0" w:num="1">
            <w:col w:w="9320"/>
          </w:cols>
          <w:pgMar w:left="1280" w:top="296" w:right="1299" w:bottom="1440" w:gutter="0" w:footer="0" w:header="0"/>
        </w:sectPr>
      </w:pPr>
    </w:p>
    <w:bookmarkStart w:id="45" w:name="page46"/>
    <w:bookmarkEnd w:id="45"/>
    <w:p>
      <w:pPr>
        <w:ind w:right="280"/>
        <w:spacing w:after="0" w:line="24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considered a part of the Amended 2020 Plan) as it may consider necessary or appropriate for such purposes, provided that no such special terms, supplements, amendments or restatements will include any provisions that are inconsistent with the terms of the Amended 2020 Plan as then in effect unless the Amended 2020 Plan could have been amended to eliminate such inconsistency without further approval by our stockholders.</w:t>
      </w:r>
    </w:p>
    <w:p>
      <w:pPr>
        <w:spacing w:after="0" w:line="181" w:lineRule="exact"/>
        <w:rPr>
          <w:sz w:val="20"/>
          <w:szCs w:val="20"/>
          <w:color w:val="auto"/>
        </w:rPr>
      </w:pPr>
    </w:p>
    <w:p>
      <w:pPr>
        <w:ind w:right="80"/>
        <w:spacing w:after="0" w:line="274" w:lineRule="auto"/>
        <w:rPr>
          <w:sz w:val="20"/>
          <w:szCs w:val="20"/>
          <w:color w:val="auto"/>
        </w:rPr>
      </w:pPr>
      <w:r>
        <w:rPr>
          <w:rFonts w:ascii="Arial" w:cs="Arial" w:eastAsia="Arial" w:hAnsi="Arial"/>
          <w:sz w:val="14"/>
          <w:szCs w:val="14"/>
          <w:b w:val="1"/>
          <w:bCs w:val="1"/>
          <w:i w:val="1"/>
          <w:iCs w:val="1"/>
          <w:color w:val="auto"/>
        </w:rPr>
        <w:t>Withholding</w:t>
      </w:r>
      <w:r>
        <w:rPr>
          <w:rFonts w:ascii="Arial" w:cs="Arial" w:eastAsia="Arial" w:hAnsi="Arial"/>
          <w:sz w:val="14"/>
          <w:szCs w:val="14"/>
          <w:color w:val="auto"/>
        </w:rPr>
        <w:t>. To the extent the Company is required to withhold federal, state, local or foreign taxes or other amounts in connection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any payment made or benefit realized by a participant or other person under the Amended 2020 Plan, and the amounts available to us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Common Shares, and such participant fails to make arrangements for the payment of taxes or other amounts, then, unless otherwise determined by the Committee, we will withhold Common Shares having a value equal to the amount required to be withheld. When a participant is required to pay the Company an amount required to be withheld under applicable income, employment, tax or other laws, the participant may elect, unless otherwise determined by the Committee, to satisfy the obligation, in whole or in part, by having withheld, from the shares required to be delivered to the participant, Common Shares having a value equal to the amount required to be withheld or by delivering to us other Common Shares held by such participant. The Common Shares used for tax or other withholding will be valued at an amount equal to the fair market value of such Common Shares on the date the benefit is to be included in the participant’s income. In no event will the fair market value of the Common Shares to be withheld and delivered pursuant to the Amended 2020 Plan exceed the minimum amount required to be withheld, unless such additional withholding amount is authorized by the Committee. Participants will also make such arrangements as the Company may require for the payment of any withholding tax or other obligation that may arise in connection with the disposition of Common Shares acquired upon the exercise of stock options.</w:t>
      </w:r>
    </w:p>
    <w:p>
      <w:pPr>
        <w:spacing w:after="0" w:line="349" w:lineRule="exact"/>
        <w:rPr>
          <w:sz w:val="20"/>
          <w:szCs w:val="20"/>
          <w:color w:val="auto"/>
        </w:rPr>
      </w:pPr>
    </w:p>
    <w:p>
      <w:pPr>
        <w:ind w:right="640"/>
        <w:spacing w:after="0" w:line="263" w:lineRule="auto"/>
        <w:rPr>
          <w:sz w:val="20"/>
          <w:szCs w:val="20"/>
          <w:color w:val="auto"/>
        </w:rPr>
      </w:pPr>
      <w:r>
        <w:rPr>
          <w:rFonts w:ascii="Arial" w:cs="Arial" w:eastAsia="Arial" w:hAnsi="Arial"/>
          <w:sz w:val="16"/>
          <w:szCs w:val="16"/>
          <w:b w:val="1"/>
          <w:bCs w:val="1"/>
          <w:i w:val="1"/>
          <w:iCs w:val="1"/>
          <w:color w:val="auto"/>
        </w:rPr>
        <w:t>No Right to Continued Employment</w:t>
      </w:r>
      <w:r>
        <w:rPr>
          <w:rFonts w:ascii="Arial" w:cs="Arial" w:eastAsia="Arial" w:hAnsi="Arial"/>
          <w:sz w:val="16"/>
          <w:szCs w:val="16"/>
          <w:color w:val="auto"/>
        </w:rPr>
        <w:t>. The Amended 2020 Plan does not confer upon any participant any right with respect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continuance of employment or service with the Company or any of its subsidiaries.</w:t>
      </w:r>
    </w:p>
    <w:p>
      <w:pPr>
        <w:spacing w:after="0" w:line="167" w:lineRule="exact"/>
        <w:rPr>
          <w:sz w:val="20"/>
          <w:szCs w:val="20"/>
          <w:color w:val="auto"/>
        </w:rPr>
      </w:pPr>
    </w:p>
    <w:p>
      <w:pPr>
        <w:ind w:right="300"/>
        <w:spacing w:after="0" w:line="263" w:lineRule="auto"/>
        <w:rPr>
          <w:sz w:val="20"/>
          <w:szCs w:val="20"/>
          <w:color w:val="auto"/>
        </w:rPr>
      </w:pPr>
      <w:r>
        <w:rPr>
          <w:rFonts w:ascii="Arial" w:cs="Arial" w:eastAsia="Arial" w:hAnsi="Arial"/>
          <w:sz w:val="16"/>
          <w:szCs w:val="16"/>
          <w:b w:val="1"/>
          <w:bCs w:val="1"/>
          <w:i w:val="1"/>
          <w:iCs w:val="1"/>
          <w:color w:val="auto"/>
        </w:rPr>
        <w:t>Effective Date of the Amended 2020 Plan</w:t>
      </w:r>
      <w:r>
        <w:rPr>
          <w:rFonts w:ascii="Arial" w:cs="Arial" w:eastAsia="Arial" w:hAnsi="Arial"/>
          <w:sz w:val="16"/>
          <w:szCs w:val="16"/>
          <w:color w:val="auto"/>
        </w:rPr>
        <w:t>. The 2020 Equity Plan became effective on June 9, 2020. The Amended 2020 Plan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become effective on the date it is approved by the Company’s stockholders.</w:t>
      </w:r>
    </w:p>
    <w:p>
      <w:pPr>
        <w:spacing w:after="0" w:line="167" w:lineRule="exact"/>
        <w:rPr>
          <w:sz w:val="20"/>
          <w:szCs w:val="20"/>
          <w:color w:val="auto"/>
        </w:rPr>
      </w:pPr>
    </w:p>
    <w:p>
      <w:pPr>
        <w:ind w:right="180"/>
        <w:spacing w:after="0" w:line="275" w:lineRule="auto"/>
        <w:rPr>
          <w:sz w:val="20"/>
          <w:szCs w:val="20"/>
          <w:color w:val="auto"/>
        </w:rPr>
      </w:pPr>
      <w:r>
        <w:rPr>
          <w:rFonts w:ascii="Arial" w:cs="Arial" w:eastAsia="Arial" w:hAnsi="Arial"/>
          <w:sz w:val="14"/>
          <w:szCs w:val="14"/>
          <w:b w:val="1"/>
          <w:bCs w:val="1"/>
          <w:i w:val="1"/>
          <w:iCs w:val="1"/>
          <w:color w:val="auto"/>
        </w:rPr>
        <w:t>Amendment and Termination of the Amended 2020 Plan</w:t>
      </w:r>
      <w:r>
        <w:rPr>
          <w:rFonts w:ascii="Arial" w:cs="Arial" w:eastAsia="Arial" w:hAnsi="Arial"/>
          <w:sz w:val="14"/>
          <w:szCs w:val="14"/>
          <w:color w:val="auto"/>
        </w:rPr>
        <w:t>. The Board generally may amend the Amended 2020 Plan from time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time in whole or in part. However, if any amendment, for purposes of applicable stock exchange rules (and except as permitted under the adjustment provisions of the Amended 2020 Plan) (1) would materially increase the benefits accruing to participants under the Amended 2020 Plan, (2) would materially increase the number of securities which may be issued under the Amended 2020 Plan,</w:t>
      </w:r>
    </w:p>
    <w:p>
      <w:pPr>
        <w:spacing w:after="0" w:line="1" w:lineRule="exact"/>
        <w:rPr>
          <w:sz w:val="20"/>
          <w:szCs w:val="20"/>
          <w:color w:val="auto"/>
        </w:rPr>
      </w:pPr>
    </w:p>
    <w:p>
      <w:pPr>
        <w:ind w:right="20" w:firstLine="2"/>
        <w:spacing w:after="0" w:line="238" w:lineRule="auto"/>
        <w:tabs>
          <w:tab w:leader="none" w:pos="233" w:val="left"/>
        </w:tabs>
        <w:numPr>
          <w:ilvl w:val="0"/>
          <w:numId w:val="20"/>
        </w:numPr>
        <w:rPr>
          <w:rFonts w:ascii="Arial" w:cs="Arial" w:eastAsia="Arial" w:hAnsi="Arial"/>
          <w:sz w:val="16"/>
          <w:szCs w:val="16"/>
          <w:color w:val="auto"/>
        </w:rPr>
      </w:pPr>
      <w:r>
        <w:rPr>
          <w:rFonts w:ascii="Arial" w:cs="Arial" w:eastAsia="Arial" w:hAnsi="Arial"/>
          <w:sz w:val="16"/>
          <w:szCs w:val="16"/>
          <w:color w:val="auto"/>
        </w:rPr>
        <w:t>would materially modify the requirements for participation in the Amended 2020 Plan, or (4) must otherwise be approved by our stockholders in order to comply with applicable law or the rules of the NASDAQ Global Select Market, or, if the Common Shares are not traded on the NASDAQ Global Select Market, the principal national securities exchange upon which the Common Shares are traded or quoted, all as determined by the Board, then such amendment will be subject to stockholder approval and will not be effective unless and until such approval has been obtained.</w:t>
      </w:r>
    </w:p>
    <w:p>
      <w:pPr>
        <w:spacing w:after="0" w:line="187"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Further, subject to the Amended 2020 Plan’s prohibition on repricing, the Committee generally may amend the terms of any award prospectively or retroactively. Except in the case of certain adjustments permitted under the Amended 2020 Plan, no such amendment may be made that would materially impair the rights of any participant without his or her consent. If permitted by Section 409A of the Code and subject to certain other limitations set forth in the Amended 2020 Plan, and including in the case of termination of employment or service, or in the case of unforeseeable emergency or other circumstances or in the event of a change in control, the Committee may provide for continued vesting or accelerate the vesting of certain awards granted under the Amended 2020 Plan or waive any other limitation or requirement under any such award.</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The Board may, in its discretion, terminate the Amended 2020 Plan at any time. Termination of the Amended 2020 Plan will not affect the rights of participants or their successors under any awards outstanding and not exercised in full on the date of termination. No grant will be made under the Amended 2020 Plan on or after the tenth anniversary of the date stockholders approve the Amended 2020 Plan, but all grants made prior to such date will continue in effect thereafter subject to their terms and the terms of the Amended 2020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62865</wp:posOffset>
            </wp:positionV>
            <wp:extent cx="699135" cy="1314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40</w:t>
      </w:r>
    </w:p>
    <w:p>
      <w:pPr>
        <w:sectPr>
          <w:pgSz w:w="11900" w:h="16838" w:orient="portrait"/>
          <w:cols w:equalWidth="0" w:num="1">
            <w:col w:w="9320"/>
          </w:cols>
          <w:pgMar w:left="1280" w:top="296" w:right="1299" w:bottom="1440" w:gutter="0" w:footer="0" w:header="0"/>
        </w:sectPr>
      </w:pPr>
    </w:p>
    <w:bookmarkStart w:id="46" w:name="page47"/>
    <w:bookmarkEnd w:id="46"/>
    <w:p>
      <w:pPr>
        <w:ind w:right="16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Allowances for Conversion Awards and Assumed Plans</w:t>
      </w:r>
      <w:r>
        <w:rPr>
          <w:rFonts w:ascii="Arial" w:cs="Arial" w:eastAsia="Arial" w:hAnsi="Arial"/>
          <w:sz w:val="16"/>
          <w:szCs w:val="16"/>
          <w:color w:val="auto"/>
        </w:rPr>
        <w:t>. Common Shares issued or transferred under awards granted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2020 Plan in substitution for or conversion of, or in connection with an assumption of, stock options, SARs, restricted stock, RSUs, or other share or share-based awards held by awardees of an entity engaging in a corporate acquisition or merger transaction with us or any of our subsidiaries will not count against (or be added to) the aggregate share limit or other Amended 2020 Plan limits described above. Additionally, shares available under certain plans that we or our subsidiaries may assume in connection with corporate transactions from another entity may be available for certain awards under the Amended 2020 Plan, under circumstances further described in the Amended 2020 Plan, but will not count against the aggregate share limit or other Amended 2020 Plan limits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New Plan Benefits</w:t>
      </w:r>
    </w:p>
    <w:p>
      <w:pPr>
        <w:spacing w:after="0" w:line="123"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It is not possible to determine the specific amounts and types of awards that may be awarded in the future under the Amended 2020 Plan because the grant and actual settlement of awards under the Amended 2020 Plan are subject to the discretion of the plan administrator.</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U.S. Federal Income Tax Consequences</w:t>
      </w:r>
    </w:p>
    <w:p>
      <w:pPr>
        <w:spacing w:after="0" w:line="123"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The following is a brief summary of certain of the Federal income tax consequences of certain transactions under the Amended 2020 Plan based on Federal income tax laws in effect. This summary, which is presented for the information of stockholders considering how to vote on this proposal and not for Amended 2020 Plan participants, is not intended to be complete and does not describe Federal taxes other than income taxes (such as Medicare and Social Security taxes), or state, local or foreign tax consequences.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Tax Consequences to Participants</w:t>
      </w:r>
    </w:p>
    <w:p>
      <w:pPr>
        <w:spacing w:after="0" w:line="107" w:lineRule="exact"/>
        <w:rPr>
          <w:sz w:val="20"/>
          <w:szCs w:val="20"/>
          <w:color w:val="auto"/>
        </w:rPr>
      </w:pPr>
    </w:p>
    <w:p>
      <w:pPr>
        <w:ind w:right="20"/>
        <w:spacing w:after="0"/>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The recipient of restricted stock generally will be subject to tax at ordinary income rates on the fair market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(reduced by any amount paid by the recipient for such restricted stock) at such time as the restricted stock is no longer subject to forfeiture or restrictions on transfer for purposes of Section 83 of the Code (“Restrictions”). However, a recipient who so elects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stock. If a Section 83(b) election has not been made, any dividends received with respect to restricted stock that are subject to the Restrictions generally will be treated as compensation that is taxable as ordinary income to the recipient.</w:t>
      </w:r>
    </w:p>
    <w:p>
      <w:pPr>
        <w:spacing w:after="0" w:line="186"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i w:val="1"/>
          <w:iCs w:val="1"/>
          <w:color w:val="auto"/>
        </w:rPr>
        <w:t>Performance Shares, Performance Units and Cash Incentive Awards</w:t>
      </w:r>
      <w:r>
        <w:rPr>
          <w:rFonts w:ascii="Arial" w:cs="Arial" w:eastAsia="Arial" w:hAnsi="Arial"/>
          <w:sz w:val="14"/>
          <w:szCs w:val="14"/>
          <w:color w:val="auto"/>
        </w:rPr>
        <w:t>. No income generally will be recognized upon the grant of</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shares, performance units or cash incentive awards. Upon payment in respect of the earn-out of performance shares, performance units or cash incentive awards, the recipient generally will be required to include as taxable ordinary income in the year of receipt an amount equal to the amount of cash received and the fair market value of any unrestricted Common Shares received.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Nonqualified Stock Options</w:t>
      </w:r>
      <w:r>
        <w:rPr>
          <w:rFonts w:ascii="Arial" w:cs="Arial" w:eastAsia="Arial" w:hAnsi="Arial"/>
          <w:sz w:val="16"/>
          <w:szCs w:val="16"/>
          <w:color w:val="auto"/>
        </w:rPr>
        <w:t>. In general:</w:t>
      </w:r>
    </w:p>
    <w:p>
      <w:pPr>
        <w:spacing w:after="0" w:line="114" w:lineRule="exact"/>
        <w:rPr>
          <w:sz w:val="20"/>
          <w:szCs w:val="20"/>
          <w:color w:val="auto"/>
        </w:rPr>
      </w:pPr>
    </w:p>
    <w:p>
      <w:pPr>
        <w:ind w:left="180" w:hanging="178"/>
        <w:spacing w:after="0"/>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income will be recognized by an optionee at the time a non-qualified stock option is granted;</w:t>
      </w:r>
    </w:p>
    <w:p>
      <w:pPr>
        <w:spacing w:after="0" w:line="113" w:lineRule="exact"/>
        <w:rPr>
          <w:rFonts w:ascii="Arial" w:cs="Arial" w:eastAsia="Arial" w:hAnsi="Arial"/>
          <w:sz w:val="16"/>
          <w:szCs w:val="16"/>
          <w:color w:val="auto"/>
        </w:rPr>
      </w:pPr>
    </w:p>
    <w:p>
      <w:pPr>
        <w:ind w:left="180" w:right="140" w:hanging="178"/>
        <w:spacing w:after="0" w:line="249"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the time of exercise of a non-qualified stock option, ordinary income will be recognized by the optionee in an amount equal to the difference between the option price paid for the shares and the fair market value of the shares, if unrestricted, on the date of exercise; and</w:t>
      </w:r>
    </w:p>
    <w:p>
      <w:pPr>
        <w:spacing w:after="0" w:line="87" w:lineRule="exact"/>
        <w:rPr>
          <w:rFonts w:ascii="Arial" w:cs="Arial" w:eastAsia="Arial" w:hAnsi="Arial"/>
          <w:sz w:val="16"/>
          <w:szCs w:val="16"/>
          <w:color w:val="auto"/>
        </w:rPr>
      </w:pPr>
    </w:p>
    <w:p>
      <w:pPr>
        <w:jc w:val="both"/>
        <w:ind w:left="180" w:right="100" w:hanging="178"/>
        <w:spacing w:after="0" w:line="249"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w:t>
      </w:r>
    </w:p>
    <w:p>
      <w:pPr>
        <w:spacing w:after="0" w:line="178" w:lineRule="exact"/>
        <w:rPr>
          <w:sz w:val="20"/>
          <w:szCs w:val="20"/>
          <w:color w:val="auto"/>
        </w:rPr>
      </w:pPr>
    </w:p>
    <w:p>
      <w:pPr>
        <w:ind w:right="200"/>
        <w:spacing w:after="0" w:line="286" w:lineRule="auto"/>
        <w:rPr>
          <w:sz w:val="20"/>
          <w:szCs w:val="20"/>
          <w:color w:val="auto"/>
        </w:rPr>
      </w:pPr>
      <w:r>
        <w:rPr>
          <w:rFonts w:ascii="Arial" w:cs="Arial" w:eastAsia="Arial" w:hAnsi="Arial"/>
          <w:sz w:val="14"/>
          <w:szCs w:val="14"/>
          <w:i w:val="1"/>
          <w:iCs w:val="1"/>
          <w:color w:val="auto"/>
        </w:rPr>
        <w:t xml:space="preserve">Incentive Stock Options. </w:t>
      </w:r>
      <w:r>
        <w:rPr>
          <w:rFonts w:ascii="Arial" w:cs="Arial" w:eastAsia="Arial" w:hAnsi="Arial"/>
          <w:sz w:val="14"/>
          <w:szCs w:val="14"/>
          <w:color w:val="auto"/>
        </w:rPr>
        <w:t>No income generally will be recognized by an optionee upon the grant or exercise of an “incentive stock</w:t>
      </w:r>
      <w:r>
        <w:rPr>
          <w:rFonts w:ascii="Arial" w:cs="Arial" w:eastAsia="Arial" w:hAnsi="Arial"/>
          <w:sz w:val="14"/>
          <w:szCs w:val="14"/>
          <w:i w:val="1"/>
          <w:iCs w:val="1"/>
          <w:color w:val="auto"/>
        </w:rPr>
        <w:t xml:space="preserve"> </w:t>
      </w:r>
      <w:r>
        <w:rPr>
          <w:rFonts w:ascii="Arial" w:cs="Arial" w:eastAsia="Arial" w:hAnsi="Arial"/>
          <w:sz w:val="14"/>
          <w:szCs w:val="14"/>
          <w:color w:val="auto"/>
        </w:rPr>
        <w:t>option” as defined in Section 422 of the Code. If Common Shares are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41</w:t>
      </w:r>
    </w:p>
    <w:p>
      <w:pPr>
        <w:sectPr>
          <w:pgSz w:w="11900" w:h="16838" w:orient="portrait"/>
          <w:cols w:equalWidth="0" w:num="1">
            <w:col w:w="9320"/>
          </w:cols>
          <w:pgMar w:left="1280" w:top="296" w:right="1299" w:bottom="1440" w:gutter="0" w:footer="0" w:header="0"/>
        </w:sectPr>
      </w:pPr>
    </w:p>
    <w:bookmarkStart w:id="47" w:name="page48"/>
    <w:bookmarkEnd w:id="47"/>
    <w:p>
      <w:pPr>
        <w:spacing w:after="0" w:line="24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If Common Shares acquired upon the exercise of an incentive stock option are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realized by the participant generally will be taxed as short-term or long-term capital gain (or loss) depending on the holding period.</w:t>
      </w:r>
    </w:p>
    <w:p>
      <w:pPr>
        <w:spacing w:after="0" w:line="182" w:lineRule="exact"/>
        <w:rPr>
          <w:sz w:val="20"/>
          <w:szCs w:val="20"/>
          <w:color w:val="auto"/>
        </w:rPr>
      </w:pPr>
    </w:p>
    <w:p>
      <w:pPr>
        <w:jc w:val="both"/>
        <w:ind w:right="80"/>
        <w:spacing w:after="0" w:line="249" w:lineRule="auto"/>
        <w:rPr>
          <w:sz w:val="20"/>
          <w:szCs w:val="20"/>
          <w:color w:val="auto"/>
        </w:rPr>
      </w:pPr>
      <w:r>
        <w:rPr>
          <w:rFonts w:ascii="Arial" w:cs="Arial" w:eastAsia="Arial" w:hAnsi="Arial"/>
          <w:sz w:val="16"/>
          <w:szCs w:val="16"/>
          <w:i w:val="1"/>
          <w:iCs w:val="1"/>
          <w:color w:val="auto"/>
        </w:rPr>
        <w:t>SARs</w:t>
      </w:r>
      <w:r>
        <w:rPr>
          <w:rFonts w:ascii="Arial" w:cs="Arial" w:eastAsia="Arial" w:hAnsi="Arial"/>
          <w:sz w:val="16"/>
          <w:szCs w:val="16"/>
          <w:color w:val="auto"/>
        </w:rPr>
        <w:t>. No income will be recognized by a participant in connection with the grant of a SAR. When the SAR is exercised,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normally will be required to include as taxable ordinary income in the year of exercise an amount equal to the amount of cash received and the fair market value of any unrestricted Common Shares received on the exercise.</w:t>
      </w:r>
    </w:p>
    <w:p>
      <w:pPr>
        <w:spacing w:after="0" w:line="178"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No income generally will be recognized upon the award of RSUs. The recipient of an RSU award generally will be subject to tax</w:t>
      </w:r>
      <w:r>
        <w:rPr>
          <w:rFonts w:ascii="Arial" w:cs="Arial" w:eastAsia="Arial" w:hAnsi="Arial"/>
          <w:sz w:val="16"/>
          <w:szCs w:val="16"/>
          <w:i w:val="1"/>
          <w:iCs w:val="1"/>
          <w:color w:val="auto"/>
        </w:rPr>
        <w:t xml:space="preserve"> </w:t>
      </w:r>
      <w:r>
        <w:rPr>
          <w:rFonts w:ascii="Arial" w:cs="Arial" w:eastAsia="Arial" w:hAnsi="Arial"/>
          <w:sz w:val="16"/>
          <w:szCs w:val="16"/>
          <w:color w:val="auto"/>
        </w:rPr>
        <w:t>at ordinary income rates on the fair market value of unrestricted Common Shares on the date that such shares are transferred to the participant under the award (reduced by any amount paid by the participant for such RSUs), and the capital gains/loss holding period for such shares will also commence on such date.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Tax Consequences to the Company and its Subsidiaries</w:t>
      </w:r>
    </w:p>
    <w:p>
      <w:pPr>
        <w:spacing w:after="0" w:line="107" w:lineRule="exact"/>
        <w:rPr>
          <w:sz w:val="20"/>
          <w:szCs w:val="20"/>
          <w:color w:val="auto"/>
        </w:rPr>
      </w:pPr>
    </w:p>
    <w:p>
      <w:pPr>
        <w:ind w:right="240"/>
        <w:spacing w:after="0" w:line="243" w:lineRule="auto"/>
        <w:rPr>
          <w:sz w:val="20"/>
          <w:szCs w:val="20"/>
          <w:color w:val="auto"/>
        </w:rPr>
      </w:pPr>
      <w:r>
        <w:rPr>
          <w:rFonts w:ascii="Arial" w:cs="Arial" w:eastAsia="Arial" w:hAnsi="Arial"/>
          <w:sz w:val="16"/>
          <w:szCs w:val="16"/>
          <w:color w:val="auto"/>
        </w:rPr>
        <w:t>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82550</wp:posOffset>
            </wp:positionV>
            <wp:extent cx="699135" cy="1314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42</w:t>
      </w:r>
    </w:p>
    <w:p>
      <w:pPr>
        <w:sectPr>
          <w:pgSz w:w="11900" w:h="16838" w:orient="portrait"/>
          <w:cols w:equalWidth="0" w:num="1">
            <w:col w:w="9320"/>
          </w:cols>
          <w:pgMar w:left="1280" w:top="296" w:right="1299" w:bottom="1440" w:gutter="0" w:footer="0" w:header="0"/>
        </w:sectPr>
      </w:pPr>
    </w:p>
    <w:bookmarkStart w:id="48" w:name="page49"/>
    <w:bookmarkEnd w:id="48"/>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Awards Granted to Certain Persons</w:t>
      </w:r>
    </w:p>
    <w:p>
      <w:pPr>
        <w:spacing w:after="0" w:line="123" w:lineRule="exact"/>
        <w:rPr>
          <w:sz w:val="20"/>
          <w:szCs w:val="20"/>
          <w:color w:val="auto"/>
        </w:rPr>
      </w:pPr>
    </w:p>
    <w:p>
      <w:pPr>
        <w:ind w:right="180" w:firstLine="373"/>
        <w:spacing w:after="0" w:line="263" w:lineRule="auto"/>
        <w:rPr>
          <w:sz w:val="20"/>
          <w:szCs w:val="20"/>
          <w:color w:val="auto"/>
        </w:rPr>
      </w:pPr>
      <w:r>
        <w:rPr>
          <w:rFonts w:ascii="Arial" w:cs="Arial" w:eastAsia="Arial" w:hAnsi="Arial"/>
          <w:sz w:val="16"/>
          <w:szCs w:val="16"/>
          <w:color w:val="auto"/>
        </w:rPr>
        <w:t>The table below shows the number of awards granted under the 2020 Equity Plan to the named executive officers and the other individuals and groups indicated below since its inception through March 31, 2023.</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ACI WORLDWIDE, INC. 2020 EQUITY AND INCENTIVE COMPENSATION PLAN</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100965</wp:posOffset>
            </wp:positionV>
            <wp:extent cx="8255" cy="6248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624840"/>
                    </a:xfrm>
                    <a:prstGeom prst="rect">
                      <a:avLst/>
                    </a:prstGeom>
                    <a:noFill/>
                  </pic:spPr>
                </pic:pic>
              </a:graphicData>
            </a:graphic>
          </wp:anchor>
        </w:drawing>
        <w:drawing>
          <wp:anchor simplePos="0" relativeHeight="251657728" behindDoc="1" locked="0" layoutInCell="0" allowOverlap="1">
            <wp:simplePos x="0" y="0"/>
            <wp:positionH relativeFrom="column">
              <wp:posOffset>3496310</wp:posOffset>
            </wp:positionH>
            <wp:positionV relativeFrom="paragraph">
              <wp:posOffset>100965</wp:posOffset>
            </wp:positionV>
            <wp:extent cx="8255" cy="6248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624840"/>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100965</wp:posOffset>
            </wp:positionV>
            <wp:extent cx="8255" cy="6248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62484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shd w:val="clear" w:color="auto" w:fill="284993"/>
          </w:tcPr>
          <w:p>
            <w:pPr>
              <w:spacing w:after="0"/>
              <w:rPr>
                <w:sz w:val="16"/>
                <w:szCs w:val="16"/>
                <w:color w:val="auto"/>
              </w:rPr>
            </w:pPr>
          </w:p>
        </w:tc>
        <w:tc>
          <w:tcPr>
            <w:tcW w:w="1940" w:type="dxa"/>
            <w:vAlign w:val="bottom"/>
            <w:shd w:val="clear" w:color="auto" w:fill="284993"/>
          </w:tcPr>
          <w:p>
            <w:pPr>
              <w:spacing w:after="0"/>
              <w:rPr>
                <w:sz w:val="16"/>
                <w:szCs w:val="16"/>
                <w:color w:val="auto"/>
              </w:rPr>
            </w:pPr>
          </w:p>
        </w:tc>
        <w:tc>
          <w:tcPr>
            <w:tcW w:w="1900" w:type="dxa"/>
            <w:vAlign w:val="bottom"/>
            <w:shd w:val="clear" w:color="auto" w:fill="284993"/>
          </w:tcPr>
          <w:p>
            <w:pPr>
              <w:spacing w:after="0"/>
              <w:rPr>
                <w:sz w:val="16"/>
                <w:szCs w:val="16"/>
                <w:color w:val="auto"/>
              </w:rPr>
            </w:pPr>
          </w:p>
        </w:tc>
        <w:tc>
          <w:tcPr>
            <w:tcW w:w="18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Number of</w:t>
            </w:r>
          </w:p>
        </w:tc>
      </w:tr>
      <w:tr>
        <w:trPr>
          <w:trHeight w:val="181"/>
        </w:trPr>
        <w:tc>
          <w:tcPr>
            <w:tcW w:w="3600" w:type="dxa"/>
            <w:vAlign w:val="bottom"/>
            <w:shd w:val="clear" w:color="auto" w:fill="284993"/>
          </w:tcPr>
          <w:p>
            <w:pPr>
              <w:spacing w:after="0"/>
              <w:rPr>
                <w:sz w:val="15"/>
                <w:szCs w:val="15"/>
                <w:color w:val="auto"/>
              </w:rPr>
            </w:pPr>
          </w:p>
        </w:tc>
        <w:tc>
          <w:tcPr>
            <w:tcW w:w="1940" w:type="dxa"/>
            <w:vAlign w:val="bottom"/>
            <w:shd w:val="clear" w:color="auto" w:fill="284993"/>
          </w:tcPr>
          <w:p>
            <w:pPr>
              <w:spacing w:after="0"/>
              <w:rPr>
                <w:sz w:val="15"/>
                <w:szCs w:val="15"/>
                <w:color w:val="auto"/>
              </w:rPr>
            </w:pPr>
          </w:p>
        </w:tc>
        <w:tc>
          <w:tcPr>
            <w:tcW w:w="19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Number of</w:t>
            </w:r>
          </w:p>
        </w:tc>
        <w:tc>
          <w:tcPr>
            <w:tcW w:w="188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Common Shares</w:t>
            </w:r>
          </w:p>
        </w:tc>
      </w:tr>
      <w:tr>
        <w:trPr>
          <w:trHeight w:val="181"/>
        </w:trPr>
        <w:tc>
          <w:tcPr>
            <w:tcW w:w="3600" w:type="dxa"/>
            <w:vAlign w:val="bottom"/>
            <w:shd w:val="clear" w:color="auto" w:fill="284993"/>
          </w:tcPr>
          <w:p>
            <w:pPr>
              <w:spacing w:after="0"/>
              <w:rPr>
                <w:sz w:val="15"/>
                <w:szCs w:val="15"/>
                <w:color w:val="auto"/>
              </w:rPr>
            </w:pPr>
          </w:p>
        </w:tc>
        <w:tc>
          <w:tcPr>
            <w:tcW w:w="19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Number of</w:t>
            </w:r>
          </w:p>
        </w:tc>
        <w:tc>
          <w:tcPr>
            <w:tcW w:w="19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5"/>
              </w:rPr>
              <w:t>Common Shares</w:t>
            </w:r>
          </w:p>
        </w:tc>
        <w:tc>
          <w:tcPr>
            <w:tcW w:w="188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5"/>
              </w:rPr>
              <w:t>Subject to</w:t>
            </w:r>
          </w:p>
        </w:tc>
      </w:tr>
      <w:tr>
        <w:trPr>
          <w:trHeight w:val="181"/>
        </w:trPr>
        <w:tc>
          <w:tcPr>
            <w:tcW w:w="3600" w:type="dxa"/>
            <w:vAlign w:val="bottom"/>
            <w:shd w:val="clear" w:color="auto" w:fill="284993"/>
          </w:tcPr>
          <w:p>
            <w:pPr>
              <w:spacing w:after="0"/>
              <w:rPr>
                <w:sz w:val="15"/>
                <w:szCs w:val="15"/>
                <w:color w:val="auto"/>
              </w:rPr>
            </w:pPr>
          </w:p>
        </w:tc>
        <w:tc>
          <w:tcPr>
            <w:tcW w:w="19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Common Shares</w:t>
            </w:r>
          </w:p>
        </w:tc>
        <w:tc>
          <w:tcPr>
            <w:tcW w:w="19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Subject to Stock</w:t>
            </w:r>
          </w:p>
        </w:tc>
        <w:tc>
          <w:tcPr>
            <w:tcW w:w="188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6"/>
              </w:rPr>
              <w:t>Performance</w:t>
            </w:r>
          </w:p>
        </w:tc>
      </w:tr>
      <w:tr>
        <w:trPr>
          <w:trHeight w:val="215"/>
        </w:trPr>
        <w:tc>
          <w:tcPr>
            <w:tcW w:w="3600" w:type="dxa"/>
            <w:vAlign w:val="bottom"/>
            <w:shd w:val="clear" w:color="auto" w:fill="284993"/>
          </w:tcPr>
          <w:p>
            <w:pPr>
              <w:ind w:left="80"/>
              <w:spacing w:after="0"/>
              <w:rPr>
                <w:sz w:val="20"/>
                <w:szCs w:val="20"/>
                <w:color w:val="auto"/>
              </w:rPr>
            </w:pPr>
            <w:r>
              <w:rPr>
                <w:rFonts w:ascii="Arial" w:cs="Arial" w:eastAsia="Arial" w:hAnsi="Arial"/>
                <w:sz w:val="16"/>
                <w:szCs w:val="16"/>
                <w:b w:val="1"/>
                <w:bCs w:val="1"/>
                <w:color w:val="FFFFFF"/>
              </w:rPr>
              <w:t>Name and Position / Group</w:t>
            </w:r>
          </w:p>
        </w:tc>
        <w:tc>
          <w:tcPr>
            <w:tcW w:w="19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Subject to RSUs</w:t>
            </w:r>
          </w:p>
        </w:tc>
        <w:tc>
          <w:tcPr>
            <w:tcW w:w="190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5"/>
              </w:rPr>
              <w:t>Options</w:t>
            </w:r>
          </w:p>
        </w:tc>
        <w:tc>
          <w:tcPr>
            <w:tcW w:w="18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6"/>
              </w:rPr>
              <w:t>Shares Awards</w:t>
            </w:r>
          </w:p>
        </w:tc>
      </w:tr>
      <w:tr>
        <w:trPr>
          <w:trHeight w:val="33"/>
        </w:trPr>
        <w:tc>
          <w:tcPr>
            <w:tcW w:w="3600" w:type="dxa"/>
            <w:vAlign w:val="bottom"/>
            <w:shd w:val="clear" w:color="auto" w:fill="284993"/>
          </w:tcPr>
          <w:p>
            <w:pPr>
              <w:spacing w:after="0"/>
              <w:rPr>
                <w:sz w:val="2"/>
                <w:szCs w:val="2"/>
                <w:color w:val="auto"/>
              </w:rPr>
            </w:pPr>
          </w:p>
        </w:tc>
        <w:tc>
          <w:tcPr>
            <w:tcW w:w="1940" w:type="dxa"/>
            <w:vAlign w:val="bottom"/>
            <w:shd w:val="clear" w:color="auto" w:fill="284993"/>
          </w:tcPr>
          <w:p>
            <w:pPr>
              <w:spacing w:after="0"/>
              <w:rPr>
                <w:sz w:val="2"/>
                <w:szCs w:val="2"/>
                <w:color w:val="auto"/>
              </w:rPr>
            </w:pPr>
          </w:p>
        </w:tc>
        <w:tc>
          <w:tcPr>
            <w:tcW w:w="1900" w:type="dxa"/>
            <w:vAlign w:val="bottom"/>
            <w:shd w:val="clear" w:color="auto" w:fill="284993"/>
          </w:tcPr>
          <w:p>
            <w:pPr>
              <w:spacing w:after="0"/>
              <w:rPr>
                <w:sz w:val="2"/>
                <w:szCs w:val="2"/>
                <w:color w:val="auto"/>
              </w:rPr>
            </w:pPr>
          </w:p>
        </w:tc>
        <w:tc>
          <w:tcPr>
            <w:tcW w:w="1880" w:type="dxa"/>
            <w:vAlign w:val="bottom"/>
            <w:shd w:val="clear" w:color="auto" w:fill="284993"/>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9320"/>
          </w:cols>
          <w:pgMar w:left="1280" w:top="285" w:right="1299" w:bottom="1440" w:gutter="0" w:footer="0" w:header="0"/>
        </w:sectPr>
      </w:pPr>
    </w:p>
    <w:p>
      <w:pPr>
        <w:ind w:left="80"/>
        <w:spacing w:after="0"/>
        <w:rPr>
          <w:sz w:val="20"/>
          <w:szCs w:val="20"/>
          <w:color w:val="auto"/>
        </w:rPr>
      </w:pPr>
      <w:r>
        <w:rPr>
          <w:rFonts w:ascii="Arial" w:cs="Arial" w:eastAsia="Arial" w:hAnsi="Arial"/>
          <w:sz w:val="16"/>
          <w:szCs w:val="16"/>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2286000" cy="271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86000" cy="271145"/>
                    </a:xfrm>
                    <a:prstGeom prst="rect">
                      <a:avLst/>
                    </a:prstGeom>
                    <a:noFill/>
                  </pic:spPr>
                </pic:pic>
              </a:graphicData>
            </a:graphic>
          </wp:anchor>
        </w:drawing>
      </w:r>
    </w:p>
    <w:p>
      <w:pPr>
        <w:spacing w:after="0" w:line="43" w:lineRule="exact"/>
        <w:rPr>
          <w:sz w:val="20"/>
          <w:szCs w:val="20"/>
          <w:color w:val="auto"/>
        </w:rPr>
      </w:pPr>
    </w:p>
    <w:p>
      <w:pPr>
        <w:ind w:left="320" w:right="280"/>
        <w:spacing w:after="0" w:line="263" w:lineRule="auto"/>
        <w:rPr>
          <w:sz w:val="20"/>
          <w:szCs w:val="20"/>
          <w:color w:val="auto"/>
        </w:rPr>
      </w:pPr>
      <w:r>
        <w:rPr>
          <w:rFonts w:ascii="Arial" w:cs="Arial" w:eastAsia="Arial" w:hAnsi="Arial"/>
          <w:sz w:val="16"/>
          <w:szCs w:val="16"/>
          <w:color w:val="auto"/>
        </w:rPr>
        <w:t>Odilon Almeida, former President and Chief Executive Officer</w:t>
      </w:r>
    </w:p>
    <w:p>
      <w:pPr>
        <w:spacing w:after="0" w:line="24" w:lineRule="exact"/>
        <w:rPr>
          <w:sz w:val="20"/>
          <w:szCs w:val="20"/>
          <w:color w:val="auto"/>
        </w:rPr>
      </w:pPr>
    </w:p>
    <w:p>
      <w:pPr>
        <w:ind w:left="320" w:right="360"/>
        <w:spacing w:after="0" w:line="366" w:lineRule="auto"/>
        <w:rPr>
          <w:sz w:val="20"/>
          <w:szCs w:val="20"/>
          <w:color w:val="auto"/>
        </w:rPr>
      </w:pPr>
      <w:r>
        <w:rPr>
          <w:rFonts w:ascii="Arial" w:cs="Arial" w:eastAsia="Arial" w:hAnsi="Arial"/>
          <w:sz w:val="14"/>
          <w:szCs w:val="14"/>
          <w:color w:val="auto"/>
        </w:rPr>
        <w:t>Scott W. Behrens, Chief Financial Officer Ram K. Puppala, Chief Technology Officer Alessandro Silva, Chief Revenue Officer Deborah L. Guerra, Chief Product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-467360</wp:posOffset>
            </wp:positionV>
            <wp:extent cx="2286000" cy="1562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286000" cy="156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2286000" cy="1562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286000" cy="156210"/>
                    </a:xfrm>
                    <a:prstGeom prst="rect">
                      <a:avLst/>
                    </a:prstGeom>
                    <a:noFill/>
                  </pic:spPr>
                </pic:pic>
              </a:graphicData>
            </a:graphic>
          </wp:anchor>
        </w:drawing>
      </w:r>
    </w:p>
    <w:p>
      <w:pPr>
        <w:ind w:left="320" w:right="460"/>
        <w:spacing w:after="0" w:line="263" w:lineRule="auto"/>
        <w:rPr>
          <w:sz w:val="20"/>
          <w:szCs w:val="20"/>
          <w:color w:val="auto"/>
        </w:rPr>
      </w:pPr>
      <w:r>
        <w:rPr>
          <w:rFonts w:ascii="Arial" w:cs="Arial" w:eastAsia="Arial" w:hAnsi="Arial"/>
          <w:sz w:val="16"/>
          <w:szCs w:val="16"/>
          <w:color w:val="auto"/>
        </w:rPr>
        <w:t>Evanthia Aretakis, former Chief Revenue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286000" cy="1562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286000" cy="156210"/>
                    </a:xfrm>
                    <a:prstGeom prst="rect">
                      <a:avLst/>
                    </a:prstGeom>
                    <a:noFill/>
                  </pic:spPr>
                </pic:pic>
              </a:graphicData>
            </a:graphic>
          </wp:anchor>
        </w:drawing>
      </w:r>
    </w:p>
    <w:p>
      <w:pPr>
        <w:spacing w:after="0" w:line="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Jeremy M. Wilmot, former Chief Product Officer</w:t>
      </w:r>
    </w:p>
    <w:p>
      <w:pPr>
        <w:spacing w:after="0" w:line="85" w:lineRule="exact"/>
        <w:rPr>
          <w:sz w:val="20"/>
          <w:szCs w:val="20"/>
          <w:color w:val="auto"/>
        </w:rPr>
      </w:pPr>
    </w:p>
    <w:p>
      <w:pPr>
        <w:ind w:left="320" w:right="140"/>
        <w:spacing w:after="0" w:line="263" w:lineRule="auto"/>
        <w:rPr>
          <w:sz w:val="20"/>
          <w:szCs w:val="20"/>
          <w:color w:val="auto"/>
        </w:rPr>
      </w:pPr>
      <w:r>
        <w:rPr>
          <w:rFonts w:ascii="Arial" w:cs="Arial" w:eastAsia="Arial" w:hAnsi="Arial"/>
          <w:sz w:val="16"/>
          <w:szCs w:val="16"/>
          <w:color w:val="auto"/>
        </w:rPr>
        <w:t>Thomas W. Warsop, III, interim President and Chief Executive Officer</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All current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2286000" cy="1562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86000" cy="156210"/>
                    </a:xfrm>
                    <a:prstGeom prst="rect">
                      <a:avLst/>
                    </a:prstGeom>
                    <a:noFill/>
                  </pic:spPr>
                </pic:pic>
              </a:graphicData>
            </a:graphic>
          </wp:anchor>
        </w:drawing>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All current non-employee directors as a group</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Each nominee for election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2286000" cy="1562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86000"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7"/>
        </w:trPr>
        <w:tc>
          <w:tcPr>
            <w:tcW w:w="2540" w:type="dxa"/>
            <w:vAlign w:val="bottom"/>
            <w:tcBorders>
              <w:bottom w:val="single" w:sz="8" w:color="9DBDE4"/>
            </w:tcBorders>
            <w:shd w:val="clear" w:color="auto" w:fill="9DBDE4"/>
          </w:tcPr>
          <w:p>
            <w:pPr>
              <w:jc w:val="right"/>
              <w:ind w:right="862"/>
              <w:spacing w:after="0"/>
              <w:rPr>
                <w:sz w:val="20"/>
                <w:szCs w:val="20"/>
                <w:color w:val="auto"/>
              </w:rPr>
            </w:pPr>
            <w:r>
              <w:rPr>
                <w:rFonts w:ascii="Arial" w:cs="Arial" w:eastAsia="Arial" w:hAnsi="Arial"/>
                <w:sz w:val="16"/>
                <w:szCs w:val="16"/>
                <w:color w:val="auto"/>
              </w:rPr>
              <w:t>147,303</w:t>
            </w:r>
          </w:p>
        </w:tc>
        <w:tc>
          <w:tcPr>
            <w:tcW w:w="1640" w:type="dxa"/>
            <w:vAlign w:val="bottom"/>
            <w:tcBorders>
              <w:bottom w:val="single" w:sz="8" w:color="9DBDE4"/>
            </w:tcBorders>
            <w:shd w:val="clear" w:color="auto" w:fill="9DBDE4"/>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9DBDE4"/>
            </w:tcBorders>
            <w:shd w:val="clear" w:color="auto" w:fill="9DBDE4"/>
          </w:tcPr>
          <w:p>
            <w:pPr>
              <w:jc w:val="right"/>
              <w:ind w:right="222"/>
              <w:spacing w:after="0"/>
              <w:rPr>
                <w:sz w:val="20"/>
                <w:szCs w:val="20"/>
                <w:color w:val="auto"/>
              </w:rPr>
            </w:pPr>
            <w:r>
              <w:rPr>
                <w:rFonts w:ascii="Arial" w:cs="Arial" w:eastAsia="Arial" w:hAnsi="Arial"/>
                <w:sz w:val="16"/>
                <w:szCs w:val="16"/>
                <w:color w:val="auto"/>
              </w:rPr>
              <w:t>413,060</w:t>
            </w:r>
          </w:p>
        </w:tc>
      </w:tr>
      <w:tr>
        <w:trPr>
          <w:trHeight w:val="205"/>
        </w:trPr>
        <w:tc>
          <w:tcPr>
            <w:tcW w:w="2540" w:type="dxa"/>
            <w:vAlign w:val="bottom"/>
          </w:tcPr>
          <w:p>
            <w:pPr>
              <w:jc w:val="right"/>
              <w:ind w:right="862"/>
              <w:spacing w:after="0"/>
              <w:rPr>
                <w:sz w:val="20"/>
                <w:szCs w:val="20"/>
                <w:color w:val="auto"/>
              </w:rPr>
            </w:pPr>
            <w:r>
              <w:rPr>
                <w:rFonts w:ascii="Arial" w:cs="Arial" w:eastAsia="Arial" w:hAnsi="Arial"/>
                <w:sz w:val="16"/>
                <w:szCs w:val="16"/>
                <w:color w:val="auto"/>
              </w:rPr>
              <w:t>74,050</w:t>
            </w:r>
          </w:p>
        </w:tc>
        <w:tc>
          <w:tcPr>
            <w:tcW w:w="164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2"/>
              <w:spacing w:after="0"/>
              <w:rPr>
                <w:sz w:val="20"/>
                <w:szCs w:val="20"/>
                <w:color w:val="auto"/>
              </w:rPr>
            </w:pPr>
            <w:r>
              <w:rPr>
                <w:rFonts w:ascii="Arial" w:cs="Arial" w:eastAsia="Arial" w:hAnsi="Arial"/>
                <w:sz w:val="16"/>
                <w:szCs w:val="16"/>
                <w:color w:val="auto"/>
              </w:rPr>
              <w:t>111,864</w:t>
            </w:r>
          </w:p>
        </w:tc>
      </w:tr>
      <w:tr>
        <w:trPr>
          <w:trHeight w:val="41"/>
        </w:trPr>
        <w:tc>
          <w:tcPr>
            <w:tcW w:w="25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26"/>
        </w:trPr>
        <w:tc>
          <w:tcPr>
            <w:tcW w:w="2540" w:type="dxa"/>
            <w:vAlign w:val="bottom"/>
            <w:tcBorders>
              <w:bottom w:val="single" w:sz="8" w:color="9DBDE4"/>
            </w:tcBorders>
            <w:shd w:val="clear" w:color="auto" w:fill="9DBDE4"/>
          </w:tcPr>
          <w:p>
            <w:pPr>
              <w:jc w:val="right"/>
              <w:ind w:right="862"/>
              <w:spacing w:after="0"/>
              <w:rPr>
                <w:sz w:val="20"/>
                <w:szCs w:val="20"/>
                <w:color w:val="auto"/>
              </w:rPr>
            </w:pPr>
            <w:r>
              <w:rPr>
                <w:rFonts w:ascii="Arial" w:cs="Arial" w:eastAsia="Arial" w:hAnsi="Arial"/>
                <w:sz w:val="16"/>
                <w:szCs w:val="16"/>
                <w:color w:val="auto"/>
              </w:rPr>
              <w:t>46,603</w:t>
            </w:r>
          </w:p>
        </w:tc>
        <w:tc>
          <w:tcPr>
            <w:tcW w:w="1640" w:type="dxa"/>
            <w:vAlign w:val="bottom"/>
            <w:tcBorders>
              <w:bottom w:val="single" w:sz="8" w:color="9DBDE4"/>
            </w:tcBorders>
            <w:shd w:val="clear" w:color="auto" w:fill="9DBDE4"/>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9DBDE4"/>
            </w:tcBorders>
            <w:shd w:val="clear" w:color="auto" w:fill="9DBDE4"/>
          </w:tcPr>
          <w:p>
            <w:pPr>
              <w:jc w:val="right"/>
              <w:ind w:right="222"/>
              <w:spacing w:after="0"/>
              <w:rPr>
                <w:sz w:val="20"/>
                <w:szCs w:val="20"/>
                <w:color w:val="auto"/>
              </w:rPr>
            </w:pPr>
            <w:r>
              <w:rPr>
                <w:rFonts w:ascii="Arial" w:cs="Arial" w:eastAsia="Arial" w:hAnsi="Arial"/>
                <w:sz w:val="16"/>
                <w:szCs w:val="16"/>
                <w:color w:val="auto"/>
              </w:rPr>
              <w:t>44,196</w:t>
            </w:r>
          </w:p>
        </w:tc>
      </w:tr>
      <w:tr>
        <w:trPr>
          <w:trHeight w:val="205"/>
        </w:trPr>
        <w:tc>
          <w:tcPr>
            <w:tcW w:w="2540" w:type="dxa"/>
            <w:vAlign w:val="bottom"/>
          </w:tcPr>
          <w:p>
            <w:pPr>
              <w:jc w:val="right"/>
              <w:ind w:right="862"/>
              <w:spacing w:after="0"/>
              <w:rPr>
                <w:sz w:val="20"/>
                <w:szCs w:val="20"/>
                <w:color w:val="auto"/>
              </w:rPr>
            </w:pPr>
            <w:r>
              <w:rPr>
                <w:rFonts w:ascii="Arial" w:cs="Arial" w:eastAsia="Arial" w:hAnsi="Arial"/>
                <w:sz w:val="16"/>
                <w:szCs w:val="16"/>
                <w:color w:val="auto"/>
              </w:rPr>
              <w:t>50,061</w:t>
            </w:r>
          </w:p>
        </w:tc>
        <w:tc>
          <w:tcPr>
            <w:tcW w:w="164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2"/>
              <w:spacing w:after="0"/>
              <w:rPr>
                <w:sz w:val="20"/>
                <w:szCs w:val="20"/>
                <w:color w:val="auto"/>
              </w:rPr>
            </w:pPr>
            <w:r>
              <w:rPr>
                <w:rFonts w:ascii="Arial" w:cs="Arial" w:eastAsia="Arial" w:hAnsi="Arial"/>
                <w:sz w:val="16"/>
                <w:szCs w:val="16"/>
                <w:color w:val="auto"/>
              </w:rPr>
              <w:t>13,956</w:t>
            </w:r>
          </w:p>
        </w:tc>
      </w:tr>
      <w:tr>
        <w:trPr>
          <w:trHeight w:val="41"/>
        </w:trPr>
        <w:tc>
          <w:tcPr>
            <w:tcW w:w="25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26"/>
        </w:trPr>
        <w:tc>
          <w:tcPr>
            <w:tcW w:w="2540" w:type="dxa"/>
            <w:vAlign w:val="bottom"/>
            <w:tcBorders>
              <w:bottom w:val="single" w:sz="8" w:color="9DBDE4"/>
            </w:tcBorders>
            <w:shd w:val="clear" w:color="auto" w:fill="9DBDE4"/>
          </w:tcPr>
          <w:p>
            <w:pPr>
              <w:jc w:val="right"/>
              <w:ind w:right="862"/>
              <w:spacing w:after="0"/>
              <w:rPr>
                <w:sz w:val="20"/>
                <w:szCs w:val="20"/>
                <w:color w:val="auto"/>
              </w:rPr>
            </w:pPr>
            <w:r>
              <w:rPr>
                <w:rFonts w:ascii="Arial" w:cs="Arial" w:eastAsia="Arial" w:hAnsi="Arial"/>
                <w:sz w:val="16"/>
                <w:szCs w:val="16"/>
                <w:color w:val="auto"/>
              </w:rPr>
              <w:t>26,350</w:t>
            </w:r>
          </w:p>
        </w:tc>
        <w:tc>
          <w:tcPr>
            <w:tcW w:w="1640" w:type="dxa"/>
            <w:vAlign w:val="bottom"/>
            <w:tcBorders>
              <w:bottom w:val="single" w:sz="8" w:color="9DBDE4"/>
            </w:tcBorders>
            <w:shd w:val="clear" w:color="auto" w:fill="9DBDE4"/>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9DBDE4"/>
            </w:tcBorders>
            <w:shd w:val="clear" w:color="auto" w:fill="9DBDE4"/>
          </w:tcPr>
          <w:p>
            <w:pPr>
              <w:jc w:val="right"/>
              <w:ind w:right="222"/>
              <w:spacing w:after="0"/>
              <w:rPr>
                <w:sz w:val="20"/>
                <w:szCs w:val="20"/>
                <w:color w:val="auto"/>
              </w:rPr>
            </w:pPr>
            <w:r>
              <w:rPr>
                <w:rFonts w:ascii="Arial" w:cs="Arial" w:eastAsia="Arial" w:hAnsi="Arial"/>
                <w:sz w:val="16"/>
                <w:szCs w:val="16"/>
                <w:color w:val="auto"/>
              </w:rPr>
              <w:t>19,362</w:t>
            </w:r>
          </w:p>
        </w:tc>
      </w:tr>
      <w:tr>
        <w:trPr>
          <w:trHeight w:val="387"/>
        </w:trPr>
        <w:tc>
          <w:tcPr>
            <w:tcW w:w="2540" w:type="dxa"/>
            <w:vAlign w:val="bottom"/>
          </w:tcPr>
          <w:p>
            <w:pPr>
              <w:jc w:val="right"/>
              <w:ind w:right="862"/>
              <w:spacing w:after="0"/>
              <w:rPr>
                <w:sz w:val="20"/>
                <w:szCs w:val="20"/>
                <w:color w:val="auto"/>
              </w:rPr>
            </w:pPr>
            <w:r>
              <w:rPr>
                <w:rFonts w:ascii="Arial" w:cs="Arial" w:eastAsia="Arial" w:hAnsi="Arial"/>
                <w:sz w:val="16"/>
                <w:szCs w:val="16"/>
                <w:color w:val="auto"/>
              </w:rPr>
              <w:t>52,844</w:t>
            </w:r>
          </w:p>
        </w:tc>
        <w:tc>
          <w:tcPr>
            <w:tcW w:w="164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2"/>
              <w:spacing w:after="0"/>
              <w:rPr>
                <w:sz w:val="20"/>
                <w:szCs w:val="20"/>
                <w:color w:val="auto"/>
              </w:rPr>
            </w:pPr>
            <w:r>
              <w:rPr>
                <w:rFonts w:ascii="Arial" w:cs="Arial" w:eastAsia="Arial" w:hAnsi="Arial"/>
                <w:sz w:val="16"/>
                <w:szCs w:val="16"/>
                <w:color w:val="auto"/>
              </w:rPr>
              <w:t>79,770</w:t>
            </w:r>
          </w:p>
        </w:tc>
      </w:tr>
      <w:tr>
        <w:trPr>
          <w:trHeight w:val="41"/>
        </w:trPr>
        <w:tc>
          <w:tcPr>
            <w:tcW w:w="25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26"/>
        </w:trPr>
        <w:tc>
          <w:tcPr>
            <w:tcW w:w="2540" w:type="dxa"/>
            <w:vAlign w:val="bottom"/>
            <w:tcBorders>
              <w:bottom w:val="single" w:sz="8" w:color="9DBDE4"/>
            </w:tcBorders>
            <w:shd w:val="clear" w:color="auto" w:fill="9DBDE4"/>
          </w:tcPr>
          <w:p>
            <w:pPr>
              <w:jc w:val="right"/>
              <w:ind w:right="862"/>
              <w:spacing w:after="0"/>
              <w:rPr>
                <w:sz w:val="20"/>
                <w:szCs w:val="20"/>
                <w:color w:val="auto"/>
              </w:rPr>
            </w:pPr>
            <w:r>
              <w:rPr>
                <w:rFonts w:ascii="Arial" w:cs="Arial" w:eastAsia="Arial" w:hAnsi="Arial"/>
                <w:sz w:val="16"/>
                <w:szCs w:val="16"/>
                <w:color w:val="auto"/>
              </w:rPr>
              <w:t>38,603</w:t>
            </w:r>
          </w:p>
        </w:tc>
        <w:tc>
          <w:tcPr>
            <w:tcW w:w="1640" w:type="dxa"/>
            <w:vAlign w:val="bottom"/>
            <w:tcBorders>
              <w:bottom w:val="single" w:sz="8" w:color="9DBDE4"/>
            </w:tcBorders>
            <w:shd w:val="clear" w:color="auto" w:fill="9DBDE4"/>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9DBDE4"/>
            </w:tcBorders>
            <w:shd w:val="clear" w:color="auto" w:fill="9DBDE4"/>
          </w:tcPr>
          <w:p>
            <w:pPr>
              <w:jc w:val="right"/>
              <w:ind w:right="222"/>
              <w:spacing w:after="0"/>
              <w:rPr>
                <w:sz w:val="20"/>
                <w:szCs w:val="20"/>
                <w:color w:val="auto"/>
              </w:rPr>
            </w:pPr>
            <w:r>
              <w:rPr>
                <w:rFonts w:ascii="Arial" w:cs="Arial" w:eastAsia="Arial" w:hAnsi="Arial"/>
                <w:sz w:val="16"/>
                <w:szCs w:val="16"/>
                <w:color w:val="auto"/>
              </w:rPr>
              <w:t>58,258</w:t>
            </w:r>
          </w:p>
        </w:tc>
      </w:tr>
      <w:tr>
        <w:trPr>
          <w:trHeight w:val="387"/>
        </w:trPr>
        <w:tc>
          <w:tcPr>
            <w:tcW w:w="2540" w:type="dxa"/>
            <w:vAlign w:val="bottom"/>
          </w:tcPr>
          <w:p>
            <w:pPr>
              <w:jc w:val="right"/>
              <w:ind w:right="862"/>
              <w:spacing w:after="0"/>
              <w:rPr>
                <w:sz w:val="20"/>
                <w:szCs w:val="20"/>
                <w:color w:val="auto"/>
              </w:rPr>
            </w:pPr>
            <w:r>
              <w:rPr>
                <w:rFonts w:ascii="Arial" w:cs="Arial" w:eastAsia="Arial" w:hAnsi="Arial"/>
                <w:sz w:val="16"/>
                <w:szCs w:val="16"/>
                <w:color w:val="auto"/>
              </w:rPr>
              <w:t>24,944</w:t>
            </w:r>
          </w:p>
        </w:tc>
        <w:tc>
          <w:tcPr>
            <w:tcW w:w="164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2"/>
              <w:spacing w:after="0"/>
              <w:rPr>
                <w:sz w:val="20"/>
                <w:szCs w:val="20"/>
                <w:color w:val="auto"/>
              </w:rPr>
            </w:pPr>
            <w:r>
              <w:rPr>
                <w:rFonts w:ascii="Arial" w:cs="Arial" w:eastAsia="Arial" w:hAnsi="Arial"/>
                <w:sz w:val="16"/>
                <w:szCs w:val="16"/>
                <w:color w:val="auto"/>
              </w:rPr>
              <w:t>-</w:t>
            </w:r>
          </w:p>
        </w:tc>
      </w:tr>
      <w:tr>
        <w:trPr>
          <w:trHeight w:val="41"/>
        </w:trPr>
        <w:tc>
          <w:tcPr>
            <w:tcW w:w="25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26"/>
        </w:trPr>
        <w:tc>
          <w:tcPr>
            <w:tcW w:w="2540" w:type="dxa"/>
            <w:vAlign w:val="bottom"/>
            <w:tcBorders>
              <w:bottom w:val="single" w:sz="8" w:color="9DBDE4"/>
            </w:tcBorders>
            <w:shd w:val="clear" w:color="auto" w:fill="9DBDE4"/>
          </w:tcPr>
          <w:p>
            <w:pPr>
              <w:jc w:val="right"/>
              <w:ind w:right="862"/>
              <w:spacing w:after="0"/>
              <w:rPr>
                <w:sz w:val="20"/>
                <w:szCs w:val="20"/>
                <w:color w:val="auto"/>
              </w:rPr>
            </w:pPr>
            <w:r>
              <w:rPr>
                <w:rFonts w:ascii="Arial" w:cs="Arial" w:eastAsia="Arial" w:hAnsi="Arial"/>
                <w:sz w:val="16"/>
                <w:szCs w:val="16"/>
                <w:color w:val="auto"/>
              </w:rPr>
              <w:t>460,758</w:t>
            </w:r>
          </w:p>
        </w:tc>
        <w:tc>
          <w:tcPr>
            <w:tcW w:w="1640" w:type="dxa"/>
            <w:vAlign w:val="bottom"/>
            <w:tcBorders>
              <w:bottom w:val="single" w:sz="8" w:color="9DBDE4"/>
            </w:tcBorders>
            <w:shd w:val="clear" w:color="auto" w:fill="9DBDE4"/>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9DBDE4"/>
            </w:tcBorders>
            <w:shd w:val="clear" w:color="auto" w:fill="9DBDE4"/>
          </w:tcPr>
          <w:p>
            <w:pPr>
              <w:jc w:val="right"/>
              <w:ind w:right="222"/>
              <w:spacing w:after="0"/>
              <w:rPr>
                <w:sz w:val="20"/>
                <w:szCs w:val="20"/>
                <w:color w:val="auto"/>
              </w:rPr>
            </w:pPr>
            <w:r>
              <w:rPr>
                <w:rFonts w:ascii="Arial" w:cs="Arial" w:eastAsia="Arial" w:hAnsi="Arial"/>
                <w:sz w:val="16"/>
                <w:szCs w:val="16"/>
                <w:color w:val="auto"/>
              </w:rPr>
              <w:t>740,466</w:t>
            </w:r>
          </w:p>
        </w:tc>
      </w:tr>
      <w:tr>
        <w:trPr>
          <w:trHeight w:val="205"/>
        </w:trPr>
        <w:tc>
          <w:tcPr>
            <w:tcW w:w="2540" w:type="dxa"/>
            <w:vAlign w:val="bottom"/>
          </w:tcPr>
          <w:p>
            <w:pPr>
              <w:jc w:val="right"/>
              <w:ind w:right="862"/>
              <w:spacing w:after="0"/>
              <w:rPr>
                <w:sz w:val="20"/>
                <w:szCs w:val="20"/>
                <w:color w:val="auto"/>
              </w:rPr>
            </w:pPr>
            <w:r>
              <w:rPr>
                <w:rFonts w:ascii="Arial" w:cs="Arial" w:eastAsia="Arial" w:hAnsi="Arial"/>
                <w:sz w:val="16"/>
                <w:szCs w:val="16"/>
                <w:color w:val="auto"/>
              </w:rPr>
              <w:t>156,934</w:t>
            </w:r>
          </w:p>
        </w:tc>
        <w:tc>
          <w:tcPr>
            <w:tcW w:w="164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2"/>
              <w:spacing w:after="0"/>
              <w:rPr>
                <w:sz w:val="20"/>
                <w:szCs w:val="20"/>
                <w:color w:val="auto"/>
              </w:rPr>
            </w:pPr>
            <w:r>
              <w:rPr>
                <w:rFonts w:ascii="Arial" w:cs="Arial" w:eastAsia="Arial" w:hAnsi="Arial"/>
                <w:sz w:val="16"/>
                <w:szCs w:val="16"/>
                <w:color w:val="auto"/>
              </w:rPr>
              <w:t>-</w:t>
            </w:r>
          </w:p>
        </w:tc>
      </w:tr>
      <w:tr>
        <w:trPr>
          <w:trHeight w:val="41"/>
        </w:trPr>
        <w:tc>
          <w:tcPr>
            <w:tcW w:w="25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46"/>
        </w:trPr>
        <w:tc>
          <w:tcPr>
            <w:tcW w:w="2540" w:type="dxa"/>
            <w:vAlign w:val="bottom"/>
            <w:shd w:val="clear" w:color="auto" w:fill="9DBDE4"/>
          </w:tcPr>
          <w:p>
            <w:pPr>
              <w:spacing w:after="0"/>
              <w:rPr>
                <w:sz w:val="21"/>
                <w:szCs w:val="21"/>
                <w:color w:val="auto"/>
              </w:rPr>
            </w:pPr>
          </w:p>
        </w:tc>
        <w:tc>
          <w:tcPr>
            <w:tcW w:w="1640" w:type="dxa"/>
            <w:vAlign w:val="bottom"/>
            <w:shd w:val="clear" w:color="auto" w:fill="9DBDE4"/>
          </w:tcPr>
          <w:p>
            <w:pPr>
              <w:spacing w:after="0"/>
              <w:rPr>
                <w:sz w:val="21"/>
                <w:szCs w:val="21"/>
                <w:color w:val="auto"/>
              </w:rPr>
            </w:pPr>
          </w:p>
        </w:tc>
        <w:tc>
          <w:tcPr>
            <w:tcW w:w="1540" w:type="dxa"/>
            <w:vAlign w:val="bottom"/>
            <w:shd w:val="clear" w:color="auto" w:fill="9DBDE4"/>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-155575</wp:posOffset>
            </wp:positionV>
            <wp:extent cx="8255" cy="1562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-155575</wp:posOffset>
            </wp:positionV>
            <wp:extent cx="8255" cy="1562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-155575</wp:posOffset>
            </wp:positionV>
            <wp:extent cx="8255" cy="1562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-467995</wp:posOffset>
            </wp:positionV>
            <wp:extent cx="8255" cy="1562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-467995</wp:posOffset>
            </wp:positionV>
            <wp:extent cx="8255" cy="1562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-467995</wp:posOffset>
            </wp:positionV>
            <wp:extent cx="8255" cy="1562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-895985</wp:posOffset>
            </wp:positionV>
            <wp:extent cx="8255" cy="156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-895985</wp:posOffset>
            </wp:positionV>
            <wp:extent cx="8255" cy="1562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-895985</wp:posOffset>
            </wp:positionV>
            <wp:extent cx="8255" cy="1562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-1323340</wp:posOffset>
            </wp:positionV>
            <wp:extent cx="8255" cy="1562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-1323340</wp:posOffset>
            </wp:positionV>
            <wp:extent cx="8255" cy="1562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-1323340</wp:posOffset>
            </wp:positionV>
            <wp:extent cx="8255" cy="1562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-1635760</wp:posOffset>
            </wp:positionV>
            <wp:extent cx="8255" cy="156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-1635760</wp:posOffset>
            </wp:positionV>
            <wp:extent cx="8255" cy="1562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-1635760</wp:posOffset>
            </wp:positionV>
            <wp:extent cx="8255" cy="1562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-2063750</wp:posOffset>
            </wp:positionV>
            <wp:extent cx="8255" cy="271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27114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-2063750</wp:posOffset>
            </wp:positionV>
            <wp:extent cx="8255" cy="271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271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-2063750</wp:posOffset>
            </wp:positionV>
            <wp:extent cx="8255" cy="271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271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580" w:space="20"/>
            <w:col w:w="5720"/>
          </w:cols>
          <w:pgMar w:left="1280" w:top="285" w:right="129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3600" w:type="dxa"/>
            <w:vAlign w:val="bottom"/>
          </w:tcPr>
          <w:p>
            <w:pPr>
              <w:ind w:left="320"/>
              <w:spacing w:after="0"/>
              <w:rPr>
                <w:sz w:val="20"/>
                <w:szCs w:val="20"/>
                <w:color w:val="auto"/>
              </w:rPr>
            </w:pPr>
            <w:r>
              <w:rPr>
                <w:rFonts w:ascii="Arial" w:cs="Arial" w:eastAsia="Arial" w:hAnsi="Arial"/>
                <w:sz w:val="16"/>
                <w:szCs w:val="16"/>
                <w:color w:val="auto"/>
              </w:rPr>
              <w:t>Janet O. Estep</w:t>
            </w:r>
          </w:p>
        </w:tc>
        <w:tc>
          <w:tcPr>
            <w:tcW w:w="2540" w:type="dxa"/>
            <w:vAlign w:val="bottom"/>
          </w:tcPr>
          <w:p>
            <w:pPr>
              <w:jc w:val="right"/>
              <w:ind w:right="862"/>
              <w:spacing w:after="0"/>
              <w:rPr>
                <w:sz w:val="20"/>
                <w:szCs w:val="20"/>
                <w:color w:val="auto"/>
              </w:rPr>
            </w:pPr>
            <w:r>
              <w:rPr>
                <w:rFonts w:ascii="Arial" w:cs="Arial" w:eastAsia="Arial" w:hAnsi="Arial"/>
                <w:sz w:val="16"/>
                <w:szCs w:val="16"/>
                <w:color w:val="auto"/>
              </w:rPr>
              <w:t>24,944</w:t>
            </w:r>
          </w:p>
        </w:tc>
        <w:tc>
          <w:tcPr>
            <w:tcW w:w="164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2"/>
              <w:spacing w:after="0"/>
              <w:rPr>
                <w:sz w:val="20"/>
                <w:szCs w:val="20"/>
                <w:color w:val="auto"/>
              </w:rPr>
            </w:pPr>
            <w:r>
              <w:rPr>
                <w:rFonts w:ascii="Arial" w:cs="Arial" w:eastAsia="Arial" w:hAnsi="Arial"/>
                <w:sz w:val="16"/>
                <w:szCs w:val="16"/>
                <w:color w:val="auto"/>
              </w:rPr>
              <w:t>-</w:t>
            </w:r>
          </w:p>
        </w:tc>
      </w:tr>
      <w:tr>
        <w:trPr>
          <w:trHeight w:val="41"/>
        </w:trPr>
        <w:tc>
          <w:tcPr>
            <w:tcW w:w="36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26"/>
        </w:trPr>
        <w:tc>
          <w:tcPr>
            <w:tcW w:w="3600" w:type="dxa"/>
            <w:vAlign w:val="bottom"/>
            <w:tcBorders>
              <w:bottom w:val="single" w:sz="8" w:color="9DBDE4"/>
            </w:tcBorders>
            <w:shd w:val="clear" w:color="auto" w:fill="9DBDE4"/>
          </w:tcPr>
          <w:p>
            <w:pPr>
              <w:ind w:left="320"/>
              <w:spacing w:after="0"/>
              <w:rPr>
                <w:sz w:val="20"/>
                <w:szCs w:val="20"/>
                <w:color w:val="auto"/>
              </w:rPr>
            </w:pPr>
            <w:r>
              <w:rPr>
                <w:rFonts w:ascii="Arial" w:cs="Arial" w:eastAsia="Arial" w:hAnsi="Arial"/>
                <w:sz w:val="16"/>
                <w:szCs w:val="16"/>
                <w:color w:val="auto"/>
              </w:rPr>
              <w:t>James C. Hale III</w:t>
            </w:r>
          </w:p>
        </w:tc>
        <w:tc>
          <w:tcPr>
            <w:tcW w:w="2540" w:type="dxa"/>
            <w:vAlign w:val="bottom"/>
            <w:tcBorders>
              <w:bottom w:val="single" w:sz="8" w:color="9DBDE4"/>
            </w:tcBorders>
            <w:shd w:val="clear" w:color="auto" w:fill="9DBDE4"/>
          </w:tcPr>
          <w:p>
            <w:pPr>
              <w:jc w:val="right"/>
              <w:ind w:right="862"/>
              <w:spacing w:after="0"/>
              <w:rPr>
                <w:sz w:val="20"/>
                <w:szCs w:val="20"/>
                <w:color w:val="auto"/>
              </w:rPr>
            </w:pPr>
            <w:r>
              <w:rPr>
                <w:rFonts w:ascii="Arial" w:cs="Arial" w:eastAsia="Arial" w:hAnsi="Arial"/>
                <w:sz w:val="16"/>
                <w:szCs w:val="16"/>
                <w:color w:val="auto"/>
              </w:rPr>
              <w:t>24,944</w:t>
            </w:r>
          </w:p>
        </w:tc>
        <w:tc>
          <w:tcPr>
            <w:tcW w:w="1640" w:type="dxa"/>
            <w:vAlign w:val="bottom"/>
            <w:tcBorders>
              <w:bottom w:val="single" w:sz="8" w:color="9DBDE4"/>
            </w:tcBorders>
            <w:shd w:val="clear" w:color="auto" w:fill="9DBDE4"/>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9DBDE4"/>
            </w:tcBorders>
            <w:shd w:val="clear" w:color="auto" w:fill="9DBDE4"/>
          </w:tcPr>
          <w:p>
            <w:pPr>
              <w:jc w:val="right"/>
              <w:ind w:right="222"/>
              <w:spacing w:after="0"/>
              <w:rPr>
                <w:sz w:val="20"/>
                <w:szCs w:val="20"/>
                <w:color w:val="auto"/>
              </w:rPr>
            </w:pPr>
            <w:r>
              <w:rPr>
                <w:rFonts w:ascii="Arial" w:cs="Arial" w:eastAsia="Arial" w:hAnsi="Arial"/>
                <w:sz w:val="16"/>
                <w:szCs w:val="16"/>
                <w:color w:val="auto"/>
              </w:rPr>
              <w:t>-</w:t>
            </w:r>
          </w:p>
        </w:tc>
      </w:tr>
      <w:tr>
        <w:trPr>
          <w:trHeight w:val="205"/>
        </w:trPr>
        <w:tc>
          <w:tcPr>
            <w:tcW w:w="3600" w:type="dxa"/>
            <w:vAlign w:val="bottom"/>
          </w:tcPr>
          <w:p>
            <w:pPr>
              <w:ind w:left="320"/>
              <w:spacing w:after="0"/>
              <w:rPr>
                <w:sz w:val="20"/>
                <w:szCs w:val="20"/>
                <w:color w:val="auto"/>
              </w:rPr>
            </w:pPr>
            <w:r>
              <w:rPr>
                <w:rFonts w:ascii="Arial" w:cs="Arial" w:eastAsia="Arial" w:hAnsi="Arial"/>
                <w:sz w:val="16"/>
                <w:szCs w:val="16"/>
                <w:color w:val="auto"/>
              </w:rPr>
              <w:t>Mary P. Harman</w:t>
            </w:r>
          </w:p>
        </w:tc>
        <w:tc>
          <w:tcPr>
            <w:tcW w:w="2540" w:type="dxa"/>
            <w:vAlign w:val="bottom"/>
          </w:tcPr>
          <w:p>
            <w:pPr>
              <w:jc w:val="right"/>
              <w:ind w:right="862"/>
              <w:spacing w:after="0"/>
              <w:rPr>
                <w:sz w:val="20"/>
                <w:szCs w:val="20"/>
                <w:color w:val="auto"/>
              </w:rPr>
            </w:pPr>
            <w:r>
              <w:rPr>
                <w:rFonts w:ascii="Arial" w:cs="Arial" w:eastAsia="Arial" w:hAnsi="Arial"/>
                <w:sz w:val="16"/>
                <w:szCs w:val="16"/>
                <w:color w:val="auto"/>
              </w:rPr>
              <w:t>16,107</w:t>
            </w:r>
          </w:p>
        </w:tc>
        <w:tc>
          <w:tcPr>
            <w:tcW w:w="164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2"/>
              <w:spacing w:after="0"/>
              <w:rPr>
                <w:sz w:val="20"/>
                <w:szCs w:val="20"/>
                <w:color w:val="auto"/>
              </w:rPr>
            </w:pPr>
            <w:r>
              <w:rPr>
                <w:rFonts w:ascii="Arial" w:cs="Arial" w:eastAsia="Arial" w:hAnsi="Arial"/>
                <w:sz w:val="16"/>
                <w:szCs w:val="16"/>
                <w:color w:val="auto"/>
              </w:rPr>
              <w:t>-</w:t>
            </w:r>
          </w:p>
        </w:tc>
      </w:tr>
      <w:tr>
        <w:trPr>
          <w:trHeight w:val="41"/>
        </w:trPr>
        <w:tc>
          <w:tcPr>
            <w:tcW w:w="36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26"/>
        </w:trPr>
        <w:tc>
          <w:tcPr>
            <w:tcW w:w="3600" w:type="dxa"/>
            <w:vAlign w:val="bottom"/>
            <w:tcBorders>
              <w:bottom w:val="single" w:sz="8" w:color="9DBDE4"/>
            </w:tcBorders>
            <w:shd w:val="clear" w:color="auto" w:fill="9DBDE4"/>
          </w:tcPr>
          <w:p>
            <w:pPr>
              <w:ind w:left="320"/>
              <w:spacing w:after="0"/>
              <w:rPr>
                <w:sz w:val="20"/>
                <w:szCs w:val="20"/>
                <w:color w:val="auto"/>
              </w:rPr>
            </w:pPr>
            <w:r>
              <w:rPr>
                <w:rFonts w:ascii="Arial" w:cs="Arial" w:eastAsia="Arial" w:hAnsi="Arial"/>
                <w:sz w:val="16"/>
                <w:szCs w:val="16"/>
                <w:color w:val="auto"/>
              </w:rPr>
              <w:t>Charles E. Peters, Jr.</w:t>
            </w:r>
          </w:p>
        </w:tc>
        <w:tc>
          <w:tcPr>
            <w:tcW w:w="2540" w:type="dxa"/>
            <w:vAlign w:val="bottom"/>
            <w:tcBorders>
              <w:bottom w:val="single" w:sz="8" w:color="9DBDE4"/>
            </w:tcBorders>
            <w:shd w:val="clear" w:color="auto" w:fill="9DBDE4"/>
          </w:tcPr>
          <w:p>
            <w:pPr>
              <w:jc w:val="right"/>
              <w:ind w:right="862"/>
              <w:spacing w:after="0"/>
              <w:rPr>
                <w:sz w:val="20"/>
                <w:szCs w:val="20"/>
                <w:color w:val="auto"/>
              </w:rPr>
            </w:pPr>
            <w:r>
              <w:rPr>
                <w:rFonts w:ascii="Arial" w:cs="Arial" w:eastAsia="Arial" w:hAnsi="Arial"/>
                <w:sz w:val="16"/>
                <w:szCs w:val="16"/>
                <w:color w:val="auto"/>
              </w:rPr>
              <w:t>24,944</w:t>
            </w:r>
          </w:p>
        </w:tc>
        <w:tc>
          <w:tcPr>
            <w:tcW w:w="1640" w:type="dxa"/>
            <w:vAlign w:val="bottom"/>
            <w:tcBorders>
              <w:bottom w:val="single" w:sz="8" w:color="9DBDE4"/>
            </w:tcBorders>
            <w:shd w:val="clear" w:color="auto" w:fill="9DBDE4"/>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9DBDE4"/>
            </w:tcBorders>
            <w:shd w:val="clear" w:color="auto" w:fill="9DBDE4"/>
          </w:tcPr>
          <w:p>
            <w:pPr>
              <w:jc w:val="right"/>
              <w:ind w:right="222"/>
              <w:spacing w:after="0"/>
              <w:rPr>
                <w:sz w:val="20"/>
                <w:szCs w:val="20"/>
                <w:color w:val="auto"/>
              </w:rPr>
            </w:pPr>
            <w:r>
              <w:rPr>
                <w:rFonts w:ascii="Arial" w:cs="Arial" w:eastAsia="Arial" w:hAnsi="Arial"/>
                <w:sz w:val="16"/>
                <w:szCs w:val="16"/>
                <w:color w:val="auto"/>
              </w:rPr>
              <w:t>-</w:t>
            </w:r>
          </w:p>
        </w:tc>
      </w:tr>
      <w:tr>
        <w:trPr>
          <w:trHeight w:val="205"/>
        </w:trPr>
        <w:tc>
          <w:tcPr>
            <w:tcW w:w="3600" w:type="dxa"/>
            <w:vAlign w:val="bottom"/>
          </w:tcPr>
          <w:p>
            <w:pPr>
              <w:ind w:left="320"/>
              <w:spacing w:after="0"/>
              <w:rPr>
                <w:sz w:val="20"/>
                <w:szCs w:val="20"/>
                <w:color w:val="auto"/>
              </w:rPr>
            </w:pPr>
            <w:r>
              <w:rPr>
                <w:rFonts w:ascii="Arial" w:cs="Arial" w:eastAsia="Arial" w:hAnsi="Arial"/>
                <w:sz w:val="16"/>
                <w:szCs w:val="16"/>
                <w:color w:val="auto"/>
              </w:rPr>
              <w:t>Adalio T. Sanchez</w:t>
            </w:r>
          </w:p>
        </w:tc>
        <w:tc>
          <w:tcPr>
            <w:tcW w:w="2540" w:type="dxa"/>
            <w:vAlign w:val="bottom"/>
          </w:tcPr>
          <w:p>
            <w:pPr>
              <w:jc w:val="right"/>
              <w:ind w:right="862"/>
              <w:spacing w:after="0"/>
              <w:rPr>
                <w:sz w:val="20"/>
                <w:szCs w:val="20"/>
                <w:color w:val="auto"/>
              </w:rPr>
            </w:pPr>
            <w:r>
              <w:rPr>
                <w:rFonts w:ascii="Arial" w:cs="Arial" w:eastAsia="Arial" w:hAnsi="Arial"/>
                <w:sz w:val="16"/>
                <w:szCs w:val="16"/>
                <w:color w:val="auto"/>
              </w:rPr>
              <w:t>24,944</w:t>
            </w:r>
          </w:p>
        </w:tc>
        <w:tc>
          <w:tcPr>
            <w:tcW w:w="164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2"/>
              <w:spacing w:after="0"/>
              <w:rPr>
                <w:sz w:val="20"/>
                <w:szCs w:val="20"/>
                <w:color w:val="auto"/>
              </w:rPr>
            </w:pPr>
            <w:r>
              <w:rPr>
                <w:rFonts w:ascii="Arial" w:cs="Arial" w:eastAsia="Arial" w:hAnsi="Arial"/>
                <w:sz w:val="16"/>
                <w:szCs w:val="16"/>
                <w:color w:val="auto"/>
              </w:rPr>
              <w:t>-</w:t>
            </w:r>
          </w:p>
        </w:tc>
      </w:tr>
      <w:tr>
        <w:trPr>
          <w:trHeight w:val="41"/>
        </w:trPr>
        <w:tc>
          <w:tcPr>
            <w:tcW w:w="36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26"/>
        </w:trPr>
        <w:tc>
          <w:tcPr>
            <w:tcW w:w="3600" w:type="dxa"/>
            <w:vAlign w:val="bottom"/>
            <w:tcBorders>
              <w:bottom w:val="single" w:sz="8" w:color="9DBDE4"/>
            </w:tcBorders>
            <w:shd w:val="clear" w:color="auto" w:fill="9DBDE4"/>
          </w:tcPr>
          <w:p>
            <w:pPr>
              <w:ind w:left="320"/>
              <w:spacing w:after="0"/>
              <w:rPr>
                <w:sz w:val="20"/>
                <w:szCs w:val="20"/>
                <w:color w:val="auto"/>
              </w:rPr>
            </w:pPr>
            <w:r>
              <w:rPr>
                <w:rFonts w:ascii="Arial" w:cs="Arial" w:eastAsia="Arial" w:hAnsi="Arial"/>
                <w:sz w:val="16"/>
                <w:szCs w:val="16"/>
                <w:color w:val="auto"/>
              </w:rPr>
              <w:t>Thomas W. Warsop, III</w:t>
            </w:r>
          </w:p>
        </w:tc>
        <w:tc>
          <w:tcPr>
            <w:tcW w:w="2540" w:type="dxa"/>
            <w:vAlign w:val="bottom"/>
            <w:tcBorders>
              <w:bottom w:val="single" w:sz="8" w:color="9DBDE4"/>
            </w:tcBorders>
            <w:shd w:val="clear" w:color="auto" w:fill="9DBDE4"/>
          </w:tcPr>
          <w:p>
            <w:pPr>
              <w:jc w:val="right"/>
              <w:ind w:right="862"/>
              <w:spacing w:after="0"/>
              <w:rPr>
                <w:sz w:val="20"/>
                <w:szCs w:val="20"/>
                <w:color w:val="auto"/>
              </w:rPr>
            </w:pPr>
            <w:r>
              <w:rPr>
                <w:rFonts w:ascii="Arial" w:cs="Arial" w:eastAsia="Arial" w:hAnsi="Arial"/>
                <w:sz w:val="16"/>
                <w:szCs w:val="16"/>
                <w:color w:val="auto"/>
              </w:rPr>
              <w:t>24,944</w:t>
            </w:r>
          </w:p>
        </w:tc>
        <w:tc>
          <w:tcPr>
            <w:tcW w:w="1640" w:type="dxa"/>
            <w:vAlign w:val="bottom"/>
            <w:tcBorders>
              <w:bottom w:val="single" w:sz="8" w:color="9DBDE4"/>
            </w:tcBorders>
            <w:shd w:val="clear" w:color="auto" w:fill="9DBDE4"/>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9DBDE4"/>
            </w:tcBorders>
            <w:shd w:val="clear" w:color="auto" w:fill="9DBDE4"/>
          </w:tcPr>
          <w:p>
            <w:pPr>
              <w:jc w:val="right"/>
              <w:ind w:right="222"/>
              <w:spacing w:after="0"/>
              <w:rPr>
                <w:sz w:val="20"/>
                <w:szCs w:val="20"/>
                <w:color w:val="auto"/>
              </w:rPr>
            </w:pPr>
            <w:r>
              <w:rPr>
                <w:rFonts w:ascii="Arial" w:cs="Arial" w:eastAsia="Arial" w:hAnsi="Arial"/>
                <w:sz w:val="16"/>
                <w:szCs w:val="16"/>
                <w:color w:val="auto"/>
              </w:rPr>
              <w:t>-</w:t>
            </w:r>
          </w:p>
        </w:tc>
      </w:tr>
      <w:tr>
        <w:trPr>
          <w:trHeight w:val="205"/>
        </w:trPr>
        <w:tc>
          <w:tcPr>
            <w:tcW w:w="3600" w:type="dxa"/>
            <w:vAlign w:val="bottom"/>
          </w:tcPr>
          <w:p>
            <w:pPr>
              <w:ind w:left="320"/>
              <w:spacing w:after="0"/>
              <w:rPr>
                <w:sz w:val="20"/>
                <w:szCs w:val="20"/>
                <w:color w:val="auto"/>
              </w:rPr>
            </w:pPr>
            <w:r>
              <w:rPr>
                <w:rFonts w:ascii="Arial" w:cs="Arial" w:eastAsia="Arial" w:hAnsi="Arial"/>
                <w:sz w:val="16"/>
                <w:szCs w:val="16"/>
                <w:color w:val="auto"/>
              </w:rPr>
              <w:t>Samir M. Zabaneh</w:t>
            </w:r>
          </w:p>
        </w:tc>
        <w:tc>
          <w:tcPr>
            <w:tcW w:w="2540" w:type="dxa"/>
            <w:vAlign w:val="bottom"/>
          </w:tcPr>
          <w:p>
            <w:pPr>
              <w:jc w:val="right"/>
              <w:ind w:right="862"/>
              <w:spacing w:after="0"/>
              <w:rPr>
                <w:sz w:val="20"/>
                <w:szCs w:val="20"/>
                <w:color w:val="auto"/>
              </w:rPr>
            </w:pPr>
            <w:r>
              <w:rPr>
                <w:rFonts w:ascii="Arial" w:cs="Arial" w:eastAsia="Arial" w:hAnsi="Arial"/>
                <w:sz w:val="16"/>
                <w:szCs w:val="16"/>
                <w:color w:val="auto"/>
              </w:rPr>
              <w:t>16,107</w:t>
            </w:r>
          </w:p>
        </w:tc>
        <w:tc>
          <w:tcPr>
            <w:tcW w:w="164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2"/>
              <w:spacing w:after="0"/>
              <w:rPr>
                <w:sz w:val="20"/>
                <w:szCs w:val="20"/>
                <w:color w:val="auto"/>
              </w:rPr>
            </w:pPr>
            <w:r>
              <w:rPr>
                <w:rFonts w:ascii="Arial" w:cs="Arial" w:eastAsia="Arial" w:hAnsi="Arial"/>
                <w:sz w:val="16"/>
                <w:szCs w:val="16"/>
                <w:color w:val="auto"/>
              </w:rPr>
              <w:t>-</w:t>
            </w:r>
          </w:p>
        </w:tc>
      </w:tr>
      <w:tr>
        <w:trPr>
          <w:trHeight w:val="41"/>
        </w:trPr>
        <w:tc>
          <w:tcPr>
            <w:tcW w:w="36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26"/>
        </w:trPr>
        <w:tc>
          <w:tcPr>
            <w:tcW w:w="3600" w:type="dxa"/>
            <w:vAlign w:val="bottom"/>
            <w:tcBorders>
              <w:bottom w:val="single" w:sz="8" w:color="9DBDE4"/>
            </w:tcBorders>
            <w:shd w:val="clear" w:color="auto" w:fill="9DBDE4"/>
          </w:tcPr>
          <w:p>
            <w:pPr>
              <w:ind w:left="80"/>
              <w:spacing w:after="0"/>
              <w:rPr>
                <w:sz w:val="20"/>
                <w:szCs w:val="20"/>
                <w:color w:val="auto"/>
              </w:rPr>
            </w:pPr>
            <w:r>
              <w:rPr>
                <w:rFonts w:ascii="Arial" w:cs="Arial" w:eastAsia="Arial" w:hAnsi="Arial"/>
                <w:sz w:val="16"/>
                <w:szCs w:val="16"/>
                <w:b w:val="1"/>
                <w:bCs w:val="1"/>
                <w:color w:val="auto"/>
              </w:rPr>
              <w:t>Each associate of any of the foregoing</w:t>
            </w:r>
          </w:p>
        </w:tc>
        <w:tc>
          <w:tcPr>
            <w:tcW w:w="2540" w:type="dxa"/>
            <w:vAlign w:val="bottom"/>
            <w:tcBorders>
              <w:bottom w:val="single" w:sz="8" w:color="9DBDE4"/>
            </w:tcBorders>
            <w:shd w:val="clear" w:color="auto" w:fill="9DBDE4"/>
          </w:tcPr>
          <w:p>
            <w:pPr>
              <w:jc w:val="right"/>
              <w:ind w:right="862"/>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9DBDE4"/>
            </w:tcBorders>
            <w:shd w:val="clear" w:color="auto" w:fill="9DBDE4"/>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9DBDE4"/>
            </w:tcBorders>
            <w:shd w:val="clear" w:color="auto" w:fill="9DBDE4"/>
          </w:tcPr>
          <w:p>
            <w:pPr>
              <w:jc w:val="right"/>
              <w:ind w:right="222"/>
              <w:spacing w:after="0"/>
              <w:rPr>
                <w:sz w:val="20"/>
                <w:szCs w:val="20"/>
                <w:color w:val="auto"/>
              </w:rPr>
            </w:pPr>
            <w:r>
              <w:rPr>
                <w:rFonts w:ascii="Arial" w:cs="Arial" w:eastAsia="Arial" w:hAnsi="Arial"/>
                <w:sz w:val="16"/>
                <w:szCs w:val="16"/>
                <w:color w:val="auto"/>
              </w:rPr>
              <w:t>-</w:t>
            </w:r>
          </w:p>
        </w:tc>
      </w:tr>
      <w:tr>
        <w:trPr>
          <w:trHeight w:val="180"/>
        </w:trPr>
        <w:tc>
          <w:tcPr>
            <w:tcW w:w="3600" w:type="dxa"/>
            <w:vAlign w:val="bottom"/>
          </w:tcPr>
          <w:p>
            <w:pPr>
              <w:ind w:left="80"/>
              <w:spacing w:after="0" w:line="180" w:lineRule="exact"/>
              <w:rPr>
                <w:sz w:val="20"/>
                <w:szCs w:val="20"/>
                <w:color w:val="auto"/>
              </w:rPr>
            </w:pPr>
            <w:r>
              <w:rPr>
                <w:rFonts w:ascii="Arial" w:cs="Arial" w:eastAsia="Arial" w:hAnsi="Arial"/>
                <w:sz w:val="16"/>
                <w:szCs w:val="16"/>
                <w:b w:val="1"/>
                <w:bCs w:val="1"/>
                <w:color w:val="auto"/>
                <w:w w:val="99"/>
              </w:rPr>
              <w:t>Each other person who received at least 5% of</w:t>
            </w:r>
          </w:p>
        </w:tc>
        <w:tc>
          <w:tcPr>
            <w:tcW w:w="2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5"/>
        </w:trPr>
        <w:tc>
          <w:tcPr>
            <w:tcW w:w="3600" w:type="dxa"/>
            <w:vAlign w:val="bottom"/>
          </w:tcPr>
          <w:p>
            <w:pPr>
              <w:ind w:left="80"/>
              <w:spacing w:after="0"/>
              <w:rPr>
                <w:sz w:val="20"/>
                <w:szCs w:val="20"/>
                <w:color w:val="auto"/>
              </w:rPr>
            </w:pPr>
            <w:r>
              <w:rPr>
                <w:rFonts w:ascii="Arial" w:cs="Arial" w:eastAsia="Arial" w:hAnsi="Arial"/>
                <w:sz w:val="16"/>
                <w:szCs w:val="16"/>
                <w:b w:val="1"/>
                <w:bCs w:val="1"/>
                <w:color w:val="auto"/>
              </w:rPr>
              <w:t>all awards</w:t>
            </w:r>
          </w:p>
        </w:tc>
        <w:tc>
          <w:tcPr>
            <w:tcW w:w="254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2"/>
              <w:spacing w:after="0"/>
              <w:rPr>
                <w:sz w:val="20"/>
                <w:szCs w:val="20"/>
                <w:color w:val="auto"/>
              </w:rPr>
            </w:pPr>
            <w:r>
              <w:rPr>
                <w:rFonts w:ascii="Arial" w:cs="Arial" w:eastAsia="Arial" w:hAnsi="Arial"/>
                <w:sz w:val="16"/>
                <w:szCs w:val="16"/>
                <w:color w:val="auto"/>
              </w:rPr>
              <w:t>-</w:t>
            </w:r>
          </w:p>
        </w:tc>
      </w:tr>
      <w:tr>
        <w:trPr>
          <w:trHeight w:val="33"/>
        </w:trPr>
        <w:tc>
          <w:tcPr>
            <w:tcW w:w="36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80"/>
        </w:trPr>
        <w:tc>
          <w:tcPr>
            <w:tcW w:w="3600" w:type="dxa"/>
            <w:vAlign w:val="bottom"/>
            <w:shd w:val="clear" w:color="auto" w:fill="9DBDE4"/>
          </w:tcPr>
          <w:p>
            <w:pPr>
              <w:ind w:left="80"/>
              <w:spacing w:after="0" w:line="180" w:lineRule="exact"/>
              <w:rPr>
                <w:sz w:val="20"/>
                <w:szCs w:val="20"/>
                <w:color w:val="auto"/>
              </w:rPr>
            </w:pPr>
            <w:r>
              <w:rPr>
                <w:rFonts w:ascii="Arial" w:cs="Arial" w:eastAsia="Arial" w:hAnsi="Arial"/>
                <w:sz w:val="16"/>
                <w:szCs w:val="16"/>
                <w:b w:val="1"/>
                <w:bCs w:val="1"/>
                <w:color w:val="auto"/>
              </w:rPr>
              <w:t>All employees, including all current officers</w:t>
            </w:r>
          </w:p>
        </w:tc>
        <w:tc>
          <w:tcPr>
            <w:tcW w:w="2540" w:type="dxa"/>
            <w:vAlign w:val="bottom"/>
            <w:shd w:val="clear" w:color="auto" w:fill="9DBDE4"/>
          </w:tcPr>
          <w:p>
            <w:pPr>
              <w:spacing w:after="0"/>
              <w:rPr>
                <w:sz w:val="15"/>
                <w:szCs w:val="15"/>
                <w:color w:val="auto"/>
              </w:rPr>
            </w:pPr>
          </w:p>
        </w:tc>
        <w:tc>
          <w:tcPr>
            <w:tcW w:w="1640" w:type="dxa"/>
            <w:vAlign w:val="bottom"/>
            <w:shd w:val="clear" w:color="auto" w:fill="9DBDE4"/>
          </w:tcPr>
          <w:p>
            <w:pPr>
              <w:spacing w:after="0"/>
              <w:rPr>
                <w:sz w:val="15"/>
                <w:szCs w:val="15"/>
                <w:color w:val="auto"/>
              </w:rPr>
            </w:pPr>
          </w:p>
        </w:tc>
        <w:tc>
          <w:tcPr>
            <w:tcW w:w="1540" w:type="dxa"/>
            <w:vAlign w:val="bottom"/>
            <w:shd w:val="clear" w:color="auto" w:fill="9DBDE4"/>
          </w:tcPr>
          <w:p>
            <w:pPr>
              <w:spacing w:after="0"/>
              <w:rPr>
                <w:sz w:val="15"/>
                <w:szCs w:val="15"/>
                <w:color w:val="auto"/>
              </w:rPr>
            </w:pPr>
          </w:p>
        </w:tc>
      </w:tr>
      <w:tr>
        <w:trPr>
          <w:trHeight w:val="260"/>
        </w:trPr>
        <w:tc>
          <w:tcPr>
            <w:tcW w:w="3600" w:type="dxa"/>
            <w:vAlign w:val="bottom"/>
            <w:tcBorders>
              <w:bottom w:val="single" w:sz="8" w:color="284993"/>
            </w:tcBorders>
            <w:shd w:val="clear" w:color="auto" w:fill="9DBDE4"/>
          </w:tcPr>
          <w:p>
            <w:pPr>
              <w:ind w:left="80"/>
              <w:spacing w:after="0" w:line="261" w:lineRule="exact"/>
              <w:rPr>
                <w:sz w:val="20"/>
                <w:szCs w:val="20"/>
                <w:color w:val="auto"/>
              </w:rPr>
            </w:pPr>
            <w:r>
              <w:rPr>
                <w:rFonts w:ascii="Arial" w:cs="Arial" w:eastAsia="Arial" w:hAnsi="Arial"/>
                <w:sz w:val="16"/>
                <w:szCs w:val="16"/>
                <w:b w:val="1"/>
                <w:bCs w:val="1"/>
                <w:color w:val="auto"/>
              </w:rPr>
              <w:t>who are not executive officers, as a group</w:t>
            </w:r>
            <w:r>
              <w:rPr>
                <w:rFonts w:ascii="Arial" w:cs="Arial" w:eastAsia="Arial" w:hAnsi="Arial"/>
                <w:sz w:val="23"/>
                <w:szCs w:val="23"/>
                <w:b w:val="1"/>
                <w:bCs w:val="1"/>
                <w:color w:val="auto"/>
                <w:vertAlign w:val="superscript"/>
              </w:rPr>
              <w:t>(2)</w:t>
            </w:r>
          </w:p>
        </w:tc>
        <w:tc>
          <w:tcPr>
            <w:tcW w:w="2540" w:type="dxa"/>
            <w:vAlign w:val="bottom"/>
            <w:tcBorders>
              <w:bottom w:val="single" w:sz="8" w:color="284993"/>
            </w:tcBorders>
            <w:shd w:val="clear" w:color="auto" w:fill="9DBDE4"/>
          </w:tcPr>
          <w:p>
            <w:pPr>
              <w:jc w:val="right"/>
              <w:ind w:right="862"/>
              <w:spacing w:after="0"/>
              <w:rPr>
                <w:sz w:val="20"/>
                <w:szCs w:val="20"/>
                <w:color w:val="auto"/>
              </w:rPr>
            </w:pPr>
            <w:r>
              <w:rPr>
                <w:rFonts w:ascii="Arial" w:cs="Arial" w:eastAsia="Arial" w:hAnsi="Arial"/>
                <w:sz w:val="16"/>
                <w:szCs w:val="16"/>
                <w:color w:val="auto"/>
              </w:rPr>
              <w:t>592,748</w:t>
            </w:r>
          </w:p>
        </w:tc>
        <w:tc>
          <w:tcPr>
            <w:tcW w:w="1640" w:type="dxa"/>
            <w:vAlign w:val="bottom"/>
            <w:tcBorders>
              <w:bottom w:val="single" w:sz="8" w:color="284993"/>
            </w:tcBorders>
            <w:shd w:val="clear" w:color="auto" w:fill="9DBDE4"/>
          </w:tcPr>
          <w:p>
            <w:pPr>
              <w:jc w:val="right"/>
              <w:ind w:right="58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284993"/>
            </w:tcBorders>
            <w:shd w:val="clear" w:color="auto" w:fill="9DBDE4"/>
          </w:tcPr>
          <w:p>
            <w:pPr>
              <w:jc w:val="right"/>
              <w:ind w:right="222"/>
              <w:spacing w:after="0"/>
              <w:rPr>
                <w:sz w:val="20"/>
                <w:szCs w:val="20"/>
                <w:color w:val="auto"/>
              </w:rPr>
            </w:pPr>
            <w:r>
              <w:rPr>
                <w:rFonts w:ascii="Arial" w:cs="Arial" w:eastAsia="Arial" w:hAnsi="Arial"/>
                <w:sz w:val="16"/>
                <w:szCs w:val="16"/>
                <w:color w:val="auto"/>
              </w:rPr>
              <w:t>740,466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-287020</wp:posOffset>
            </wp:positionV>
            <wp:extent cx="8255" cy="2876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287655"/>
                    </a:xfrm>
                    <a:prstGeom prst="rect">
                      <a:avLst/>
                    </a:prstGeom>
                    <a:noFill/>
                  </pic:spPr>
                </pic:pic>
              </a:graphicData>
            </a:graphic>
          </wp:anchor>
        </w:drawing>
        <w:drawing>
          <wp:anchor simplePos="0" relativeHeight="251657728" behindDoc="1" locked="0" layoutInCell="0" allowOverlap="1">
            <wp:simplePos x="0" y="0"/>
            <wp:positionH relativeFrom="column">
              <wp:posOffset>3496310</wp:posOffset>
            </wp:positionH>
            <wp:positionV relativeFrom="paragraph">
              <wp:posOffset>-287020</wp:posOffset>
            </wp:positionV>
            <wp:extent cx="8255" cy="2876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287655"/>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-287020</wp:posOffset>
            </wp:positionV>
            <wp:extent cx="8255" cy="2876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2876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-715010</wp:posOffset>
            </wp:positionV>
            <wp:extent cx="8255" cy="1562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3496310</wp:posOffset>
            </wp:positionH>
            <wp:positionV relativeFrom="paragraph">
              <wp:posOffset>-715010</wp:posOffset>
            </wp:positionV>
            <wp:extent cx="8255" cy="1562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-715010</wp:posOffset>
            </wp:positionV>
            <wp:extent cx="8255" cy="1562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-1027430</wp:posOffset>
            </wp:positionV>
            <wp:extent cx="8255" cy="1562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3496310</wp:posOffset>
            </wp:positionH>
            <wp:positionV relativeFrom="paragraph">
              <wp:posOffset>-1027430</wp:posOffset>
            </wp:positionV>
            <wp:extent cx="8255" cy="1562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-1027430</wp:posOffset>
            </wp:positionV>
            <wp:extent cx="8255" cy="1562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-1339850</wp:posOffset>
            </wp:positionV>
            <wp:extent cx="8255" cy="1562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3496310</wp:posOffset>
            </wp:positionH>
            <wp:positionV relativeFrom="paragraph">
              <wp:posOffset>-1339850</wp:posOffset>
            </wp:positionV>
            <wp:extent cx="8255" cy="1562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-1339850</wp:posOffset>
            </wp:positionV>
            <wp:extent cx="8255" cy="1562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-1652270</wp:posOffset>
            </wp:positionV>
            <wp:extent cx="8255" cy="1562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3496310</wp:posOffset>
            </wp:positionH>
            <wp:positionV relativeFrom="paragraph">
              <wp:posOffset>-1652270</wp:posOffset>
            </wp:positionV>
            <wp:extent cx="8255" cy="1562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-1652270</wp:posOffset>
            </wp:positionV>
            <wp:extent cx="8255" cy="1562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156210"/>
                    </a:xfrm>
                    <a:prstGeom prst="rect">
                      <a:avLst/>
                    </a:prstGeom>
                    <a:noFill/>
                  </pic:spPr>
                </pic:pic>
              </a:graphicData>
            </a:graphic>
          </wp:anchor>
        </w:drawing>
      </w:r>
    </w:p>
    <w:p>
      <w:pPr>
        <w:spacing w:after="0" w:line="40" w:lineRule="exact"/>
        <w:rPr>
          <w:sz w:val="20"/>
          <w:szCs w:val="20"/>
          <w:color w:val="auto"/>
        </w:rPr>
      </w:pPr>
    </w:p>
    <w:p>
      <w:pPr>
        <w:ind w:left="280" w:hanging="278"/>
        <w:spacing w:after="0"/>
        <w:tabs>
          <w:tab w:leader="none" w:pos="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Amounts in certain rows of this table are duplicative of amounts in other rows, because certain grantees are included in more than one category.</w:t>
      </w:r>
    </w:p>
    <w:p>
      <w:pPr>
        <w:spacing w:after="0" w:line="3" w:lineRule="exact"/>
        <w:rPr>
          <w:rFonts w:ascii="Arial" w:cs="Arial" w:eastAsia="Arial" w:hAnsi="Arial"/>
          <w:sz w:val="12"/>
          <w:szCs w:val="12"/>
          <w:color w:val="auto"/>
        </w:rPr>
      </w:pPr>
    </w:p>
    <w:p>
      <w:pPr>
        <w:ind w:left="280" w:hanging="278"/>
        <w:spacing w:after="0"/>
        <w:tabs>
          <w:tab w:leader="none" w:pos="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Excludes RSUs granted to Mr. Warsop in connection with his service as a non-employee director, which RSUs are reflected in other rows of this table.</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Registration with the SEC</w:t>
      </w:r>
    </w:p>
    <w:p>
      <w:pPr>
        <w:spacing w:after="0" w:line="123" w:lineRule="exact"/>
        <w:rPr>
          <w:sz w:val="20"/>
          <w:szCs w:val="20"/>
          <w:color w:val="auto"/>
        </w:rPr>
      </w:pPr>
    </w:p>
    <w:p>
      <w:pPr>
        <w:jc w:val="both"/>
        <w:ind w:right="60"/>
        <w:spacing w:after="0" w:line="249" w:lineRule="auto"/>
        <w:rPr>
          <w:sz w:val="20"/>
          <w:szCs w:val="20"/>
          <w:color w:val="auto"/>
        </w:rPr>
      </w:pPr>
      <w:r>
        <w:rPr>
          <w:rFonts w:ascii="Arial" w:cs="Arial" w:eastAsia="Arial" w:hAnsi="Arial"/>
          <w:sz w:val="16"/>
          <w:szCs w:val="16"/>
          <w:color w:val="auto"/>
        </w:rPr>
        <w:t>We intend to file a Registration Statement on Form S-8 relating to the issuance of Common Shares under the Amended 2020 Plan with the Securities and Exchange Commission pursuant to the Securities Act of 1933, as amended, as soon as practicable after approval of the Amended 2020 Plan by our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Vote Required</w:t>
      </w:r>
    </w:p>
    <w:p>
      <w:pPr>
        <w:spacing w:after="0" w:line="123" w:lineRule="exact"/>
        <w:rPr>
          <w:sz w:val="20"/>
          <w:szCs w:val="20"/>
          <w:color w:val="auto"/>
        </w:rPr>
      </w:pPr>
    </w:p>
    <w:p>
      <w:pPr>
        <w:ind w:right="240"/>
        <w:spacing w:after="0" w:line="263" w:lineRule="auto"/>
        <w:rPr>
          <w:sz w:val="20"/>
          <w:szCs w:val="20"/>
          <w:color w:val="auto"/>
        </w:rPr>
      </w:pPr>
      <w:r>
        <w:rPr>
          <w:rFonts w:ascii="Arial" w:cs="Arial" w:eastAsia="Arial" w:hAnsi="Arial"/>
          <w:sz w:val="16"/>
          <w:szCs w:val="16"/>
          <w:color w:val="auto"/>
        </w:rPr>
        <w:t>The affirmative vote of a majority of the shares represented at the Annual Meeting and actually voting on this proposal is required for the approval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5937885" cy="395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37885" cy="395605"/>
                    </a:xfrm>
                    <a:prstGeom prst="rect">
                      <a:avLst/>
                    </a:prstGeom>
                    <a:noFill/>
                  </pic:spPr>
                </pic:pic>
              </a:graphicData>
            </a:graphic>
          </wp:anchor>
        </w:drawing>
      </w:r>
    </w:p>
    <w:p>
      <w:pPr>
        <w:spacing w:after="0" w:line="300" w:lineRule="exact"/>
        <w:rPr>
          <w:sz w:val="20"/>
          <w:szCs w:val="20"/>
          <w:color w:val="auto"/>
        </w:rPr>
      </w:pPr>
    </w:p>
    <w:p>
      <w:pPr>
        <w:ind w:left="200" w:right="900"/>
        <w:spacing w:after="0" w:line="350" w:lineRule="auto"/>
        <w:rPr>
          <w:sz w:val="20"/>
          <w:szCs w:val="20"/>
          <w:color w:val="auto"/>
        </w:rPr>
      </w:pPr>
      <w:r>
        <w:rPr>
          <w:rFonts w:ascii="Arial" w:cs="Arial" w:eastAsia="Arial" w:hAnsi="Arial"/>
          <w:sz w:val="14"/>
          <w:szCs w:val="14"/>
          <w:b w:val="1"/>
          <w:bCs w:val="1"/>
          <w:color w:val="284993"/>
        </w:rPr>
        <w:t>OUR BOARD RECOMMENDS THAT STOCKHOLDERS VOTE “FOR” THE APPROVAL OF THE AMENDMENT AND RESTATEMENT OF THE ACI WORLDWIDE, INC. 2020 EQUITY AND INCENTIVE COMPENSATION PLAN.</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43</w:t>
      </w:r>
    </w:p>
    <w:p>
      <w:pPr>
        <w:sectPr>
          <w:pgSz w:w="11900" w:h="16838" w:orient="portrait"/>
          <w:cols w:equalWidth="0" w:num="1">
            <w:col w:w="9320"/>
          </w:cols>
          <w:pgMar w:left="1280" w:top="285" w:right="129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Information Regarding Security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52"/>
          <w:szCs w:val="52"/>
          <w:color w:val="auto"/>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59207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the beneficial ownership of our common stock as of March 31, 2023 by</w:t>
      </w:r>
    </w:p>
    <w:p>
      <w:pPr>
        <w:spacing w:after="0" w:line="11" w:lineRule="exact"/>
        <w:rPr>
          <w:sz w:val="20"/>
          <w:szCs w:val="20"/>
          <w:color w:val="auto"/>
        </w:rPr>
      </w:pPr>
    </w:p>
    <w:p>
      <w:pPr>
        <w:ind w:left="180" w:hanging="178"/>
        <w:spacing w:after="0"/>
        <w:tabs>
          <w:tab w:leader="none" w:pos="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each of our directors, (ii) each of our Named Executive Officers (as defined in the “Compensation Discussion and Analysis” below),</w:t>
      </w:r>
    </w:p>
    <w:p>
      <w:pPr>
        <w:spacing w:after="0" w:line="20" w:lineRule="exact"/>
        <w:rPr>
          <w:rFonts w:ascii="Arial" w:cs="Arial" w:eastAsia="Arial" w:hAnsi="Arial"/>
          <w:sz w:val="14"/>
          <w:szCs w:val="14"/>
          <w:color w:val="auto"/>
        </w:rPr>
      </w:pPr>
    </w:p>
    <w:p>
      <w:pPr>
        <w:ind w:right="40" w:firstLine="2"/>
        <w:spacing w:after="0" w:line="275" w:lineRule="auto"/>
        <w:tabs>
          <w:tab w:leader="none" w:pos="25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of our executive officers and directors as a group, and (iv) each person known by us to beneficially own more than 5% of the outstanding shares of our common stock. The percentages in these tables are based on 108,317,168 outstanding shares of common stock as of March 31, 2023. Beneficial ownership is determined in accordance with the rules of the SEC and generally includes voting and/or investment power with respect to the securities. In computing the number of shares beneficially owned by a person and the percentage ownership of that person, shares underlying options held by that person that will be exercisable within 60 days of March 31, 2023 and shares underlying other equity awards that will vest within 60 days of March 31, 2023 are deemed to be outstanding. Such shares, however, are not deemed to be outstanding for the purpose of computing the percentage ownership of any other person. The following table does not include shares underlying rTSR Performance Share Awards (as defined below) that are subject to vesting to the extent that performance objectives are achieved. No family relationships exist among our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5395595</wp:posOffset>
            </wp:positionH>
            <wp:positionV relativeFrom="paragraph">
              <wp:posOffset>128905</wp:posOffset>
            </wp:positionV>
            <wp:extent cx="8255" cy="4777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477774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128905</wp:posOffset>
            </wp:positionV>
            <wp:extent cx="8255" cy="4777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477774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128905</wp:posOffset>
            </wp:positionV>
            <wp:extent cx="8255" cy="4777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477774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128905</wp:posOffset>
            </wp:positionV>
            <wp:extent cx="8255" cy="4777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477774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shd w:val="clear" w:color="auto" w:fill="284993"/>
          </w:tcPr>
          <w:p>
            <w:pPr>
              <w:spacing w:after="0"/>
              <w:rPr>
                <w:sz w:val="14"/>
                <w:szCs w:val="14"/>
                <w:color w:val="auto"/>
              </w:rPr>
            </w:pPr>
          </w:p>
        </w:tc>
        <w:tc>
          <w:tcPr>
            <w:tcW w:w="1820" w:type="dxa"/>
            <w:vAlign w:val="bottom"/>
            <w:shd w:val="clear" w:color="auto" w:fill="284993"/>
          </w:tcPr>
          <w:p>
            <w:pPr>
              <w:spacing w:after="0"/>
              <w:rPr>
                <w:sz w:val="14"/>
                <w:szCs w:val="14"/>
                <w:color w:val="auto"/>
              </w:rPr>
            </w:pPr>
          </w:p>
        </w:tc>
        <w:tc>
          <w:tcPr>
            <w:tcW w:w="152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7"/>
              </w:rPr>
              <w:t>Number of Shares</w:t>
            </w:r>
          </w:p>
        </w:tc>
        <w:tc>
          <w:tcPr>
            <w:tcW w:w="1140" w:type="dxa"/>
            <w:vAlign w:val="bottom"/>
            <w:shd w:val="clear" w:color="auto" w:fill="284993"/>
          </w:tcPr>
          <w:p>
            <w:pPr>
              <w:spacing w:after="0"/>
              <w:rPr>
                <w:sz w:val="14"/>
                <w:szCs w:val="14"/>
                <w:color w:val="auto"/>
              </w:rPr>
            </w:pPr>
          </w:p>
        </w:tc>
        <w:tc>
          <w:tcPr>
            <w:tcW w:w="820" w:type="dxa"/>
            <w:vAlign w:val="bottom"/>
            <w:shd w:val="clear" w:color="auto" w:fill="284993"/>
          </w:tcPr>
          <w:p>
            <w:pPr>
              <w:spacing w:after="0"/>
              <w:rPr>
                <w:sz w:val="14"/>
                <w:szCs w:val="14"/>
                <w:color w:val="auto"/>
              </w:rPr>
            </w:pPr>
          </w:p>
        </w:tc>
      </w:tr>
      <w:tr>
        <w:trPr>
          <w:trHeight w:val="155"/>
        </w:trPr>
        <w:tc>
          <w:tcPr>
            <w:tcW w:w="4020" w:type="dxa"/>
            <w:vAlign w:val="bottom"/>
            <w:shd w:val="clear" w:color="auto" w:fill="284993"/>
          </w:tcPr>
          <w:p>
            <w:pPr>
              <w:spacing w:after="0"/>
              <w:rPr>
                <w:sz w:val="13"/>
                <w:szCs w:val="13"/>
                <w:color w:val="auto"/>
              </w:rPr>
            </w:pPr>
          </w:p>
        </w:tc>
        <w:tc>
          <w:tcPr>
            <w:tcW w:w="1820" w:type="dxa"/>
            <w:vAlign w:val="bottom"/>
            <w:shd w:val="clear" w:color="auto" w:fill="284993"/>
          </w:tcPr>
          <w:p>
            <w:pPr>
              <w:spacing w:after="0"/>
              <w:rPr>
                <w:sz w:val="13"/>
                <w:szCs w:val="13"/>
                <w:color w:val="auto"/>
              </w:rPr>
            </w:pPr>
          </w:p>
        </w:tc>
        <w:tc>
          <w:tcPr>
            <w:tcW w:w="152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7"/>
              </w:rPr>
              <w:t>Subject to</w:t>
            </w:r>
          </w:p>
        </w:tc>
        <w:tc>
          <w:tcPr>
            <w:tcW w:w="1140" w:type="dxa"/>
            <w:vAlign w:val="bottom"/>
            <w:shd w:val="clear" w:color="auto" w:fill="284993"/>
          </w:tcPr>
          <w:p>
            <w:pPr>
              <w:spacing w:after="0"/>
              <w:rPr>
                <w:sz w:val="13"/>
                <w:szCs w:val="13"/>
                <w:color w:val="auto"/>
              </w:rPr>
            </w:pPr>
          </w:p>
        </w:tc>
        <w:tc>
          <w:tcPr>
            <w:tcW w:w="820" w:type="dxa"/>
            <w:vAlign w:val="bottom"/>
            <w:shd w:val="clear" w:color="auto" w:fill="284993"/>
          </w:tcPr>
          <w:p>
            <w:pPr>
              <w:spacing w:after="0"/>
              <w:rPr>
                <w:sz w:val="13"/>
                <w:szCs w:val="13"/>
                <w:color w:val="auto"/>
              </w:rPr>
            </w:pPr>
          </w:p>
        </w:tc>
      </w:tr>
      <w:tr>
        <w:trPr>
          <w:trHeight w:val="155"/>
        </w:trPr>
        <w:tc>
          <w:tcPr>
            <w:tcW w:w="4020" w:type="dxa"/>
            <w:vAlign w:val="bottom"/>
            <w:shd w:val="clear" w:color="auto" w:fill="284993"/>
          </w:tcPr>
          <w:p>
            <w:pPr>
              <w:spacing w:after="0"/>
              <w:rPr>
                <w:sz w:val="13"/>
                <w:szCs w:val="13"/>
                <w:color w:val="auto"/>
              </w:rPr>
            </w:pPr>
          </w:p>
        </w:tc>
        <w:tc>
          <w:tcPr>
            <w:tcW w:w="1820" w:type="dxa"/>
            <w:vAlign w:val="bottom"/>
            <w:shd w:val="clear" w:color="auto" w:fill="284993"/>
          </w:tcPr>
          <w:p>
            <w:pPr>
              <w:spacing w:after="0"/>
              <w:rPr>
                <w:sz w:val="13"/>
                <w:szCs w:val="13"/>
                <w:color w:val="auto"/>
              </w:rPr>
            </w:pPr>
          </w:p>
        </w:tc>
        <w:tc>
          <w:tcPr>
            <w:tcW w:w="152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9"/>
              </w:rPr>
              <w:t>Currently</w:t>
            </w:r>
          </w:p>
        </w:tc>
        <w:tc>
          <w:tcPr>
            <w:tcW w:w="1140" w:type="dxa"/>
            <w:vAlign w:val="bottom"/>
            <w:shd w:val="clear" w:color="auto" w:fill="284993"/>
          </w:tcPr>
          <w:p>
            <w:pPr>
              <w:spacing w:after="0"/>
              <w:rPr>
                <w:sz w:val="13"/>
                <w:szCs w:val="13"/>
                <w:color w:val="auto"/>
              </w:rPr>
            </w:pPr>
          </w:p>
        </w:tc>
        <w:tc>
          <w:tcPr>
            <w:tcW w:w="820" w:type="dxa"/>
            <w:vAlign w:val="bottom"/>
            <w:shd w:val="clear" w:color="auto" w:fill="284993"/>
          </w:tcPr>
          <w:p>
            <w:pPr>
              <w:spacing w:after="0"/>
              <w:rPr>
                <w:sz w:val="13"/>
                <w:szCs w:val="13"/>
                <w:color w:val="auto"/>
              </w:rPr>
            </w:pPr>
          </w:p>
        </w:tc>
      </w:tr>
      <w:tr>
        <w:trPr>
          <w:trHeight w:val="155"/>
        </w:trPr>
        <w:tc>
          <w:tcPr>
            <w:tcW w:w="4020" w:type="dxa"/>
            <w:vAlign w:val="bottom"/>
            <w:shd w:val="clear" w:color="auto" w:fill="284993"/>
          </w:tcPr>
          <w:p>
            <w:pPr>
              <w:spacing w:after="0"/>
              <w:rPr>
                <w:sz w:val="13"/>
                <w:szCs w:val="13"/>
                <w:color w:val="auto"/>
              </w:rPr>
            </w:pPr>
          </w:p>
        </w:tc>
        <w:tc>
          <w:tcPr>
            <w:tcW w:w="1820" w:type="dxa"/>
            <w:vAlign w:val="bottom"/>
            <w:shd w:val="clear" w:color="auto" w:fill="284993"/>
          </w:tcPr>
          <w:p>
            <w:pPr>
              <w:spacing w:after="0"/>
              <w:rPr>
                <w:sz w:val="13"/>
                <w:szCs w:val="13"/>
                <w:color w:val="auto"/>
              </w:rPr>
            </w:pPr>
          </w:p>
        </w:tc>
        <w:tc>
          <w:tcPr>
            <w:tcW w:w="152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7"/>
              </w:rPr>
              <w:t>Exercisable</w:t>
            </w:r>
          </w:p>
        </w:tc>
        <w:tc>
          <w:tcPr>
            <w:tcW w:w="1140" w:type="dxa"/>
            <w:vAlign w:val="bottom"/>
            <w:shd w:val="clear" w:color="auto" w:fill="284993"/>
          </w:tcPr>
          <w:p>
            <w:pPr>
              <w:spacing w:after="0"/>
              <w:rPr>
                <w:sz w:val="13"/>
                <w:szCs w:val="13"/>
                <w:color w:val="auto"/>
              </w:rPr>
            </w:pPr>
          </w:p>
        </w:tc>
        <w:tc>
          <w:tcPr>
            <w:tcW w:w="820" w:type="dxa"/>
            <w:vAlign w:val="bottom"/>
            <w:shd w:val="clear" w:color="auto" w:fill="284993"/>
          </w:tcPr>
          <w:p>
            <w:pPr>
              <w:spacing w:after="0"/>
              <w:rPr>
                <w:sz w:val="13"/>
                <w:szCs w:val="13"/>
                <w:color w:val="auto"/>
              </w:rPr>
            </w:pPr>
          </w:p>
        </w:tc>
      </w:tr>
      <w:tr>
        <w:trPr>
          <w:trHeight w:val="155"/>
        </w:trPr>
        <w:tc>
          <w:tcPr>
            <w:tcW w:w="4020" w:type="dxa"/>
            <w:vAlign w:val="bottom"/>
            <w:shd w:val="clear" w:color="auto" w:fill="284993"/>
          </w:tcPr>
          <w:p>
            <w:pPr>
              <w:spacing w:after="0"/>
              <w:rPr>
                <w:sz w:val="13"/>
                <w:szCs w:val="13"/>
                <w:color w:val="auto"/>
              </w:rPr>
            </w:pPr>
          </w:p>
        </w:tc>
        <w:tc>
          <w:tcPr>
            <w:tcW w:w="1820" w:type="dxa"/>
            <w:vAlign w:val="bottom"/>
            <w:shd w:val="clear" w:color="auto" w:fill="284993"/>
          </w:tcPr>
          <w:p>
            <w:pPr>
              <w:spacing w:after="0"/>
              <w:rPr>
                <w:sz w:val="13"/>
                <w:szCs w:val="13"/>
                <w:color w:val="auto"/>
              </w:rPr>
            </w:pPr>
          </w:p>
        </w:tc>
        <w:tc>
          <w:tcPr>
            <w:tcW w:w="152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8"/>
              </w:rPr>
              <w:t>Options</w:t>
            </w:r>
          </w:p>
        </w:tc>
        <w:tc>
          <w:tcPr>
            <w:tcW w:w="1140" w:type="dxa"/>
            <w:vAlign w:val="bottom"/>
            <w:shd w:val="clear" w:color="auto" w:fill="284993"/>
          </w:tcPr>
          <w:p>
            <w:pPr>
              <w:spacing w:after="0"/>
              <w:rPr>
                <w:sz w:val="13"/>
                <w:szCs w:val="13"/>
                <w:color w:val="auto"/>
              </w:rPr>
            </w:pPr>
          </w:p>
        </w:tc>
        <w:tc>
          <w:tcPr>
            <w:tcW w:w="820" w:type="dxa"/>
            <w:vAlign w:val="bottom"/>
            <w:shd w:val="clear" w:color="auto" w:fill="284993"/>
          </w:tcPr>
          <w:p>
            <w:pPr>
              <w:spacing w:after="0"/>
              <w:rPr>
                <w:sz w:val="13"/>
                <w:szCs w:val="13"/>
                <w:color w:val="auto"/>
              </w:rPr>
            </w:pPr>
          </w:p>
        </w:tc>
      </w:tr>
      <w:tr>
        <w:trPr>
          <w:trHeight w:val="155"/>
        </w:trPr>
        <w:tc>
          <w:tcPr>
            <w:tcW w:w="4020" w:type="dxa"/>
            <w:vAlign w:val="bottom"/>
            <w:shd w:val="clear" w:color="auto" w:fill="284993"/>
          </w:tcPr>
          <w:p>
            <w:pPr>
              <w:spacing w:after="0"/>
              <w:rPr>
                <w:sz w:val="13"/>
                <w:szCs w:val="13"/>
                <w:color w:val="auto"/>
              </w:rPr>
            </w:pPr>
          </w:p>
        </w:tc>
        <w:tc>
          <w:tcPr>
            <w:tcW w:w="1820" w:type="dxa"/>
            <w:vAlign w:val="bottom"/>
            <w:shd w:val="clear" w:color="auto" w:fill="284993"/>
          </w:tcPr>
          <w:p>
            <w:pPr>
              <w:spacing w:after="0"/>
              <w:rPr>
                <w:sz w:val="13"/>
                <w:szCs w:val="13"/>
                <w:color w:val="auto"/>
              </w:rPr>
            </w:pPr>
          </w:p>
        </w:tc>
        <w:tc>
          <w:tcPr>
            <w:tcW w:w="152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8"/>
              </w:rPr>
              <w:t>or Which May be</w:t>
            </w:r>
          </w:p>
        </w:tc>
        <w:tc>
          <w:tcPr>
            <w:tcW w:w="114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7"/>
              </w:rPr>
              <w:t>Total Shares</w:t>
            </w:r>
          </w:p>
        </w:tc>
        <w:tc>
          <w:tcPr>
            <w:tcW w:w="820" w:type="dxa"/>
            <w:vAlign w:val="bottom"/>
            <w:shd w:val="clear" w:color="auto" w:fill="284993"/>
          </w:tcPr>
          <w:p>
            <w:pPr>
              <w:spacing w:after="0"/>
              <w:rPr>
                <w:sz w:val="13"/>
                <w:szCs w:val="13"/>
                <w:color w:val="auto"/>
              </w:rPr>
            </w:pPr>
          </w:p>
        </w:tc>
      </w:tr>
      <w:tr>
        <w:trPr>
          <w:trHeight w:val="152"/>
        </w:trPr>
        <w:tc>
          <w:tcPr>
            <w:tcW w:w="4020" w:type="dxa"/>
            <w:vAlign w:val="bottom"/>
            <w:shd w:val="clear" w:color="auto" w:fill="284993"/>
          </w:tcPr>
          <w:p>
            <w:pPr>
              <w:spacing w:after="0"/>
              <w:rPr>
                <w:sz w:val="13"/>
                <w:szCs w:val="13"/>
                <w:color w:val="auto"/>
              </w:rPr>
            </w:pPr>
          </w:p>
        </w:tc>
        <w:tc>
          <w:tcPr>
            <w:tcW w:w="1820" w:type="dxa"/>
            <w:vAlign w:val="bottom"/>
            <w:shd w:val="clear" w:color="auto" w:fill="284993"/>
          </w:tcPr>
          <w:p>
            <w:pPr>
              <w:jc w:val="right"/>
              <w:ind w:right="83"/>
              <w:spacing w:after="0" w:line="152" w:lineRule="exact"/>
              <w:rPr>
                <w:sz w:val="20"/>
                <w:szCs w:val="20"/>
                <w:color w:val="auto"/>
              </w:rPr>
            </w:pPr>
            <w:r>
              <w:rPr>
                <w:rFonts w:ascii="Arial" w:cs="Arial" w:eastAsia="Arial" w:hAnsi="Arial"/>
                <w:sz w:val="14"/>
                <w:szCs w:val="14"/>
                <w:b w:val="1"/>
                <w:bCs w:val="1"/>
                <w:color w:val="FFFFFF"/>
              </w:rPr>
              <w:t>Number of Shares</w:t>
            </w:r>
          </w:p>
        </w:tc>
        <w:tc>
          <w:tcPr>
            <w:tcW w:w="152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w w:val="98"/>
              </w:rPr>
              <w:t>Acquired Within</w:t>
            </w:r>
          </w:p>
        </w:tc>
        <w:tc>
          <w:tcPr>
            <w:tcW w:w="114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w w:val="97"/>
              </w:rPr>
              <w:t>Beneficially</w:t>
            </w:r>
          </w:p>
        </w:tc>
        <w:tc>
          <w:tcPr>
            <w:tcW w:w="820" w:type="dxa"/>
            <w:vAlign w:val="bottom"/>
            <w:shd w:val="clear" w:color="auto" w:fill="284993"/>
          </w:tcPr>
          <w:p>
            <w:pPr>
              <w:spacing w:after="0"/>
              <w:rPr>
                <w:sz w:val="13"/>
                <w:szCs w:val="13"/>
                <w:color w:val="auto"/>
              </w:rPr>
            </w:pPr>
          </w:p>
        </w:tc>
      </w:tr>
      <w:tr>
        <w:trPr>
          <w:trHeight w:val="181"/>
        </w:trPr>
        <w:tc>
          <w:tcPr>
            <w:tcW w:w="4020" w:type="dxa"/>
            <w:vAlign w:val="bottom"/>
            <w:shd w:val="clear" w:color="auto" w:fill="284993"/>
          </w:tcPr>
          <w:p>
            <w:pPr>
              <w:ind w:left="120"/>
              <w:spacing w:after="0" w:line="182" w:lineRule="exact"/>
              <w:rPr>
                <w:sz w:val="20"/>
                <w:szCs w:val="20"/>
                <w:color w:val="auto"/>
              </w:rPr>
            </w:pPr>
            <w:r>
              <w:rPr>
                <w:rFonts w:ascii="Arial" w:cs="Arial" w:eastAsia="Arial" w:hAnsi="Arial"/>
                <w:sz w:val="14"/>
                <w:szCs w:val="14"/>
                <w:b w:val="1"/>
                <w:bCs w:val="1"/>
                <w:color w:val="FFFFFF"/>
              </w:rPr>
              <w:t>Beneficial Owner</w:t>
            </w:r>
            <w:r>
              <w:rPr>
                <w:rFonts w:ascii="Arial" w:cs="Arial" w:eastAsia="Arial" w:hAnsi="Arial"/>
                <w:sz w:val="20"/>
                <w:szCs w:val="20"/>
                <w:b w:val="1"/>
                <w:bCs w:val="1"/>
                <w:color w:val="FFFFFF"/>
                <w:vertAlign w:val="superscript"/>
              </w:rPr>
              <w:t>(1)</w:t>
            </w:r>
          </w:p>
        </w:tc>
        <w:tc>
          <w:tcPr>
            <w:tcW w:w="1820" w:type="dxa"/>
            <w:vAlign w:val="bottom"/>
            <w:shd w:val="clear" w:color="auto" w:fill="284993"/>
          </w:tcPr>
          <w:p>
            <w:pPr>
              <w:jc w:val="right"/>
              <w:ind w:right="163"/>
              <w:spacing w:after="0"/>
              <w:rPr>
                <w:sz w:val="20"/>
                <w:szCs w:val="20"/>
                <w:color w:val="auto"/>
              </w:rPr>
            </w:pPr>
            <w:r>
              <w:rPr>
                <w:rFonts w:ascii="Arial" w:cs="Arial" w:eastAsia="Arial" w:hAnsi="Arial"/>
                <w:sz w:val="14"/>
                <w:szCs w:val="14"/>
                <w:b w:val="1"/>
                <w:bCs w:val="1"/>
                <w:color w:val="FFFFFF"/>
              </w:rPr>
              <w:t>Directly Owned</w:t>
            </w:r>
          </w:p>
        </w:tc>
        <w:tc>
          <w:tcPr>
            <w:tcW w:w="1520" w:type="dxa"/>
            <w:vAlign w:val="bottom"/>
            <w:shd w:val="clear" w:color="auto" w:fill="284993"/>
          </w:tcPr>
          <w:p>
            <w:pPr>
              <w:jc w:val="center"/>
              <w:spacing w:after="0" w:line="182" w:lineRule="exact"/>
              <w:rPr>
                <w:sz w:val="20"/>
                <w:szCs w:val="20"/>
                <w:color w:val="auto"/>
              </w:rPr>
            </w:pPr>
            <w:r>
              <w:rPr>
                <w:rFonts w:ascii="Arial" w:cs="Arial" w:eastAsia="Arial" w:hAnsi="Arial"/>
                <w:sz w:val="14"/>
                <w:szCs w:val="14"/>
                <w:b w:val="1"/>
                <w:bCs w:val="1"/>
                <w:color w:val="FFFFFF"/>
                <w:w w:val="95"/>
              </w:rPr>
              <w:t>60 Days</w:t>
            </w:r>
            <w:r>
              <w:rPr>
                <w:rFonts w:ascii="Arial" w:cs="Arial" w:eastAsia="Arial" w:hAnsi="Arial"/>
                <w:sz w:val="20"/>
                <w:szCs w:val="20"/>
                <w:b w:val="1"/>
                <w:bCs w:val="1"/>
                <w:color w:val="FFFFFF"/>
                <w:w w:val="95"/>
                <w:vertAlign w:val="superscript"/>
              </w:rPr>
              <w:t>(2)</w:t>
            </w:r>
          </w:p>
        </w:tc>
        <w:tc>
          <w:tcPr>
            <w:tcW w:w="114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8"/>
              </w:rPr>
              <w:t>Owned</w:t>
            </w:r>
          </w:p>
        </w:tc>
        <w:tc>
          <w:tcPr>
            <w:tcW w:w="820" w:type="dxa"/>
            <w:vAlign w:val="bottom"/>
            <w:shd w:val="clear" w:color="auto" w:fill="284993"/>
          </w:tcPr>
          <w:p>
            <w:pPr>
              <w:jc w:val="right"/>
              <w:ind w:right="83"/>
              <w:spacing w:after="0"/>
              <w:rPr>
                <w:sz w:val="20"/>
                <w:szCs w:val="20"/>
                <w:color w:val="auto"/>
              </w:rPr>
            </w:pPr>
            <w:r>
              <w:rPr>
                <w:rFonts w:ascii="Arial" w:cs="Arial" w:eastAsia="Arial" w:hAnsi="Arial"/>
                <w:sz w:val="14"/>
                <w:szCs w:val="14"/>
                <w:b w:val="1"/>
                <w:bCs w:val="1"/>
                <w:color w:val="FFFFFF"/>
              </w:rPr>
              <w:t>Percent</w:t>
            </w:r>
          </w:p>
        </w:tc>
      </w:tr>
      <w:tr>
        <w:trPr>
          <w:trHeight w:val="207"/>
        </w:trPr>
        <w:tc>
          <w:tcPr>
            <w:tcW w:w="4020" w:type="dxa"/>
            <w:vAlign w:val="bottom"/>
          </w:tcPr>
          <w:p>
            <w:pPr>
              <w:ind w:left="80"/>
              <w:spacing w:after="0"/>
              <w:rPr>
                <w:sz w:val="20"/>
                <w:szCs w:val="20"/>
                <w:color w:val="auto"/>
              </w:rPr>
            </w:pPr>
            <w:r>
              <w:rPr>
                <w:rFonts w:ascii="Arial" w:cs="Arial" w:eastAsia="Arial" w:hAnsi="Arial"/>
                <w:sz w:val="16"/>
                <w:szCs w:val="16"/>
                <w:b w:val="1"/>
                <w:bCs w:val="1"/>
                <w:color w:val="auto"/>
              </w:rPr>
              <w:t>5% Stockholders:</w:t>
            </w:r>
          </w:p>
        </w:tc>
        <w:tc>
          <w:tcPr>
            <w:tcW w:w="1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9"/>
        </w:trPr>
        <w:tc>
          <w:tcPr>
            <w:tcW w:w="4020" w:type="dxa"/>
            <w:vAlign w:val="bottom"/>
            <w:shd w:val="clear" w:color="auto" w:fill="9DBDE4"/>
          </w:tcPr>
          <w:p>
            <w:pPr>
              <w:ind w:left="80"/>
              <w:spacing w:after="0" w:line="169" w:lineRule="exact"/>
              <w:rPr>
                <w:sz w:val="20"/>
                <w:szCs w:val="20"/>
                <w:color w:val="auto"/>
              </w:rPr>
            </w:pPr>
            <w:r>
              <w:rPr>
                <w:rFonts w:ascii="Arial" w:cs="Arial" w:eastAsia="Arial" w:hAnsi="Arial"/>
                <w:sz w:val="13"/>
                <w:szCs w:val="13"/>
                <w:color w:val="auto"/>
              </w:rPr>
              <w:t>BlackRock, Inc.</w:t>
            </w:r>
            <w:r>
              <w:rPr>
                <w:rFonts w:ascii="Arial" w:cs="Arial" w:eastAsia="Arial" w:hAnsi="Arial"/>
                <w:sz w:val="19"/>
                <w:szCs w:val="19"/>
                <w:color w:val="auto"/>
                <w:vertAlign w:val="superscript"/>
              </w:rPr>
              <w:t>(3)</w:t>
            </w:r>
          </w:p>
        </w:tc>
        <w:tc>
          <w:tcPr>
            <w:tcW w:w="1820" w:type="dxa"/>
            <w:vAlign w:val="bottom"/>
            <w:shd w:val="clear" w:color="auto" w:fill="9DBDE4"/>
          </w:tcPr>
          <w:p>
            <w:pPr>
              <w:spacing w:after="0"/>
              <w:rPr>
                <w:sz w:val="14"/>
                <w:szCs w:val="14"/>
                <w:color w:val="auto"/>
              </w:rPr>
            </w:pPr>
          </w:p>
        </w:tc>
        <w:tc>
          <w:tcPr>
            <w:tcW w:w="1520" w:type="dxa"/>
            <w:vAlign w:val="bottom"/>
            <w:shd w:val="clear" w:color="auto" w:fill="9DBDE4"/>
          </w:tcPr>
          <w:p>
            <w:pPr>
              <w:spacing w:after="0"/>
              <w:rPr>
                <w:sz w:val="14"/>
                <w:szCs w:val="14"/>
                <w:color w:val="auto"/>
              </w:rPr>
            </w:pPr>
          </w:p>
        </w:tc>
        <w:tc>
          <w:tcPr>
            <w:tcW w:w="1140" w:type="dxa"/>
            <w:vAlign w:val="bottom"/>
            <w:shd w:val="clear" w:color="auto" w:fill="9DBDE4"/>
          </w:tcPr>
          <w:p>
            <w:pPr>
              <w:spacing w:after="0"/>
              <w:rPr>
                <w:sz w:val="14"/>
                <w:szCs w:val="14"/>
                <w:color w:val="auto"/>
              </w:rPr>
            </w:pPr>
          </w:p>
        </w:tc>
        <w:tc>
          <w:tcPr>
            <w:tcW w:w="820" w:type="dxa"/>
            <w:vAlign w:val="bottom"/>
            <w:shd w:val="clear" w:color="auto" w:fill="9DBDE4"/>
          </w:tcPr>
          <w:p>
            <w:pPr>
              <w:spacing w:after="0"/>
              <w:rPr>
                <w:sz w:val="14"/>
                <w:szCs w:val="14"/>
                <w:color w:val="auto"/>
              </w:rPr>
            </w:pPr>
          </w:p>
        </w:tc>
      </w:tr>
      <w:tr>
        <w:trPr>
          <w:trHeight w:val="181"/>
        </w:trPr>
        <w:tc>
          <w:tcPr>
            <w:tcW w:w="4020" w:type="dxa"/>
            <w:vAlign w:val="bottom"/>
            <w:shd w:val="clear" w:color="auto" w:fill="9DBDE4"/>
          </w:tcPr>
          <w:p>
            <w:pPr>
              <w:ind w:left="80"/>
              <w:spacing w:after="0" w:line="182" w:lineRule="exact"/>
              <w:rPr>
                <w:sz w:val="20"/>
                <w:szCs w:val="20"/>
                <w:color w:val="auto"/>
              </w:rPr>
            </w:pPr>
            <w:r>
              <w:rPr>
                <w:rFonts w:ascii="Arial" w:cs="Arial" w:eastAsia="Arial" w:hAnsi="Arial"/>
                <w:sz w:val="14"/>
                <w:szCs w:val="14"/>
                <w:color w:val="auto"/>
              </w:rPr>
              <w:t>55 East 52</w:t>
            </w:r>
            <w:r>
              <w:rPr>
                <w:rFonts w:ascii="Arial" w:cs="Arial" w:eastAsia="Arial" w:hAnsi="Arial"/>
                <w:sz w:val="21"/>
                <w:szCs w:val="21"/>
                <w:color w:val="auto"/>
                <w:vertAlign w:val="superscript"/>
              </w:rPr>
              <w:t>nd</w:t>
            </w:r>
            <w:r>
              <w:rPr>
                <w:rFonts w:ascii="Arial" w:cs="Arial" w:eastAsia="Arial" w:hAnsi="Arial"/>
                <w:sz w:val="14"/>
                <w:szCs w:val="14"/>
                <w:color w:val="auto"/>
              </w:rPr>
              <w:t xml:space="preserve"> Street</w:t>
            </w:r>
          </w:p>
        </w:tc>
        <w:tc>
          <w:tcPr>
            <w:tcW w:w="1820" w:type="dxa"/>
            <w:vAlign w:val="bottom"/>
            <w:shd w:val="clear" w:color="auto" w:fill="9DBDE4"/>
          </w:tcPr>
          <w:p>
            <w:pPr>
              <w:spacing w:after="0"/>
              <w:rPr>
                <w:sz w:val="15"/>
                <w:szCs w:val="15"/>
                <w:color w:val="auto"/>
              </w:rPr>
            </w:pPr>
          </w:p>
        </w:tc>
        <w:tc>
          <w:tcPr>
            <w:tcW w:w="1520" w:type="dxa"/>
            <w:vAlign w:val="bottom"/>
            <w:shd w:val="clear" w:color="auto" w:fill="9DBDE4"/>
          </w:tcPr>
          <w:p>
            <w:pPr>
              <w:spacing w:after="0"/>
              <w:rPr>
                <w:sz w:val="15"/>
                <w:szCs w:val="15"/>
                <w:color w:val="auto"/>
              </w:rPr>
            </w:pPr>
          </w:p>
        </w:tc>
        <w:tc>
          <w:tcPr>
            <w:tcW w:w="1140" w:type="dxa"/>
            <w:vAlign w:val="bottom"/>
            <w:shd w:val="clear" w:color="auto" w:fill="9DBDE4"/>
          </w:tcPr>
          <w:p>
            <w:pPr>
              <w:spacing w:after="0"/>
              <w:rPr>
                <w:sz w:val="15"/>
                <w:szCs w:val="15"/>
                <w:color w:val="auto"/>
              </w:rPr>
            </w:pPr>
          </w:p>
        </w:tc>
        <w:tc>
          <w:tcPr>
            <w:tcW w:w="820" w:type="dxa"/>
            <w:vAlign w:val="bottom"/>
            <w:shd w:val="clear" w:color="auto" w:fill="9DBDE4"/>
          </w:tcPr>
          <w:p>
            <w:pPr>
              <w:spacing w:after="0"/>
              <w:rPr>
                <w:sz w:val="15"/>
                <w:szCs w:val="15"/>
                <w:color w:val="auto"/>
              </w:rPr>
            </w:pPr>
          </w:p>
        </w:tc>
      </w:tr>
      <w:tr>
        <w:trPr>
          <w:trHeight w:val="232"/>
        </w:trPr>
        <w:tc>
          <w:tcPr>
            <w:tcW w:w="4020" w:type="dxa"/>
            <w:vAlign w:val="bottom"/>
            <w:shd w:val="clear" w:color="auto" w:fill="9DBDE4"/>
          </w:tcPr>
          <w:p>
            <w:pPr>
              <w:ind w:left="80"/>
              <w:spacing w:after="0"/>
              <w:rPr>
                <w:sz w:val="20"/>
                <w:szCs w:val="20"/>
                <w:color w:val="auto"/>
              </w:rPr>
            </w:pPr>
            <w:r>
              <w:rPr>
                <w:rFonts w:ascii="Arial" w:cs="Arial" w:eastAsia="Arial" w:hAnsi="Arial"/>
                <w:sz w:val="16"/>
                <w:szCs w:val="16"/>
                <w:color w:val="auto"/>
              </w:rPr>
              <w:t>New York, NY 10055</w:t>
            </w:r>
          </w:p>
        </w:tc>
        <w:tc>
          <w:tcPr>
            <w:tcW w:w="182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15,839,352</w:t>
            </w:r>
          </w:p>
        </w:tc>
        <w:tc>
          <w:tcPr>
            <w:tcW w:w="1520" w:type="dxa"/>
            <w:vAlign w:val="bottom"/>
            <w:shd w:val="clear" w:color="auto" w:fill="9DBDE4"/>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15,839,352</w:t>
            </w:r>
          </w:p>
        </w:tc>
        <w:tc>
          <w:tcPr>
            <w:tcW w:w="820" w:type="dxa"/>
            <w:vAlign w:val="bottom"/>
            <w:shd w:val="clear" w:color="auto" w:fill="9DBDE4"/>
          </w:tcPr>
          <w:p>
            <w:pPr>
              <w:jc w:val="right"/>
              <w:ind w:right="63"/>
              <w:spacing w:after="0"/>
              <w:rPr>
                <w:sz w:val="20"/>
                <w:szCs w:val="20"/>
                <w:color w:val="auto"/>
              </w:rPr>
            </w:pPr>
            <w:r>
              <w:rPr>
                <w:rFonts w:ascii="Arial" w:cs="Arial" w:eastAsia="Arial" w:hAnsi="Arial"/>
                <w:sz w:val="16"/>
                <w:szCs w:val="16"/>
                <w:color w:val="auto"/>
              </w:rPr>
              <w:t>14.6%</w:t>
            </w:r>
          </w:p>
        </w:tc>
      </w:tr>
      <w:tr>
        <w:trPr>
          <w:trHeight w:val="169"/>
        </w:trPr>
        <w:tc>
          <w:tcPr>
            <w:tcW w:w="4020" w:type="dxa"/>
            <w:vAlign w:val="bottom"/>
          </w:tcPr>
          <w:p>
            <w:pPr>
              <w:ind w:left="80"/>
              <w:spacing w:after="0" w:line="169" w:lineRule="exact"/>
              <w:rPr>
                <w:sz w:val="20"/>
                <w:szCs w:val="20"/>
                <w:color w:val="auto"/>
              </w:rPr>
            </w:pPr>
            <w:r>
              <w:rPr>
                <w:rFonts w:ascii="Arial" w:cs="Arial" w:eastAsia="Arial" w:hAnsi="Arial"/>
                <w:sz w:val="13"/>
                <w:szCs w:val="13"/>
                <w:color w:val="auto"/>
              </w:rPr>
              <w:t>The Vanguard Group, Inc.</w:t>
            </w:r>
            <w:r>
              <w:rPr>
                <w:rFonts w:ascii="Arial" w:cs="Arial" w:eastAsia="Arial" w:hAnsi="Arial"/>
                <w:sz w:val="19"/>
                <w:szCs w:val="19"/>
                <w:color w:val="auto"/>
                <w:vertAlign w:val="superscript"/>
              </w:rPr>
              <w:t>(4)</w:t>
            </w:r>
          </w:p>
        </w:tc>
        <w:tc>
          <w:tcPr>
            <w:tcW w:w="1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4020" w:type="dxa"/>
            <w:vAlign w:val="bottom"/>
          </w:tcPr>
          <w:p>
            <w:pPr>
              <w:ind w:left="80"/>
              <w:spacing w:after="0" w:line="181" w:lineRule="exact"/>
              <w:rPr>
                <w:sz w:val="20"/>
                <w:szCs w:val="20"/>
                <w:color w:val="auto"/>
              </w:rPr>
            </w:pPr>
            <w:r>
              <w:rPr>
                <w:rFonts w:ascii="Arial" w:cs="Arial" w:eastAsia="Arial" w:hAnsi="Arial"/>
                <w:sz w:val="16"/>
                <w:szCs w:val="16"/>
                <w:color w:val="auto"/>
              </w:rPr>
              <w:t>100 Vanguard Blvd</w:t>
            </w:r>
          </w:p>
        </w:tc>
        <w:tc>
          <w:tcPr>
            <w:tcW w:w="1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5"/>
        </w:trPr>
        <w:tc>
          <w:tcPr>
            <w:tcW w:w="4020" w:type="dxa"/>
            <w:vAlign w:val="bottom"/>
          </w:tcPr>
          <w:p>
            <w:pPr>
              <w:ind w:left="80"/>
              <w:spacing w:after="0"/>
              <w:rPr>
                <w:sz w:val="20"/>
                <w:szCs w:val="20"/>
                <w:color w:val="auto"/>
              </w:rPr>
            </w:pPr>
            <w:r>
              <w:rPr>
                <w:rFonts w:ascii="Arial" w:cs="Arial" w:eastAsia="Arial" w:hAnsi="Arial"/>
                <w:sz w:val="16"/>
                <w:szCs w:val="16"/>
                <w:color w:val="auto"/>
              </w:rPr>
              <w:t>Malvern, PA 19355</w:t>
            </w:r>
          </w:p>
        </w:tc>
        <w:tc>
          <w:tcPr>
            <w:tcW w:w="1820" w:type="dxa"/>
            <w:vAlign w:val="bottom"/>
          </w:tcPr>
          <w:p>
            <w:pPr>
              <w:jc w:val="right"/>
              <w:ind w:right="83"/>
              <w:spacing w:after="0"/>
              <w:rPr>
                <w:sz w:val="20"/>
                <w:szCs w:val="20"/>
                <w:color w:val="auto"/>
              </w:rPr>
            </w:pPr>
            <w:r>
              <w:rPr>
                <w:rFonts w:ascii="Arial" w:cs="Arial" w:eastAsia="Arial" w:hAnsi="Arial"/>
                <w:sz w:val="16"/>
                <w:szCs w:val="16"/>
                <w:color w:val="auto"/>
              </w:rPr>
              <w:t>11,465,877</w:t>
            </w:r>
          </w:p>
        </w:tc>
        <w:tc>
          <w:tcPr>
            <w:tcW w:w="15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11,465,877</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10.6%</w:t>
            </w:r>
          </w:p>
        </w:tc>
      </w:tr>
      <w:tr>
        <w:trPr>
          <w:trHeight w:val="176"/>
        </w:trPr>
        <w:tc>
          <w:tcPr>
            <w:tcW w:w="4020" w:type="dxa"/>
            <w:vAlign w:val="bottom"/>
            <w:shd w:val="clear" w:color="auto" w:fill="9DBDE4"/>
          </w:tcPr>
          <w:p>
            <w:pPr>
              <w:ind w:left="80"/>
              <w:spacing w:after="0" w:line="177" w:lineRule="exact"/>
              <w:rPr>
                <w:sz w:val="20"/>
                <w:szCs w:val="20"/>
                <w:color w:val="auto"/>
              </w:rPr>
            </w:pPr>
            <w:r>
              <w:rPr>
                <w:rFonts w:ascii="Arial" w:cs="Arial" w:eastAsia="Arial" w:hAnsi="Arial"/>
                <w:sz w:val="14"/>
                <w:szCs w:val="14"/>
                <w:color w:val="auto"/>
              </w:rPr>
              <w:t>Franklin Mutual Advisers, LLC</w:t>
            </w:r>
            <w:r>
              <w:rPr>
                <w:rFonts w:ascii="Arial" w:cs="Arial" w:eastAsia="Arial" w:hAnsi="Arial"/>
                <w:sz w:val="20"/>
                <w:szCs w:val="20"/>
                <w:color w:val="auto"/>
                <w:vertAlign w:val="superscript"/>
              </w:rPr>
              <w:t>(5)</w:t>
            </w:r>
          </w:p>
        </w:tc>
        <w:tc>
          <w:tcPr>
            <w:tcW w:w="1820" w:type="dxa"/>
            <w:vAlign w:val="bottom"/>
            <w:shd w:val="clear" w:color="auto" w:fill="9DBDE4"/>
          </w:tcPr>
          <w:p>
            <w:pPr>
              <w:spacing w:after="0"/>
              <w:rPr>
                <w:sz w:val="15"/>
                <w:szCs w:val="15"/>
                <w:color w:val="auto"/>
              </w:rPr>
            </w:pPr>
          </w:p>
        </w:tc>
        <w:tc>
          <w:tcPr>
            <w:tcW w:w="1520" w:type="dxa"/>
            <w:vAlign w:val="bottom"/>
            <w:shd w:val="clear" w:color="auto" w:fill="9DBDE4"/>
          </w:tcPr>
          <w:p>
            <w:pPr>
              <w:spacing w:after="0"/>
              <w:rPr>
                <w:sz w:val="15"/>
                <w:szCs w:val="15"/>
                <w:color w:val="auto"/>
              </w:rPr>
            </w:pPr>
          </w:p>
        </w:tc>
        <w:tc>
          <w:tcPr>
            <w:tcW w:w="1140" w:type="dxa"/>
            <w:vAlign w:val="bottom"/>
            <w:shd w:val="clear" w:color="auto" w:fill="9DBDE4"/>
          </w:tcPr>
          <w:p>
            <w:pPr>
              <w:spacing w:after="0"/>
              <w:rPr>
                <w:sz w:val="15"/>
                <w:szCs w:val="15"/>
                <w:color w:val="auto"/>
              </w:rPr>
            </w:pPr>
          </w:p>
        </w:tc>
        <w:tc>
          <w:tcPr>
            <w:tcW w:w="820" w:type="dxa"/>
            <w:vAlign w:val="bottom"/>
            <w:shd w:val="clear" w:color="auto" w:fill="9DBDE4"/>
          </w:tcPr>
          <w:p>
            <w:pPr>
              <w:spacing w:after="0"/>
              <w:rPr>
                <w:sz w:val="15"/>
                <w:szCs w:val="15"/>
                <w:color w:val="auto"/>
              </w:rPr>
            </w:pPr>
          </w:p>
        </w:tc>
      </w:tr>
      <w:tr>
        <w:trPr>
          <w:trHeight w:val="181"/>
        </w:trPr>
        <w:tc>
          <w:tcPr>
            <w:tcW w:w="402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rPr>
              <w:t>101 John F Kennedy Parkway, #5</w:t>
            </w:r>
          </w:p>
        </w:tc>
        <w:tc>
          <w:tcPr>
            <w:tcW w:w="1820" w:type="dxa"/>
            <w:vAlign w:val="bottom"/>
            <w:shd w:val="clear" w:color="auto" w:fill="9DBDE4"/>
          </w:tcPr>
          <w:p>
            <w:pPr>
              <w:spacing w:after="0"/>
              <w:rPr>
                <w:sz w:val="15"/>
                <w:szCs w:val="15"/>
                <w:color w:val="auto"/>
              </w:rPr>
            </w:pPr>
          </w:p>
        </w:tc>
        <w:tc>
          <w:tcPr>
            <w:tcW w:w="1520" w:type="dxa"/>
            <w:vAlign w:val="bottom"/>
            <w:shd w:val="clear" w:color="auto" w:fill="9DBDE4"/>
          </w:tcPr>
          <w:p>
            <w:pPr>
              <w:spacing w:after="0"/>
              <w:rPr>
                <w:sz w:val="15"/>
                <w:szCs w:val="15"/>
                <w:color w:val="auto"/>
              </w:rPr>
            </w:pPr>
          </w:p>
        </w:tc>
        <w:tc>
          <w:tcPr>
            <w:tcW w:w="1140" w:type="dxa"/>
            <w:vAlign w:val="bottom"/>
            <w:shd w:val="clear" w:color="auto" w:fill="9DBDE4"/>
          </w:tcPr>
          <w:p>
            <w:pPr>
              <w:spacing w:after="0"/>
              <w:rPr>
                <w:sz w:val="15"/>
                <w:szCs w:val="15"/>
                <w:color w:val="auto"/>
              </w:rPr>
            </w:pPr>
          </w:p>
        </w:tc>
        <w:tc>
          <w:tcPr>
            <w:tcW w:w="820" w:type="dxa"/>
            <w:vAlign w:val="bottom"/>
            <w:shd w:val="clear" w:color="auto" w:fill="9DBDE4"/>
          </w:tcPr>
          <w:p>
            <w:pPr>
              <w:spacing w:after="0"/>
              <w:rPr>
                <w:sz w:val="15"/>
                <w:szCs w:val="15"/>
                <w:color w:val="auto"/>
              </w:rPr>
            </w:pPr>
          </w:p>
        </w:tc>
      </w:tr>
      <w:tr>
        <w:trPr>
          <w:trHeight w:val="232"/>
        </w:trPr>
        <w:tc>
          <w:tcPr>
            <w:tcW w:w="4020" w:type="dxa"/>
            <w:vAlign w:val="bottom"/>
            <w:shd w:val="clear" w:color="auto" w:fill="9DBDE4"/>
          </w:tcPr>
          <w:p>
            <w:pPr>
              <w:ind w:left="80"/>
              <w:spacing w:after="0"/>
              <w:rPr>
                <w:sz w:val="20"/>
                <w:szCs w:val="20"/>
                <w:color w:val="auto"/>
              </w:rPr>
            </w:pPr>
            <w:r>
              <w:rPr>
                <w:rFonts w:ascii="Arial" w:cs="Arial" w:eastAsia="Arial" w:hAnsi="Arial"/>
                <w:sz w:val="16"/>
                <w:szCs w:val="16"/>
                <w:color w:val="auto"/>
              </w:rPr>
              <w:t>Short Hills, NJ 0778</w:t>
            </w:r>
          </w:p>
        </w:tc>
        <w:tc>
          <w:tcPr>
            <w:tcW w:w="182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7,964,456</w:t>
            </w:r>
          </w:p>
        </w:tc>
        <w:tc>
          <w:tcPr>
            <w:tcW w:w="1520" w:type="dxa"/>
            <w:vAlign w:val="bottom"/>
            <w:shd w:val="clear" w:color="auto" w:fill="9DBDE4"/>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7,964,456</w:t>
            </w:r>
          </w:p>
        </w:tc>
        <w:tc>
          <w:tcPr>
            <w:tcW w:w="820" w:type="dxa"/>
            <w:vAlign w:val="bottom"/>
            <w:shd w:val="clear" w:color="auto" w:fill="9DBDE4"/>
          </w:tcPr>
          <w:p>
            <w:pPr>
              <w:jc w:val="right"/>
              <w:ind w:right="63"/>
              <w:spacing w:after="0"/>
              <w:rPr>
                <w:sz w:val="20"/>
                <w:szCs w:val="20"/>
                <w:color w:val="auto"/>
              </w:rPr>
            </w:pPr>
            <w:r>
              <w:rPr>
                <w:rFonts w:ascii="Arial" w:cs="Arial" w:eastAsia="Arial" w:hAnsi="Arial"/>
                <w:sz w:val="16"/>
                <w:szCs w:val="16"/>
                <w:color w:val="auto"/>
              </w:rPr>
              <w:t>7.4%</w:t>
            </w:r>
          </w:p>
        </w:tc>
      </w:tr>
      <w:tr>
        <w:trPr>
          <w:trHeight w:val="169"/>
        </w:trPr>
        <w:tc>
          <w:tcPr>
            <w:tcW w:w="4020" w:type="dxa"/>
            <w:vAlign w:val="bottom"/>
          </w:tcPr>
          <w:p>
            <w:pPr>
              <w:ind w:left="80"/>
              <w:spacing w:after="0" w:line="169" w:lineRule="exact"/>
              <w:rPr>
                <w:sz w:val="20"/>
                <w:szCs w:val="20"/>
                <w:color w:val="auto"/>
              </w:rPr>
            </w:pPr>
            <w:r>
              <w:rPr>
                <w:rFonts w:ascii="Arial" w:cs="Arial" w:eastAsia="Arial" w:hAnsi="Arial"/>
                <w:sz w:val="13"/>
                <w:szCs w:val="13"/>
                <w:color w:val="auto"/>
              </w:rPr>
              <w:t xml:space="preserve">AllianceBernstein L.P. </w:t>
            </w:r>
            <w:r>
              <w:rPr>
                <w:rFonts w:ascii="Arial" w:cs="Arial" w:eastAsia="Arial" w:hAnsi="Arial"/>
                <w:sz w:val="19"/>
                <w:szCs w:val="19"/>
                <w:color w:val="auto"/>
                <w:vertAlign w:val="superscript"/>
              </w:rPr>
              <w:t>(6)</w:t>
            </w:r>
          </w:p>
        </w:tc>
        <w:tc>
          <w:tcPr>
            <w:tcW w:w="1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4020" w:type="dxa"/>
            <w:vAlign w:val="bottom"/>
          </w:tcPr>
          <w:p>
            <w:pPr>
              <w:ind w:left="80"/>
              <w:spacing w:after="0" w:line="181" w:lineRule="exact"/>
              <w:rPr>
                <w:sz w:val="20"/>
                <w:szCs w:val="20"/>
                <w:color w:val="auto"/>
              </w:rPr>
            </w:pPr>
            <w:r>
              <w:rPr>
                <w:rFonts w:ascii="Arial" w:cs="Arial" w:eastAsia="Arial" w:hAnsi="Arial"/>
                <w:sz w:val="16"/>
                <w:szCs w:val="16"/>
                <w:color w:val="auto"/>
              </w:rPr>
              <w:t>1345 Avenue of the Americas</w:t>
            </w:r>
          </w:p>
        </w:tc>
        <w:tc>
          <w:tcPr>
            <w:tcW w:w="1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5"/>
        </w:trPr>
        <w:tc>
          <w:tcPr>
            <w:tcW w:w="4020" w:type="dxa"/>
            <w:vAlign w:val="bottom"/>
          </w:tcPr>
          <w:p>
            <w:pPr>
              <w:ind w:left="80"/>
              <w:spacing w:after="0"/>
              <w:rPr>
                <w:sz w:val="20"/>
                <w:szCs w:val="20"/>
                <w:color w:val="auto"/>
              </w:rPr>
            </w:pPr>
            <w:r>
              <w:rPr>
                <w:rFonts w:ascii="Arial" w:cs="Arial" w:eastAsia="Arial" w:hAnsi="Arial"/>
                <w:sz w:val="16"/>
                <w:szCs w:val="16"/>
                <w:color w:val="auto"/>
              </w:rPr>
              <w:t>New York, NY 10105</w:t>
            </w:r>
          </w:p>
        </w:tc>
        <w:tc>
          <w:tcPr>
            <w:tcW w:w="1820" w:type="dxa"/>
            <w:vAlign w:val="bottom"/>
          </w:tcPr>
          <w:p>
            <w:pPr>
              <w:jc w:val="right"/>
              <w:ind w:right="83"/>
              <w:spacing w:after="0"/>
              <w:rPr>
                <w:sz w:val="20"/>
                <w:szCs w:val="20"/>
                <w:color w:val="auto"/>
              </w:rPr>
            </w:pPr>
            <w:r>
              <w:rPr>
                <w:rFonts w:ascii="Arial" w:cs="Arial" w:eastAsia="Arial" w:hAnsi="Arial"/>
                <w:sz w:val="16"/>
                <w:szCs w:val="16"/>
                <w:color w:val="auto"/>
              </w:rPr>
              <w:t>6,398,312</w:t>
            </w:r>
          </w:p>
        </w:tc>
        <w:tc>
          <w:tcPr>
            <w:tcW w:w="1520" w:type="dxa"/>
            <w:vAlign w:val="bottom"/>
          </w:tcPr>
          <w:p>
            <w:pPr>
              <w:spacing w:after="0"/>
              <w:rPr>
                <w:sz w:val="19"/>
                <w:szCs w:val="19"/>
                <w:color w:val="auto"/>
              </w:rPr>
            </w:pP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6,398,312</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5.9%</w:t>
            </w:r>
          </w:p>
        </w:tc>
      </w:tr>
      <w:tr>
        <w:trPr>
          <w:trHeight w:val="189"/>
        </w:trPr>
        <w:tc>
          <w:tcPr>
            <w:tcW w:w="4020" w:type="dxa"/>
            <w:vAlign w:val="bottom"/>
            <w:shd w:val="clear" w:color="auto" w:fill="9DBDE4"/>
          </w:tcPr>
          <w:p>
            <w:pPr>
              <w:ind w:left="80"/>
              <w:spacing w:after="0"/>
              <w:rPr>
                <w:sz w:val="20"/>
                <w:szCs w:val="20"/>
                <w:color w:val="auto"/>
              </w:rPr>
            </w:pPr>
            <w:r>
              <w:rPr>
                <w:rFonts w:ascii="Arial" w:cs="Arial" w:eastAsia="Arial" w:hAnsi="Arial"/>
                <w:sz w:val="16"/>
                <w:szCs w:val="16"/>
                <w:b w:val="1"/>
                <w:bCs w:val="1"/>
                <w:color w:val="auto"/>
              </w:rPr>
              <w:t>Named Executive Officers and Directors:</w:t>
            </w:r>
          </w:p>
        </w:tc>
        <w:tc>
          <w:tcPr>
            <w:tcW w:w="1820" w:type="dxa"/>
            <w:vAlign w:val="bottom"/>
            <w:shd w:val="clear" w:color="auto" w:fill="9DBDE4"/>
          </w:tcPr>
          <w:p>
            <w:pPr>
              <w:spacing w:after="0"/>
              <w:rPr>
                <w:sz w:val="16"/>
                <w:szCs w:val="16"/>
                <w:color w:val="auto"/>
              </w:rPr>
            </w:pPr>
          </w:p>
        </w:tc>
        <w:tc>
          <w:tcPr>
            <w:tcW w:w="1520" w:type="dxa"/>
            <w:vAlign w:val="bottom"/>
            <w:shd w:val="clear" w:color="auto" w:fill="9DBDE4"/>
          </w:tcPr>
          <w:p>
            <w:pPr>
              <w:spacing w:after="0"/>
              <w:rPr>
                <w:sz w:val="16"/>
                <w:szCs w:val="16"/>
                <w:color w:val="auto"/>
              </w:rPr>
            </w:pPr>
          </w:p>
        </w:tc>
        <w:tc>
          <w:tcPr>
            <w:tcW w:w="1140" w:type="dxa"/>
            <w:vAlign w:val="bottom"/>
            <w:shd w:val="clear" w:color="auto" w:fill="9DBDE4"/>
          </w:tcPr>
          <w:p>
            <w:pPr>
              <w:spacing w:after="0"/>
              <w:rPr>
                <w:sz w:val="16"/>
                <w:szCs w:val="16"/>
                <w:color w:val="auto"/>
              </w:rPr>
            </w:pPr>
          </w:p>
        </w:tc>
        <w:tc>
          <w:tcPr>
            <w:tcW w:w="820" w:type="dxa"/>
            <w:vAlign w:val="bottom"/>
            <w:shd w:val="clear" w:color="auto" w:fill="9DBDE4"/>
          </w:tcPr>
          <w:p>
            <w:pPr>
              <w:spacing w:after="0"/>
              <w:rPr>
                <w:sz w:val="16"/>
                <w:szCs w:val="16"/>
                <w:color w:val="auto"/>
              </w:rPr>
            </w:pPr>
          </w:p>
        </w:tc>
      </w:tr>
      <w:tr>
        <w:trPr>
          <w:trHeight w:val="207"/>
        </w:trPr>
        <w:tc>
          <w:tcPr>
            <w:tcW w:w="4020" w:type="dxa"/>
            <w:vAlign w:val="bottom"/>
          </w:tcPr>
          <w:p>
            <w:pPr>
              <w:ind w:left="80"/>
              <w:spacing w:after="0" w:line="208" w:lineRule="exact"/>
              <w:rPr>
                <w:sz w:val="20"/>
                <w:szCs w:val="20"/>
                <w:color w:val="auto"/>
              </w:rPr>
            </w:pPr>
            <w:r>
              <w:rPr>
                <w:rFonts w:ascii="Arial" w:cs="Arial" w:eastAsia="Arial" w:hAnsi="Arial"/>
                <w:sz w:val="16"/>
                <w:szCs w:val="16"/>
                <w:color w:val="auto"/>
              </w:rPr>
              <w:t>Odilon Almeida</w:t>
            </w:r>
            <w:r>
              <w:rPr>
                <w:rFonts w:ascii="Arial" w:cs="Arial" w:eastAsia="Arial" w:hAnsi="Arial"/>
                <w:sz w:val="23"/>
                <w:szCs w:val="23"/>
                <w:color w:val="auto"/>
                <w:vertAlign w:val="superscript"/>
              </w:rPr>
              <w:t>(7)</w:t>
            </w:r>
          </w:p>
        </w:tc>
        <w:tc>
          <w:tcPr>
            <w:tcW w:w="1820" w:type="dxa"/>
            <w:vAlign w:val="bottom"/>
          </w:tcPr>
          <w:p>
            <w:pPr>
              <w:jc w:val="right"/>
              <w:ind w:right="83"/>
              <w:spacing w:after="0"/>
              <w:rPr>
                <w:sz w:val="20"/>
                <w:szCs w:val="20"/>
                <w:color w:val="auto"/>
              </w:rPr>
            </w:pPr>
            <w:r>
              <w:rPr>
                <w:rFonts w:ascii="Arial" w:cs="Arial" w:eastAsia="Arial" w:hAnsi="Arial"/>
                <w:sz w:val="16"/>
                <w:szCs w:val="16"/>
                <w:color w:val="auto"/>
              </w:rPr>
              <w:t>123,218</w:t>
            </w:r>
          </w:p>
        </w:tc>
        <w:tc>
          <w:tcPr>
            <w:tcW w:w="15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123,218</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w:t>
            </w:r>
          </w:p>
        </w:tc>
      </w:tr>
      <w:tr>
        <w:trPr>
          <w:trHeight w:val="207"/>
        </w:trPr>
        <w:tc>
          <w:tcPr>
            <w:tcW w:w="4020" w:type="dxa"/>
            <w:vAlign w:val="bottom"/>
            <w:shd w:val="clear" w:color="auto" w:fill="9DBDE4"/>
          </w:tcPr>
          <w:p>
            <w:pPr>
              <w:ind w:left="80"/>
              <w:spacing w:after="0"/>
              <w:rPr>
                <w:sz w:val="20"/>
                <w:szCs w:val="20"/>
                <w:color w:val="auto"/>
              </w:rPr>
            </w:pPr>
            <w:r>
              <w:rPr>
                <w:rFonts w:ascii="Arial" w:cs="Arial" w:eastAsia="Arial" w:hAnsi="Arial"/>
                <w:sz w:val="16"/>
                <w:szCs w:val="16"/>
                <w:color w:val="auto"/>
              </w:rPr>
              <w:t>Scott W. Behrens</w:t>
            </w:r>
          </w:p>
        </w:tc>
        <w:tc>
          <w:tcPr>
            <w:tcW w:w="182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335,635</w:t>
            </w:r>
          </w:p>
        </w:tc>
        <w:tc>
          <w:tcPr>
            <w:tcW w:w="1520" w:type="dxa"/>
            <w:vAlign w:val="bottom"/>
            <w:shd w:val="clear" w:color="auto" w:fill="9DBDE4"/>
          </w:tcPr>
          <w:p>
            <w:pPr>
              <w:jc w:val="right"/>
              <w:ind w:right="105"/>
              <w:spacing w:after="0"/>
              <w:rPr>
                <w:sz w:val="20"/>
                <w:szCs w:val="20"/>
                <w:color w:val="auto"/>
              </w:rPr>
            </w:pPr>
            <w:r>
              <w:rPr>
                <w:rFonts w:ascii="Arial" w:cs="Arial" w:eastAsia="Arial" w:hAnsi="Arial"/>
                <w:sz w:val="16"/>
                <w:szCs w:val="16"/>
                <w:color w:val="auto"/>
              </w:rPr>
              <w:t>270,361</w:t>
            </w:r>
          </w:p>
        </w:tc>
        <w:tc>
          <w:tcPr>
            <w:tcW w:w="114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605,996</w:t>
            </w:r>
          </w:p>
        </w:tc>
        <w:tc>
          <w:tcPr>
            <w:tcW w:w="820" w:type="dxa"/>
            <w:vAlign w:val="bottom"/>
            <w:shd w:val="clear" w:color="auto" w:fill="9DBDE4"/>
          </w:tcPr>
          <w:p>
            <w:pPr>
              <w:jc w:val="right"/>
              <w:ind w:right="63"/>
              <w:spacing w:after="0"/>
              <w:rPr>
                <w:sz w:val="20"/>
                <w:szCs w:val="20"/>
                <w:color w:val="auto"/>
              </w:rPr>
            </w:pPr>
            <w:r>
              <w:rPr>
                <w:rFonts w:ascii="Arial" w:cs="Arial" w:eastAsia="Arial" w:hAnsi="Arial"/>
                <w:sz w:val="16"/>
                <w:szCs w:val="16"/>
                <w:color w:val="auto"/>
              </w:rPr>
              <w:t>*</w:t>
            </w:r>
          </w:p>
        </w:tc>
      </w:tr>
      <w:tr>
        <w:trPr>
          <w:trHeight w:val="206"/>
        </w:trPr>
        <w:tc>
          <w:tcPr>
            <w:tcW w:w="4020" w:type="dxa"/>
            <w:vAlign w:val="bottom"/>
          </w:tcPr>
          <w:p>
            <w:pPr>
              <w:ind w:left="80"/>
              <w:spacing w:after="0"/>
              <w:rPr>
                <w:sz w:val="20"/>
                <w:szCs w:val="20"/>
                <w:color w:val="auto"/>
              </w:rPr>
            </w:pPr>
            <w:r>
              <w:rPr>
                <w:rFonts w:ascii="Arial" w:cs="Arial" w:eastAsia="Arial" w:hAnsi="Arial"/>
                <w:sz w:val="16"/>
                <w:szCs w:val="16"/>
                <w:color w:val="auto"/>
              </w:rPr>
              <w:t>Ram Puppala</w:t>
            </w:r>
          </w:p>
        </w:tc>
        <w:tc>
          <w:tcPr>
            <w:tcW w:w="1820" w:type="dxa"/>
            <w:vAlign w:val="bottom"/>
          </w:tcPr>
          <w:p>
            <w:pPr>
              <w:jc w:val="right"/>
              <w:ind w:right="83"/>
              <w:spacing w:after="0"/>
              <w:rPr>
                <w:sz w:val="20"/>
                <w:szCs w:val="20"/>
                <w:color w:val="auto"/>
              </w:rPr>
            </w:pPr>
            <w:r>
              <w:rPr>
                <w:rFonts w:ascii="Arial" w:cs="Arial" w:eastAsia="Arial" w:hAnsi="Arial"/>
                <w:sz w:val="16"/>
                <w:szCs w:val="16"/>
                <w:color w:val="auto"/>
              </w:rPr>
              <w:t>16,594</w:t>
            </w:r>
          </w:p>
        </w:tc>
        <w:tc>
          <w:tcPr>
            <w:tcW w:w="15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16,594</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w:t>
            </w:r>
          </w:p>
        </w:tc>
      </w:tr>
      <w:tr>
        <w:trPr>
          <w:trHeight w:val="208"/>
        </w:trPr>
        <w:tc>
          <w:tcPr>
            <w:tcW w:w="4020" w:type="dxa"/>
            <w:vAlign w:val="bottom"/>
            <w:shd w:val="clear" w:color="auto" w:fill="9DBDE4"/>
          </w:tcPr>
          <w:p>
            <w:pPr>
              <w:ind w:left="80"/>
              <w:spacing w:after="0"/>
              <w:rPr>
                <w:sz w:val="20"/>
                <w:szCs w:val="20"/>
                <w:color w:val="auto"/>
              </w:rPr>
            </w:pPr>
            <w:r>
              <w:rPr>
                <w:rFonts w:ascii="Arial" w:cs="Arial" w:eastAsia="Arial" w:hAnsi="Arial"/>
                <w:sz w:val="16"/>
                <w:szCs w:val="16"/>
                <w:color w:val="auto"/>
              </w:rPr>
              <w:t>Alessandro Silva</w:t>
            </w:r>
          </w:p>
        </w:tc>
        <w:tc>
          <w:tcPr>
            <w:tcW w:w="182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8,018</w:t>
            </w:r>
          </w:p>
        </w:tc>
        <w:tc>
          <w:tcPr>
            <w:tcW w:w="1520" w:type="dxa"/>
            <w:vAlign w:val="bottom"/>
            <w:shd w:val="clear" w:color="auto" w:fill="9DBDE4"/>
          </w:tcPr>
          <w:p>
            <w:pPr>
              <w:jc w:val="right"/>
              <w:ind w:right="105"/>
              <w:spacing w:after="0"/>
              <w:rPr>
                <w:sz w:val="20"/>
                <w:szCs w:val="20"/>
                <w:color w:val="auto"/>
              </w:rPr>
            </w:pPr>
            <w:r>
              <w:rPr>
                <w:rFonts w:ascii="Arial" w:cs="Arial" w:eastAsia="Arial" w:hAnsi="Arial"/>
                <w:sz w:val="16"/>
                <w:szCs w:val="16"/>
                <w:color w:val="auto"/>
              </w:rPr>
              <w:t>2,417</w:t>
            </w:r>
          </w:p>
        </w:tc>
        <w:tc>
          <w:tcPr>
            <w:tcW w:w="114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10,435</w:t>
            </w:r>
          </w:p>
        </w:tc>
        <w:tc>
          <w:tcPr>
            <w:tcW w:w="820" w:type="dxa"/>
            <w:vAlign w:val="bottom"/>
            <w:shd w:val="clear" w:color="auto" w:fill="9DBDE4"/>
          </w:tcPr>
          <w:p>
            <w:pPr>
              <w:spacing w:after="0"/>
              <w:rPr>
                <w:sz w:val="18"/>
                <w:szCs w:val="18"/>
                <w:color w:val="auto"/>
              </w:rPr>
            </w:pPr>
          </w:p>
        </w:tc>
      </w:tr>
      <w:tr>
        <w:trPr>
          <w:trHeight w:val="206"/>
        </w:trPr>
        <w:tc>
          <w:tcPr>
            <w:tcW w:w="4020" w:type="dxa"/>
            <w:vAlign w:val="bottom"/>
          </w:tcPr>
          <w:p>
            <w:pPr>
              <w:ind w:left="80"/>
              <w:spacing w:after="0"/>
              <w:rPr>
                <w:sz w:val="20"/>
                <w:szCs w:val="20"/>
                <w:color w:val="auto"/>
              </w:rPr>
            </w:pPr>
            <w:r>
              <w:rPr>
                <w:rFonts w:ascii="Arial" w:cs="Arial" w:eastAsia="Arial" w:hAnsi="Arial"/>
                <w:sz w:val="16"/>
                <w:szCs w:val="16"/>
                <w:color w:val="auto"/>
              </w:rPr>
              <w:t>Deborah L. Guerra</w:t>
            </w:r>
          </w:p>
        </w:tc>
        <w:tc>
          <w:tcPr>
            <w:tcW w:w="1820" w:type="dxa"/>
            <w:vAlign w:val="bottom"/>
          </w:tcPr>
          <w:p>
            <w:pPr>
              <w:jc w:val="right"/>
              <w:ind w:right="83"/>
              <w:spacing w:after="0"/>
              <w:rPr>
                <w:sz w:val="20"/>
                <w:szCs w:val="20"/>
                <w:color w:val="auto"/>
              </w:rPr>
            </w:pPr>
            <w:r>
              <w:rPr>
                <w:rFonts w:ascii="Arial" w:cs="Arial" w:eastAsia="Arial" w:hAnsi="Arial"/>
                <w:sz w:val="16"/>
                <w:szCs w:val="16"/>
                <w:color w:val="auto"/>
              </w:rPr>
              <w:t>15,427</w:t>
            </w:r>
          </w:p>
        </w:tc>
        <w:tc>
          <w:tcPr>
            <w:tcW w:w="1520" w:type="dxa"/>
            <w:vAlign w:val="bottom"/>
          </w:tcPr>
          <w:p>
            <w:pPr>
              <w:jc w:val="right"/>
              <w:ind w:right="105"/>
              <w:spacing w:after="0"/>
              <w:rPr>
                <w:sz w:val="20"/>
                <w:szCs w:val="20"/>
                <w:color w:val="auto"/>
              </w:rPr>
            </w:pPr>
            <w:r>
              <w:rPr>
                <w:rFonts w:ascii="Arial" w:cs="Arial" w:eastAsia="Arial" w:hAnsi="Arial"/>
                <w:sz w:val="16"/>
                <w:szCs w:val="16"/>
                <w:color w:val="auto"/>
              </w:rPr>
              <w:t>1,128</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14,928</w:t>
            </w:r>
          </w:p>
        </w:tc>
        <w:tc>
          <w:tcPr>
            <w:tcW w:w="820" w:type="dxa"/>
            <w:vAlign w:val="bottom"/>
          </w:tcPr>
          <w:p>
            <w:pPr>
              <w:spacing w:after="0"/>
              <w:rPr>
                <w:sz w:val="17"/>
                <w:szCs w:val="17"/>
                <w:color w:val="auto"/>
              </w:rPr>
            </w:pPr>
          </w:p>
        </w:tc>
      </w:tr>
      <w:tr>
        <w:trPr>
          <w:trHeight w:val="208"/>
        </w:trPr>
        <w:tc>
          <w:tcPr>
            <w:tcW w:w="4020" w:type="dxa"/>
            <w:vAlign w:val="bottom"/>
            <w:shd w:val="clear" w:color="auto" w:fill="9DBDE4"/>
          </w:tcPr>
          <w:p>
            <w:pPr>
              <w:ind w:left="80"/>
              <w:spacing w:after="0"/>
              <w:rPr>
                <w:sz w:val="20"/>
                <w:szCs w:val="20"/>
                <w:color w:val="auto"/>
              </w:rPr>
            </w:pPr>
            <w:r>
              <w:rPr>
                <w:rFonts w:ascii="Arial" w:cs="Arial" w:eastAsia="Arial" w:hAnsi="Arial"/>
                <w:sz w:val="16"/>
                <w:szCs w:val="16"/>
                <w:color w:val="auto"/>
              </w:rPr>
              <w:t>Evanthia Aretakis</w:t>
            </w:r>
          </w:p>
        </w:tc>
        <w:tc>
          <w:tcPr>
            <w:tcW w:w="182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96,600</w:t>
            </w:r>
          </w:p>
        </w:tc>
        <w:tc>
          <w:tcPr>
            <w:tcW w:w="1520" w:type="dxa"/>
            <w:vAlign w:val="bottom"/>
            <w:shd w:val="clear" w:color="auto" w:fill="9DBDE4"/>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96,600</w:t>
            </w:r>
          </w:p>
        </w:tc>
        <w:tc>
          <w:tcPr>
            <w:tcW w:w="820" w:type="dxa"/>
            <w:vAlign w:val="bottom"/>
            <w:shd w:val="clear" w:color="auto" w:fill="9DBDE4"/>
          </w:tcPr>
          <w:p>
            <w:pPr>
              <w:jc w:val="right"/>
              <w:ind w:right="63"/>
              <w:spacing w:after="0"/>
              <w:rPr>
                <w:sz w:val="20"/>
                <w:szCs w:val="20"/>
                <w:color w:val="auto"/>
              </w:rPr>
            </w:pPr>
            <w:r>
              <w:rPr>
                <w:rFonts w:ascii="Arial" w:cs="Arial" w:eastAsia="Arial" w:hAnsi="Arial"/>
                <w:sz w:val="16"/>
                <w:szCs w:val="16"/>
                <w:color w:val="auto"/>
              </w:rPr>
              <w:t>*</w:t>
            </w:r>
          </w:p>
        </w:tc>
      </w:tr>
      <w:tr>
        <w:trPr>
          <w:trHeight w:val="206"/>
        </w:trPr>
        <w:tc>
          <w:tcPr>
            <w:tcW w:w="4020" w:type="dxa"/>
            <w:vAlign w:val="bottom"/>
          </w:tcPr>
          <w:p>
            <w:pPr>
              <w:ind w:left="80"/>
              <w:spacing w:after="0"/>
              <w:rPr>
                <w:sz w:val="20"/>
                <w:szCs w:val="20"/>
                <w:color w:val="auto"/>
              </w:rPr>
            </w:pPr>
            <w:r>
              <w:rPr>
                <w:rFonts w:ascii="Arial" w:cs="Arial" w:eastAsia="Arial" w:hAnsi="Arial"/>
                <w:sz w:val="16"/>
                <w:szCs w:val="16"/>
                <w:color w:val="auto"/>
              </w:rPr>
              <w:t>Jeremy M. Wilmot</w:t>
            </w:r>
          </w:p>
        </w:tc>
        <w:tc>
          <w:tcPr>
            <w:tcW w:w="1820" w:type="dxa"/>
            <w:vAlign w:val="bottom"/>
          </w:tcPr>
          <w:p>
            <w:pPr>
              <w:jc w:val="right"/>
              <w:ind w:right="83"/>
              <w:spacing w:after="0"/>
              <w:rPr>
                <w:sz w:val="20"/>
                <w:szCs w:val="20"/>
                <w:color w:val="auto"/>
              </w:rPr>
            </w:pPr>
            <w:r>
              <w:rPr>
                <w:rFonts w:ascii="Arial" w:cs="Arial" w:eastAsia="Arial" w:hAnsi="Arial"/>
                <w:sz w:val="16"/>
                <w:szCs w:val="16"/>
                <w:color w:val="auto"/>
              </w:rPr>
              <w:t>51,271</w:t>
            </w:r>
          </w:p>
        </w:tc>
        <w:tc>
          <w:tcPr>
            <w:tcW w:w="1520" w:type="dxa"/>
            <w:vAlign w:val="bottom"/>
          </w:tcPr>
          <w:p>
            <w:pPr>
              <w:jc w:val="right"/>
              <w:ind w:right="105"/>
              <w:spacing w:after="0"/>
              <w:rPr>
                <w:sz w:val="20"/>
                <w:szCs w:val="20"/>
                <w:color w:val="auto"/>
              </w:rPr>
            </w:pPr>
            <w:r>
              <w:rPr>
                <w:rFonts w:ascii="Arial" w:cs="Arial" w:eastAsia="Arial" w:hAnsi="Arial"/>
                <w:sz w:val="16"/>
                <w:szCs w:val="16"/>
                <w:color w:val="auto"/>
              </w:rPr>
              <w:t>142,942</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194,213</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w:t>
            </w:r>
          </w:p>
        </w:tc>
      </w:tr>
      <w:tr>
        <w:trPr>
          <w:trHeight w:val="208"/>
        </w:trPr>
        <w:tc>
          <w:tcPr>
            <w:tcW w:w="4020" w:type="dxa"/>
            <w:vAlign w:val="bottom"/>
            <w:shd w:val="clear" w:color="auto" w:fill="9DBDE4"/>
          </w:tcPr>
          <w:p>
            <w:pPr>
              <w:ind w:left="80"/>
              <w:spacing w:after="0" w:line="209" w:lineRule="exact"/>
              <w:rPr>
                <w:sz w:val="20"/>
                <w:szCs w:val="20"/>
                <w:color w:val="auto"/>
              </w:rPr>
            </w:pPr>
            <w:r>
              <w:rPr>
                <w:rFonts w:ascii="Arial" w:cs="Arial" w:eastAsia="Arial" w:hAnsi="Arial"/>
                <w:sz w:val="16"/>
                <w:szCs w:val="16"/>
                <w:color w:val="auto"/>
              </w:rPr>
              <w:t>Thomas W. Warsop, III</w:t>
            </w:r>
            <w:r>
              <w:rPr>
                <w:rFonts w:ascii="Arial" w:cs="Arial" w:eastAsia="Arial" w:hAnsi="Arial"/>
                <w:sz w:val="23"/>
                <w:szCs w:val="23"/>
                <w:color w:val="auto"/>
                <w:vertAlign w:val="superscript"/>
              </w:rPr>
              <w:t>(8)</w:t>
            </w:r>
          </w:p>
        </w:tc>
        <w:tc>
          <w:tcPr>
            <w:tcW w:w="182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66,427</w:t>
            </w:r>
          </w:p>
        </w:tc>
        <w:tc>
          <w:tcPr>
            <w:tcW w:w="1520" w:type="dxa"/>
            <w:vAlign w:val="bottom"/>
            <w:shd w:val="clear" w:color="auto" w:fill="9DBDE4"/>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66,427</w:t>
            </w:r>
          </w:p>
        </w:tc>
        <w:tc>
          <w:tcPr>
            <w:tcW w:w="820" w:type="dxa"/>
            <w:vAlign w:val="bottom"/>
            <w:shd w:val="clear" w:color="auto" w:fill="9DBDE4"/>
          </w:tcPr>
          <w:p>
            <w:pPr>
              <w:jc w:val="right"/>
              <w:ind w:right="63"/>
              <w:spacing w:after="0"/>
              <w:rPr>
                <w:sz w:val="20"/>
                <w:szCs w:val="20"/>
                <w:color w:val="auto"/>
              </w:rPr>
            </w:pPr>
            <w:r>
              <w:rPr>
                <w:rFonts w:ascii="Arial" w:cs="Arial" w:eastAsia="Arial" w:hAnsi="Arial"/>
                <w:sz w:val="16"/>
                <w:szCs w:val="16"/>
                <w:color w:val="auto"/>
              </w:rPr>
              <w:t>*</w:t>
            </w:r>
          </w:p>
        </w:tc>
      </w:tr>
      <w:tr>
        <w:trPr>
          <w:trHeight w:val="206"/>
        </w:trPr>
        <w:tc>
          <w:tcPr>
            <w:tcW w:w="4020" w:type="dxa"/>
            <w:vAlign w:val="bottom"/>
          </w:tcPr>
          <w:p>
            <w:pPr>
              <w:ind w:left="80"/>
              <w:spacing w:after="0"/>
              <w:rPr>
                <w:sz w:val="20"/>
                <w:szCs w:val="20"/>
                <w:color w:val="auto"/>
              </w:rPr>
            </w:pPr>
            <w:r>
              <w:rPr>
                <w:rFonts w:ascii="Arial" w:cs="Arial" w:eastAsia="Arial" w:hAnsi="Arial"/>
                <w:sz w:val="16"/>
                <w:szCs w:val="16"/>
                <w:color w:val="auto"/>
              </w:rPr>
              <w:t>Janet O. Estep</w:t>
            </w:r>
          </w:p>
        </w:tc>
        <w:tc>
          <w:tcPr>
            <w:tcW w:w="1820" w:type="dxa"/>
            <w:vAlign w:val="bottom"/>
          </w:tcPr>
          <w:p>
            <w:pPr>
              <w:jc w:val="right"/>
              <w:ind w:right="83"/>
              <w:spacing w:after="0"/>
              <w:rPr>
                <w:sz w:val="20"/>
                <w:szCs w:val="20"/>
                <w:color w:val="auto"/>
              </w:rPr>
            </w:pPr>
            <w:r>
              <w:rPr>
                <w:rFonts w:ascii="Arial" w:cs="Arial" w:eastAsia="Arial" w:hAnsi="Arial"/>
                <w:sz w:val="16"/>
                <w:szCs w:val="16"/>
                <w:color w:val="auto"/>
              </w:rPr>
              <w:t>48,933</w:t>
            </w:r>
          </w:p>
        </w:tc>
        <w:tc>
          <w:tcPr>
            <w:tcW w:w="15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48,933</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w:t>
            </w:r>
          </w:p>
        </w:tc>
      </w:tr>
      <w:tr>
        <w:trPr>
          <w:trHeight w:val="208"/>
        </w:trPr>
        <w:tc>
          <w:tcPr>
            <w:tcW w:w="4020" w:type="dxa"/>
            <w:vAlign w:val="bottom"/>
            <w:shd w:val="clear" w:color="auto" w:fill="9DBDE4"/>
          </w:tcPr>
          <w:p>
            <w:pPr>
              <w:ind w:left="80"/>
              <w:spacing w:after="0"/>
              <w:rPr>
                <w:sz w:val="20"/>
                <w:szCs w:val="20"/>
                <w:color w:val="auto"/>
              </w:rPr>
            </w:pPr>
            <w:r>
              <w:rPr>
                <w:rFonts w:ascii="Arial" w:cs="Arial" w:eastAsia="Arial" w:hAnsi="Arial"/>
                <w:sz w:val="16"/>
                <w:szCs w:val="16"/>
                <w:color w:val="auto"/>
              </w:rPr>
              <w:t>James C. Hale III</w:t>
            </w:r>
          </w:p>
        </w:tc>
        <w:tc>
          <w:tcPr>
            <w:tcW w:w="182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64,251</w:t>
            </w:r>
          </w:p>
        </w:tc>
        <w:tc>
          <w:tcPr>
            <w:tcW w:w="1520" w:type="dxa"/>
            <w:vAlign w:val="bottom"/>
            <w:shd w:val="clear" w:color="auto" w:fill="9DBDE4"/>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64,251</w:t>
            </w:r>
          </w:p>
        </w:tc>
        <w:tc>
          <w:tcPr>
            <w:tcW w:w="820" w:type="dxa"/>
            <w:vAlign w:val="bottom"/>
            <w:shd w:val="clear" w:color="auto" w:fill="9DBDE4"/>
          </w:tcPr>
          <w:p>
            <w:pPr>
              <w:jc w:val="right"/>
              <w:ind w:right="63"/>
              <w:spacing w:after="0"/>
              <w:rPr>
                <w:sz w:val="20"/>
                <w:szCs w:val="20"/>
                <w:color w:val="auto"/>
              </w:rPr>
            </w:pPr>
            <w:r>
              <w:rPr>
                <w:rFonts w:ascii="Arial" w:cs="Arial" w:eastAsia="Arial" w:hAnsi="Arial"/>
                <w:sz w:val="16"/>
                <w:szCs w:val="16"/>
                <w:color w:val="auto"/>
              </w:rPr>
              <w:t>*</w:t>
            </w:r>
          </w:p>
        </w:tc>
      </w:tr>
      <w:tr>
        <w:trPr>
          <w:trHeight w:val="206"/>
        </w:trPr>
        <w:tc>
          <w:tcPr>
            <w:tcW w:w="4020" w:type="dxa"/>
            <w:vAlign w:val="bottom"/>
          </w:tcPr>
          <w:p>
            <w:pPr>
              <w:ind w:left="80"/>
              <w:spacing w:after="0"/>
              <w:rPr>
                <w:sz w:val="20"/>
                <w:szCs w:val="20"/>
                <w:color w:val="auto"/>
              </w:rPr>
            </w:pPr>
            <w:r>
              <w:rPr>
                <w:rFonts w:ascii="Arial" w:cs="Arial" w:eastAsia="Arial" w:hAnsi="Arial"/>
                <w:sz w:val="16"/>
                <w:szCs w:val="16"/>
                <w:color w:val="auto"/>
              </w:rPr>
              <w:t>Mary P. Harman</w:t>
            </w:r>
          </w:p>
        </w:tc>
        <w:tc>
          <w:tcPr>
            <w:tcW w:w="1820" w:type="dxa"/>
            <w:vAlign w:val="bottom"/>
          </w:tcPr>
          <w:p>
            <w:pPr>
              <w:jc w:val="right"/>
              <w:ind w:right="83"/>
              <w:spacing w:after="0"/>
              <w:rPr>
                <w:sz w:val="20"/>
                <w:szCs w:val="20"/>
                <w:color w:val="auto"/>
              </w:rPr>
            </w:pPr>
            <w:r>
              <w:rPr>
                <w:rFonts w:ascii="Arial" w:cs="Arial" w:eastAsia="Arial" w:hAnsi="Arial"/>
                <w:sz w:val="16"/>
                <w:szCs w:val="16"/>
                <w:color w:val="auto"/>
              </w:rPr>
              <w:t>6,440</w:t>
            </w:r>
          </w:p>
        </w:tc>
        <w:tc>
          <w:tcPr>
            <w:tcW w:w="15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6,440</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w:t>
            </w:r>
          </w:p>
        </w:tc>
      </w:tr>
      <w:tr>
        <w:trPr>
          <w:trHeight w:val="208"/>
        </w:trPr>
        <w:tc>
          <w:tcPr>
            <w:tcW w:w="4020" w:type="dxa"/>
            <w:vAlign w:val="bottom"/>
            <w:shd w:val="clear" w:color="auto" w:fill="9DBDE4"/>
          </w:tcPr>
          <w:p>
            <w:pPr>
              <w:ind w:left="80"/>
              <w:spacing w:after="0"/>
              <w:rPr>
                <w:sz w:val="20"/>
                <w:szCs w:val="20"/>
                <w:color w:val="auto"/>
              </w:rPr>
            </w:pPr>
            <w:r>
              <w:rPr>
                <w:rFonts w:ascii="Arial" w:cs="Arial" w:eastAsia="Arial" w:hAnsi="Arial"/>
                <w:sz w:val="16"/>
                <w:szCs w:val="16"/>
                <w:color w:val="auto"/>
              </w:rPr>
              <w:t>Didier R. Lamouche</w:t>
            </w:r>
          </w:p>
        </w:tc>
        <w:tc>
          <w:tcPr>
            <w:tcW w:w="182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6,440</w:t>
            </w:r>
          </w:p>
        </w:tc>
        <w:tc>
          <w:tcPr>
            <w:tcW w:w="1520" w:type="dxa"/>
            <w:vAlign w:val="bottom"/>
            <w:shd w:val="clear" w:color="auto" w:fill="9DBDE4"/>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6,440</w:t>
            </w:r>
          </w:p>
        </w:tc>
        <w:tc>
          <w:tcPr>
            <w:tcW w:w="820" w:type="dxa"/>
            <w:vAlign w:val="bottom"/>
            <w:shd w:val="clear" w:color="auto" w:fill="9DBDE4"/>
          </w:tcPr>
          <w:p>
            <w:pPr>
              <w:jc w:val="right"/>
              <w:ind w:right="63"/>
              <w:spacing w:after="0"/>
              <w:rPr>
                <w:sz w:val="20"/>
                <w:szCs w:val="20"/>
                <w:color w:val="auto"/>
              </w:rPr>
            </w:pPr>
            <w:r>
              <w:rPr>
                <w:rFonts w:ascii="Arial" w:cs="Arial" w:eastAsia="Arial" w:hAnsi="Arial"/>
                <w:sz w:val="16"/>
                <w:szCs w:val="16"/>
                <w:color w:val="auto"/>
              </w:rPr>
              <w:t>*</w:t>
            </w:r>
          </w:p>
        </w:tc>
      </w:tr>
      <w:tr>
        <w:trPr>
          <w:trHeight w:val="206"/>
        </w:trPr>
        <w:tc>
          <w:tcPr>
            <w:tcW w:w="4020" w:type="dxa"/>
            <w:vAlign w:val="bottom"/>
          </w:tcPr>
          <w:p>
            <w:pPr>
              <w:ind w:left="80"/>
              <w:spacing w:after="0"/>
              <w:rPr>
                <w:sz w:val="20"/>
                <w:szCs w:val="20"/>
                <w:color w:val="auto"/>
              </w:rPr>
            </w:pPr>
            <w:r>
              <w:rPr>
                <w:rFonts w:ascii="Arial" w:cs="Arial" w:eastAsia="Arial" w:hAnsi="Arial"/>
                <w:sz w:val="16"/>
                <w:szCs w:val="16"/>
                <w:color w:val="auto"/>
              </w:rPr>
              <w:t>Charles E. Peters, Jr.</w:t>
            </w:r>
          </w:p>
        </w:tc>
        <w:tc>
          <w:tcPr>
            <w:tcW w:w="1820" w:type="dxa"/>
            <w:vAlign w:val="bottom"/>
          </w:tcPr>
          <w:p>
            <w:pPr>
              <w:jc w:val="right"/>
              <w:ind w:right="83"/>
              <w:spacing w:after="0"/>
              <w:rPr>
                <w:sz w:val="20"/>
                <w:szCs w:val="20"/>
                <w:color w:val="auto"/>
              </w:rPr>
            </w:pPr>
            <w:r>
              <w:rPr>
                <w:rFonts w:ascii="Arial" w:cs="Arial" w:eastAsia="Arial" w:hAnsi="Arial"/>
                <w:sz w:val="16"/>
                <w:szCs w:val="16"/>
                <w:color w:val="auto"/>
              </w:rPr>
              <w:t>65,927</w:t>
            </w:r>
          </w:p>
        </w:tc>
        <w:tc>
          <w:tcPr>
            <w:tcW w:w="15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65,927</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w:t>
            </w:r>
          </w:p>
        </w:tc>
      </w:tr>
      <w:tr>
        <w:trPr>
          <w:trHeight w:val="208"/>
        </w:trPr>
        <w:tc>
          <w:tcPr>
            <w:tcW w:w="4020" w:type="dxa"/>
            <w:vAlign w:val="bottom"/>
            <w:shd w:val="clear" w:color="auto" w:fill="9DBDE4"/>
          </w:tcPr>
          <w:p>
            <w:pPr>
              <w:ind w:left="80"/>
              <w:spacing w:after="0" w:line="209" w:lineRule="exact"/>
              <w:rPr>
                <w:sz w:val="20"/>
                <w:szCs w:val="20"/>
                <w:color w:val="auto"/>
              </w:rPr>
            </w:pPr>
            <w:r>
              <w:rPr>
                <w:rFonts w:ascii="Arial" w:cs="Arial" w:eastAsia="Arial" w:hAnsi="Arial"/>
                <w:sz w:val="16"/>
                <w:szCs w:val="16"/>
                <w:color w:val="auto"/>
              </w:rPr>
              <w:t>Adalio T. Sanchez</w:t>
            </w:r>
            <w:r>
              <w:rPr>
                <w:rFonts w:ascii="Arial" w:cs="Arial" w:eastAsia="Arial" w:hAnsi="Arial"/>
                <w:sz w:val="23"/>
                <w:szCs w:val="23"/>
                <w:color w:val="auto"/>
                <w:vertAlign w:val="superscript"/>
              </w:rPr>
              <w:t>(9)</w:t>
            </w:r>
          </w:p>
        </w:tc>
        <w:tc>
          <w:tcPr>
            <w:tcW w:w="182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67,555</w:t>
            </w:r>
          </w:p>
        </w:tc>
        <w:tc>
          <w:tcPr>
            <w:tcW w:w="1520" w:type="dxa"/>
            <w:vAlign w:val="bottom"/>
            <w:shd w:val="clear" w:color="auto" w:fill="9DBDE4"/>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shd w:val="clear" w:color="auto" w:fill="9DBDE4"/>
          </w:tcPr>
          <w:p>
            <w:pPr>
              <w:jc w:val="right"/>
              <w:ind w:right="83"/>
              <w:spacing w:after="0"/>
              <w:rPr>
                <w:sz w:val="20"/>
                <w:szCs w:val="20"/>
                <w:color w:val="auto"/>
              </w:rPr>
            </w:pPr>
            <w:r>
              <w:rPr>
                <w:rFonts w:ascii="Arial" w:cs="Arial" w:eastAsia="Arial" w:hAnsi="Arial"/>
                <w:sz w:val="16"/>
                <w:szCs w:val="16"/>
                <w:color w:val="auto"/>
              </w:rPr>
              <w:t>67,555</w:t>
            </w:r>
          </w:p>
        </w:tc>
        <w:tc>
          <w:tcPr>
            <w:tcW w:w="820" w:type="dxa"/>
            <w:vAlign w:val="bottom"/>
            <w:shd w:val="clear" w:color="auto" w:fill="9DBDE4"/>
          </w:tcPr>
          <w:p>
            <w:pPr>
              <w:jc w:val="right"/>
              <w:ind w:right="63"/>
              <w:spacing w:after="0"/>
              <w:rPr>
                <w:sz w:val="20"/>
                <w:szCs w:val="20"/>
                <w:color w:val="auto"/>
              </w:rPr>
            </w:pPr>
            <w:r>
              <w:rPr>
                <w:rFonts w:ascii="Arial" w:cs="Arial" w:eastAsia="Arial" w:hAnsi="Arial"/>
                <w:sz w:val="16"/>
                <w:szCs w:val="16"/>
                <w:color w:val="auto"/>
              </w:rPr>
              <w:t>*</w:t>
            </w:r>
          </w:p>
        </w:tc>
      </w:tr>
      <w:tr>
        <w:trPr>
          <w:trHeight w:val="206"/>
        </w:trPr>
        <w:tc>
          <w:tcPr>
            <w:tcW w:w="4020" w:type="dxa"/>
            <w:vAlign w:val="bottom"/>
          </w:tcPr>
          <w:p>
            <w:pPr>
              <w:ind w:left="80"/>
              <w:spacing w:after="0"/>
              <w:rPr>
                <w:sz w:val="20"/>
                <w:szCs w:val="20"/>
                <w:color w:val="auto"/>
              </w:rPr>
            </w:pPr>
            <w:r>
              <w:rPr>
                <w:rFonts w:ascii="Arial" w:cs="Arial" w:eastAsia="Arial" w:hAnsi="Arial"/>
                <w:sz w:val="16"/>
                <w:szCs w:val="16"/>
                <w:color w:val="auto"/>
              </w:rPr>
              <w:t>Samir M. Zabaneh</w:t>
            </w:r>
          </w:p>
        </w:tc>
        <w:tc>
          <w:tcPr>
            <w:tcW w:w="1820" w:type="dxa"/>
            <w:vAlign w:val="bottom"/>
          </w:tcPr>
          <w:p>
            <w:pPr>
              <w:jc w:val="right"/>
              <w:ind w:right="83"/>
              <w:spacing w:after="0"/>
              <w:rPr>
                <w:sz w:val="20"/>
                <w:szCs w:val="20"/>
                <w:color w:val="auto"/>
              </w:rPr>
            </w:pPr>
            <w:r>
              <w:rPr>
                <w:rFonts w:ascii="Arial" w:cs="Arial" w:eastAsia="Arial" w:hAnsi="Arial"/>
                <w:sz w:val="16"/>
                <w:szCs w:val="16"/>
                <w:color w:val="auto"/>
              </w:rPr>
              <w:t>6,440</w:t>
            </w:r>
          </w:p>
        </w:tc>
        <w:tc>
          <w:tcPr>
            <w:tcW w:w="15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6,440</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w:t>
            </w:r>
          </w:p>
        </w:tc>
      </w:tr>
      <w:tr>
        <w:trPr>
          <w:trHeight w:val="168"/>
        </w:trPr>
        <w:tc>
          <w:tcPr>
            <w:tcW w:w="4020" w:type="dxa"/>
            <w:vAlign w:val="bottom"/>
            <w:shd w:val="clear" w:color="auto" w:fill="9DBDE4"/>
          </w:tcPr>
          <w:p>
            <w:pPr>
              <w:ind w:left="80"/>
              <w:spacing w:after="0" w:line="168" w:lineRule="exact"/>
              <w:rPr>
                <w:sz w:val="20"/>
                <w:szCs w:val="20"/>
                <w:color w:val="auto"/>
              </w:rPr>
            </w:pPr>
            <w:r>
              <w:rPr>
                <w:rFonts w:ascii="Arial" w:cs="Arial" w:eastAsia="Arial" w:hAnsi="Arial"/>
                <w:sz w:val="16"/>
                <w:szCs w:val="16"/>
                <w:b w:val="1"/>
                <w:bCs w:val="1"/>
                <w:color w:val="auto"/>
              </w:rPr>
              <w:t>All Directors and Executive Officers as a group</w:t>
            </w:r>
          </w:p>
        </w:tc>
        <w:tc>
          <w:tcPr>
            <w:tcW w:w="1820" w:type="dxa"/>
            <w:vAlign w:val="bottom"/>
            <w:shd w:val="clear" w:color="auto" w:fill="9DBDE4"/>
          </w:tcPr>
          <w:p>
            <w:pPr>
              <w:spacing w:after="0"/>
              <w:rPr>
                <w:sz w:val="14"/>
                <w:szCs w:val="14"/>
                <w:color w:val="auto"/>
              </w:rPr>
            </w:pPr>
          </w:p>
        </w:tc>
        <w:tc>
          <w:tcPr>
            <w:tcW w:w="1520" w:type="dxa"/>
            <w:vAlign w:val="bottom"/>
            <w:shd w:val="clear" w:color="auto" w:fill="9DBDE4"/>
          </w:tcPr>
          <w:p>
            <w:pPr>
              <w:spacing w:after="0"/>
              <w:rPr>
                <w:sz w:val="14"/>
                <w:szCs w:val="14"/>
                <w:color w:val="auto"/>
              </w:rPr>
            </w:pPr>
          </w:p>
        </w:tc>
        <w:tc>
          <w:tcPr>
            <w:tcW w:w="1140" w:type="dxa"/>
            <w:vAlign w:val="bottom"/>
            <w:shd w:val="clear" w:color="auto" w:fill="9DBDE4"/>
          </w:tcPr>
          <w:p>
            <w:pPr>
              <w:spacing w:after="0"/>
              <w:rPr>
                <w:sz w:val="14"/>
                <w:szCs w:val="14"/>
                <w:color w:val="auto"/>
              </w:rPr>
            </w:pPr>
          </w:p>
        </w:tc>
        <w:tc>
          <w:tcPr>
            <w:tcW w:w="820" w:type="dxa"/>
            <w:vAlign w:val="bottom"/>
            <w:shd w:val="clear" w:color="auto" w:fill="9DBDE4"/>
          </w:tcPr>
          <w:p>
            <w:pPr>
              <w:spacing w:after="0"/>
              <w:rPr>
                <w:sz w:val="14"/>
                <w:szCs w:val="14"/>
                <w:color w:val="auto"/>
              </w:rPr>
            </w:pPr>
          </w:p>
        </w:tc>
      </w:tr>
      <w:tr>
        <w:trPr>
          <w:trHeight w:val="240"/>
        </w:trPr>
        <w:tc>
          <w:tcPr>
            <w:tcW w:w="4020" w:type="dxa"/>
            <w:vAlign w:val="bottom"/>
            <w:tcBorders>
              <w:bottom w:val="single" w:sz="8" w:color="9DBDE4"/>
            </w:tcBorders>
            <w:shd w:val="clear" w:color="auto" w:fill="9DBDE4"/>
          </w:tcPr>
          <w:p>
            <w:pPr>
              <w:ind w:left="80"/>
              <w:spacing w:after="0"/>
              <w:rPr>
                <w:sz w:val="20"/>
                <w:szCs w:val="20"/>
                <w:color w:val="auto"/>
              </w:rPr>
            </w:pPr>
            <w:r>
              <w:rPr>
                <w:rFonts w:ascii="Arial" w:cs="Arial" w:eastAsia="Arial" w:hAnsi="Arial"/>
                <w:sz w:val="16"/>
                <w:szCs w:val="16"/>
                <w:b w:val="1"/>
                <w:bCs w:val="1"/>
                <w:color w:val="auto"/>
              </w:rPr>
              <w:t>(15 Persons)</w:t>
            </w:r>
          </w:p>
        </w:tc>
        <w:tc>
          <w:tcPr>
            <w:tcW w:w="1820" w:type="dxa"/>
            <w:vAlign w:val="bottom"/>
            <w:tcBorders>
              <w:bottom w:val="single" w:sz="8" w:color="9DBDE4"/>
            </w:tcBorders>
            <w:shd w:val="clear" w:color="auto" w:fill="9DBDE4"/>
          </w:tcPr>
          <w:p>
            <w:pPr>
              <w:jc w:val="right"/>
              <w:ind w:right="83"/>
              <w:spacing w:after="0"/>
              <w:rPr>
                <w:sz w:val="20"/>
                <w:szCs w:val="20"/>
                <w:color w:val="auto"/>
              </w:rPr>
            </w:pPr>
            <w:r>
              <w:rPr>
                <w:rFonts w:ascii="Arial" w:cs="Arial" w:eastAsia="Arial" w:hAnsi="Arial"/>
                <w:sz w:val="16"/>
                <w:szCs w:val="16"/>
                <w:color w:val="auto"/>
              </w:rPr>
              <w:t>979,176</w:t>
            </w:r>
          </w:p>
        </w:tc>
        <w:tc>
          <w:tcPr>
            <w:tcW w:w="1520" w:type="dxa"/>
            <w:vAlign w:val="bottom"/>
            <w:tcBorders>
              <w:bottom w:val="single" w:sz="8" w:color="9DBDE4"/>
            </w:tcBorders>
            <w:shd w:val="clear" w:color="auto" w:fill="9DBDE4"/>
          </w:tcPr>
          <w:p>
            <w:pPr>
              <w:jc w:val="right"/>
              <w:ind w:right="105"/>
              <w:spacing w:after="0"/>
              <w:rPr>
                <w:sz w:val="20"/>
                <w:szCs w:val="20"/>
                <w:color w:val="auto"/>
              </w:rPr>
            </w:pPr>
            <w:r>
              <w:rPr>
                <w:rFonts w:ascii="Arial" w:cs="Arial" w:eastAsia="Arial" w:hAnsi="Arial"/>
                <w:sz w:val="16"/>
                <w:szCs w:val="16"/>
                <w:color w:val="auto"/>
              </w:rPr>
              <w:t>419,848</w:t>
            </w:r>
          </w:p>
        </w:tc>
        <w:tc>
          <w:tcPr>
            <w:tcW w:w="1140" w:type="dxa"/>
            <w:vAlign w:val="bottom"/>
            <w:tcBorders>
              <w:bottom w:val="single" w:sz="8" w:color="9DBDE4"/>
            </w:tcBorders>
            <w:shd w:val="clear" w:color="auto" w:fill="9DBDE4"/>
          </w:tcPr>
          <w:p>
            <w:pPr>
              <w:jc w:val="right"/>
              <w:ind w:right="83"/>
              <w:spacing w:after="0"/>
              <w:rPr>
                <w:sz w:val="20"/>
                <w:szCs w:val="20"/>
                <w:color w:val="auto"/>
              </w:rPr>
            </w:pPr>
            <w:r>
              <w:rPr>
                <w:rFonts w:ascii="Arial" w:cs="Arial" w:eastAsia="Arial" w:hAnsi="Arial"/>
                <w:sz w:val="16"/>
                <w:szCs w:val="16"/>
                <w:color w:val="auto"/>
              </w:rPr>
              <w:t>1,394,397</w:t>
            </w:r>
          </w:p>
        </w:tc>
        <w:tc>
          <w:tcPr>
            <w:tcW w:w="820" w:type="dxa"/>
            <w:vAlign w:val="bottom"/>
            <w:tcBorders>
              <w:bottom w:val="single" w:sz="8" w:color="9DBDE4"/>
            </w:tcBorders>
            <w:shd w:val="clear" w:color="auto" w:fill="9DBDE4"/>
          </w:tcPr>
          <w:p>
            <w:pPr>
              <w:jc w:val="right"/>
              <w:ind w:right="63"/>
              <w:spacing w:after="0"/>
              <w:rPr>
                <w:sz w:val="20"/>
                <w:szCs w:val="20"/>
                <w:color w:val="auto"/>
              </w:rPr>
            </w:pPr>
            <w:r>
              <w:rPr>
                <w:rFonts w:ascii="Arial" w:cs="Arial" w:eastAsia="Arial" w:hAnsi="Arial"/>
                <w:sz w:val="16"/>
                <w:szCs w:val="16"/>
                <w:color w:val="auto"/>
              </w:rPr>
              <w:t>1.3%</w:t>
            </w:r>
          </w:p>
        </w:tc>
      </w:tr>
      <w:tr>
        <w:trPr>
          <w:trHeight w:val="20"/>
        </w:trPr>
        <w:tc>
          <w:tcPr>
            <w:tcW w:w="4020" w:type="dxa"/>
            <w:vAlign w:val="bottom"/>
            <w:shd w:val="clear" w:color="auto" w:fill="284993"/>
          </w:tcPr>
          <w:p>
            <w:pPr>
              <w:spacing w:after="0" w:line="20" w:lineRule="exact"/>
              <w:rPr>
                <w:sz w:val="1"/>
                <w:szCs w:val="1"/>
                <w:color w:val="auto"/>
              </w:rPr>
            </w:pPr>
          </w:p>
        </w:tc>
        <w:tc>
          <w:tcPr>
            <w:tcW w:w="1820" w:type="dxa"/>
            <w:vAlign w:val="bottom"/>
            <w:shd w:val="clear" w:color="auto" w:fill="284993"/>
          </w:tcPr>
          <w:p>
            <w:pPr>
              <w:spacing w:after="0" w:line="20" w:lineRule="exact"/>
              <w:rPr>
                <w:sz w:val="1"/>
                <w:szCs w:val="1"/>
                <w:color w:val="auto"/>
              </w:rPr>
            </w:pPr>
          </w:p>
        </w:tc>
        <w:tc>
          <w:tcPr>
            <w:tcW w:w="1520" w:type="dxa"/>
            <w:vAlign w:val="bottom"/>
            <w:shd w:val="clear" w:color="auto" w:fill="284993"/>
          </w:tcPr>
          <w:p>
            <w:pPr>
              <w:spacing w:after="0" w:line="20" w:lineRule="exact"/>
              <w:rPr>
                <w:sz w:val="1"/>
                <w:szCs w:val="1"/>
                <w:color w:val="auto"/>
              </w:rPr>
            </w:pPr>
          </w:p>
        </w:tc>
        <w:tc>
          <w:tcPr>
            <w:tcW w:w="1140" w:type="dxa"/>
            <w:vAlign w:val="bottom"/>
            <w:shd w:val="clear" w:color="auto" w:fill="284993"/>
          </w:tcPr>
          <w:p>
            <w:pPr>
              <w:spacing w:after="0" w:line="20" w:lineRule="exact"/>
              <w:rPr>
                <w:sz w:val="1"/>
                <w:szCs w:val="1"/>
                <w:color w:val="auto"/>
              </w:rPr>
            </w:pPr>
          </w:p>
        </w:tc>
        <w:tc>
          <w:tcPr>
            <w:tcW w:w="820" w:type="dxa"/>
            <w:vAlign w:val="bottom"/>
            <w:shd w:val="clear" w:color="auto" w:fill="28499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90170</wp:posOffset>
            </wp:positionV>
            <wp:extent cx="699135" cy="1314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44</w:t>
      </w:r>
    </w:p>
    <w:p>
      <w:pPr>
        <w:sectPr>
          <w:pgSz w:w="11900" w:h="16838" w:orient="portrait"/>
          <w:cols w:equalWidth="0" w:num="1">
            <w:col w:w="9320"/>
          </w:cols>
          <w:pgMar w:left="1280" w:top="253" w:right="1299" w:bottom="1440" w:gutter="0" w:footer="0" w:header="0"/>
        </w:sectPr>
      </w:pPr>
    </w:p>
    <w:bookmarkStart w:id="50" w:name="page51"/>
    <w:bookmarkEnd w:id="50"/>
    <w:p>
      <w:pPr>
        <w:ind w:left="280" w:hanging="278"/>
        <w:spacing w:after="0"/>
        <w:tabs>
          <w:tab w:leader="none" w:pos="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Less than 1% of the outstanding shares of our common stock.</w:t>
      </w:r>
    </w:p>
    <w:p>
      <w:pPr>
        <w:spacing w:after="0" w:line="4" w:lineRule="exact"/>
        <w:rPr>
          <w:sz w:val="20"/>
          <w:szCs w:val="20"/>
          <w:color w:val="auto"/>
        </w:rPr>
      </w:pPr>
    </w:p>
    <w:p>
      <w:pPr>
        <w:ind w:left="280" w:right="320" w:hanging="278"/>
        <w:spacing w:after="0" w:line="180" w:lineRule="auto"/>
        <w:tabs>
          <w:tab w:leader="none" w:pos="280" w:val="left"/>
        </w:tabs>
        <w:numPr>
          <w:ilvl w:val="0"/>
          <w:numId w:val="26"/>
        </w:numPr>
        <w:rPr>
          <w:rFonts w:ascii="Arial" w:cs="Arial" w:eastAsia="Arial" w:hAnsi="Arial"/>
          <w:sz w:val="18"/>
          <w:szCs w:val="18"/>
          <w:color w:val="auto"/>
          <w:vertAlign w:val="superscript"/>
        </w:rPr>
      </w:pPr>
      <w:r>
        <w:rPr>
          <w:rFonts w:ascii="Arial" w:cs="Arial" w:eastAsia="Arial" w:hAnsi="Arial"/>
          <w:sz w:val="12"/>
          <w:szCs w:val="12"/>
          <w:color w:val="auto"/>
        </w:rPr>
        <w:t>The address for all of our directors, director nominees and executive officers is the address of ACI’s office located at 2811 Ponce de Leon Blvd, PH 1, Coral Gables, Florida 33134.</w:t>
      </w:r>
    </w:p>
    <w:p>
      <w:pPr>
        <w:ind w:left="280" w:right="40" w:hanging="278"/>
        <w:spacing w:after="0" w:line="180" w:lineRule="auto"/>
        <w:tabs>
          <w:tab w:leader="none" w:pos="280" w:val="left"/>
        </w:tabs>
        <w:numPr>
          <w:ilvl w:val="0"/>
          <w:numId w:val="26"/>
        </w:numPr>
        <w:rPr>
          <w:rFonts w:ascii="Arial" w:cs="Arial" w:eastAsia="Arial" w:hAnsi="Arial"/>
          <w:sz w:val="18"/>
          <w:szCs w:val="18"/>
          <w:color w:val="auto"/>
          <w:vertAlign w:val="superscript"/>
        </w:rPr>
      </w:pPr>
      <w:r>
        <w:rPr>
          <w:rFonts w:ascii="Arial" w:cs="Arial" w:eastAsia="Arial" w:hAnsi="Arial"/>
          <w:sz w:val="12"/>
          <w:szCs w:val="12"/>
          <w:color w:val="auto"/>
        </w:rPr>
        <w:t>Includes shares issuable upon exercise of vested stock options as of 60 days following March 31, 2023 and shares underlying other equity awards that will vest within 60 days of March 31, 2023 (May 30, 2023).</w:t>
      </w:r>
    </w:p>
    <w:p>
      <w:pPr>
        <w:ind w:left="280" w:right="120" w:hanging="278"/>
        <w:spacing w:after="0" w:line="193" w:lineRule="auto"/>
        <w:tabs>
          <w:tab w:leader="none" w:pos="280" w:val="left"/>
        </w:tabs>
        <w:numPr>
          <w:ilvl w:val="0"/>
          <w:numId w:val="26"/>
        </w:numPr>
        <w:rPr>
          <w:rFonts w:ascii="Arial" w:cs="Arial" w:eastAsia="Arial" w:hAnsi="Arial"/>
          <w:sz w:val="18"/>
          <w:szCs w:val="18"/>
          <w:color w:val="auto"/>
          <w:vertAlign w:val="superscript"/>
        </w:rPr>
      </w:pPr>
      <w:r>
        <w:rPr>
          <w:rFonts w:ascii="Arial" w:cs="Arial" w:eastAsia="Arial" w:hAnsi="Arial"/>
          <w:sz w:val="12"/>
          <w:szCs w:val="12"/>
          <w:color w:val="auto"/>
        </w:rPr>
        <w:t>Represents shares beneficially owned by BlackRock, Inc., or BlackRock, based on a Schedule 13G/A filed with the SEC on January 26, 2023, which contained information as of December 31, 2022. According to the Schedule 13G/A, BlackRock has sole voting power over 15,337,105 shares and has sole dispositive power over 15,839,352 shares.</w:t>
      </w:r>
    </w:p>
    <w:p>
      <w:pPr>
        <w:ind w:left="280" w:right="260" w:hanging="278"/>
        <w:spacing w:after="0" w:line="193" w:lineRule="auto"/>
        <w:tabs>
          <w:tab w:leader="none" w:pos="280" w:val="left"/>
        </w:tabs>
        <w:numPr>
          <w:ilvl w:val="0"/>
          <w:numId w:val="26"/>
        </w:numPr>
        <w:rPr>
          <w:rFonts w:ascii="Arial" w:cs="Arial" w:eastAsia="Arial" w:hAnsi="Arial"/>
          <w:sz w:val="18"/>
          <w:szCs w:val="18"/>
          <w:color w:val="auto"/>
          <w:vertAlign w:val="superscript"/>
        </w:rPr>
      </w:pPr>
      <w:r>
        <w:rPr>
          <w:rFonts w:ascii="Arial" w:cs="Arial" w:eastAsia="Arial" w:hAnsi="Arial"/>
          <w:sz w:val="12"/>
          <w:szCs w:val="12"/>
          <w:color w:val="auto"/>
        </w:rPr>
        <w:t>Represents shares beneficially owned by The Vanguard Group, Inc., or Vanguard, based on a Schedule 13G/A filed with the SEC on April 10, 2023, which contained information as of March 31, 2023. According to the Schedule 13G/A, Vanguard has shared voting power with respect to 190,551 shares, sole dispositive power with respect to 11,160,466 shares and shared dispositive power with respect to 305,411 shares.</w:t>
      </w:r>
    </w:p>
    <w:p>
      <w:pPr>
        <w:ind w:left="280" w:hanging="278"/>
        <w:spacing w:after="0" w:line="207" w:lineRule="auto"/>
        <w:tabs>
          <w:tab w:leader="none" w:pos="280" w:val="left"/>
        </w:tabs>
        <w:numPr>
          <w:ilvl w:val="0"/>
          <w:numId w:val="26"/>
        </w:numPr>
        <w:rPr>
          <w:rFonts w:ascii="Arial" w:cs="Arial" w:eastAsia="Arial" w:hAnsi="Arial"/>
          <w:sz w:val="18"/>
          <w:szCs w:val="18"/>
          <w:color w:val="auto"/>
          <w:vertAlign w:val="superscript"/>
        </w:rPr>
      </w:pPr>
      <w:r>
        <w:rPr>
          <w:rFonts w:ascii="Arial" w:cs="Arial" w:eastAsia="Arial" w:hAnsi="Arial"/>
          <w:sz w:val="12"/>
          <w:szCs w:val="12"/>
          <w:color w:val="auto"/>
        </w:rPr>
        <w:t>Represents shares beneficially owned by Franklin Mutual Advisers, LLC, or FMA, based on a Schedule 13G/A filed with the SEC on January 30, 2023, which contained information as of December 31, 2022. According to the Schedule 13G/A, FMA is an indirect wholly owned subsidiary of Franklin Resources, Inc. (“FRI”). When an investment management contract (including a sub-advisory agreement) delegates to FMA investment discretion or voting power over the securities held in the investment advisory accounts that are subject to that agreement, FRI treats FMA as having sole investment discretion or voting authority, as the case may be, unless the agreement specifies otherwise. Accordingly, FMA reports that it has sole investment discretion and voting authority over the securities covered by any such investment management agreement. As a result, FMA may be deemed to be the beneficial owner of the securities reported hereby.</w:t>
      </w:r>
    </w:p>
    <w:p>
      <w:pPr>
        <w:spacing w:after="0" w:line="3" w:lineRule="exact"/>
        <w:rPr>
          <w:rFonts w:ascii="Arial" w:cs="Arial" w:eastAsia="Arial" w:hAnsi="Arial"/>
          <w:sz w:val="18"/>
          <w:szCs w:val="18"/>
          <w:color w:val="auto"/>
          <w:vertAlign w:val="superscript"/>
        </w:rPr>
      </w:pPr>
    </w:p>
    <w:p>
      <w:pPr>
        <w:ind w:left="280" w:right="100" w:hanging="278"/>
        <w:spacing w:after="0" w:line="204" w:lineRule="auto"/>
        <w:tabs>
          <w:tab w:leader="none" w:pos="280" w:val="left"/>
        </w:tabs>
        <w:numPr>
          <w:ilvl w:val="0"/>
          <w:numId w:val="26"/>
        </w:numPr>
        <w:rPr>
          <w:rFonts w:ascii="Arial" w:cs="Arial" w:eastAsia="Arial" w:hAnsi="Arial"/>
          <w:sz w:val="18"/>
          <w:szCs w:val="18"/>
          <w:color w:val="auto"/>
          <w:vertAlign w:val="superscript"/>
        </w:rPr>
      </w:pPr>
      <w:r>
        <w:rPr>
          <w:rFonts w:ascii="Arial" w:cs="Arial" w:eastAsia="Arial" w:hAnsi="Arial"/>
          <w:sz w:val="12"/>
          <w:szCs w:val="12"/>
          <w:color w:val="auto"/>
        </w:rPr>
        <w:t>Represents shares beneficially owned by AllianceBernstein L.P. based on a Schedule 13G filed with the SEC on February 13, 2023, which contained information as of December 31, 2022. According to the Schedule 13G, AllianceBernstein L.P. has sole voting power over 5,575,632 shares, sole dispositive power with respect to 6,278,550 shares and shared dispositive power with respect to 119,762 shares. According to the Schedule 13G, AllianceBernstein L.P. is a majority owned subsidiary of Equitable Holdings, Inc. (“EQH”). AllianceBernstein L.P. operates under independent management and makes independent decisions from EQH and its respective subsidiaries, and EQH calculates and reports beneficial ownership separately from AllianceBernstein L.P.</w:t>
      </w:r>
    </w:p>
    <w:p>
      <w:pPr>
        <w:spacing w:after="0" w:line="2" w:lineRule="exact"/>
        <w:rPr>
          <w:rFonts w:ascii="Arial" w:cs="Arial" w:eastAsia="Arial" w:hAnsi="Arial"/>
          <w:sz w:val="18"/>
          <w:szCs w:val="18"/>
          <w:color w:val="auto"/>
          <w:vertAlign w:val="superscript"/>
        </w:rPr>
      </w:pPr>
    </w:p>
    <w:p>
      <w:pPr>
        <w:ind w:left="280" w:right="80" w:hanging="278"/>
        <w:spacing w:after="0" w:line="180" w:lineRule="auto"/>
        <w:tabs>
          <w:tab w:leader="none" w:pos="280" w:val="left"/>
        </w:tabs>
        <w:numPr>
          <w:ilvl w:val="0"/>
          <w:numId w:val="26"/>
        </w:numPr>
        <w:rPr>
          <w:rFonts w:ascii="Arial" w:cs="Arial" w:eastAsia="Arial" w:hAnsi="Arial"/>
          <w:sz w:val="18"/>
          <w:szCs w:val="18"/>
          <w:color w:val="auto"/>
          <w:vertAlign w:val="superscript"/>
        </w:rPr>
      </w:pPr>
      <w:r>
        <w:rPr>
          <w:rFonts w:ascii="Arial" w:cs="Arial" w:eastAsia="Arial" w:hAnsi="Arial"/>
          <w:sz w:val="12"/>
          <w:szCs w:val="12"/>
          <w:color w:val="auto"/>
        </w:rPr>
        <w:t>Odilon Almeida’s employment terminated as President &amp; CEO of ACI Worldwide, Inc. effective on November 7, 2022. Represents shares directly owned as of March 13, 2023 as confirmed Mr. Almeida.</w:t>
      </w:r>
    </w:p>
    <w:p>
      <w:pPr>
        <w:ind w:left="280" w:right="160" w:hanging="278"/>
        <w:spacing w:after="0" w:line="180" w:lineRule="auto"/>
        <w:tabs>
          <w:tab w:leader="none" w:pos="280" w:val="left"/>
        </w:tabs>
        <w:numPr>
          <w:ilvl w:val="0"/>
          <w:numId w:val="26"/>
        </w:numPr>
        <w:rPr>
          <w:rFonts w:ascii="Arial" w:cs="Arial" w:eastAsia="Arial" w:hAnsi="Arial"/>
          <w:sz w:val="18"/>
          <w:szCs w:val="18"/>
          <w:color w:val="auto"/>
          <w:vertAlign w:val="superscript"/>
        </w:rPr>
      </w:pPr>
      <w:r>
        <w:rPr>
          <w:rFonts w:ascii="Arial" w:cs="Arial" w:eastAsia="Arial" w:hAnsi="Arial"/>
          <w:sz w:val="12"/>
          <w:szCs w:val="12"/>
          <w:color w:val="auto"/>
        </w:rPr>
        <w:t>Thomas W. Warsop was a director and the non-executive Chair of the Company’s Board of Directors which ceased with his appointment to interim President &amp; CEO of the Company on November 7, 2022. This amount reflects stock awards that he earned as a director and Chair of the Board through such date.</w:t>
      </w:r>
    </w:p>
    <w:p>
      <w:pPr>
        <w:ind w:left="280" w:hanging="278"/>
        <w:spacing w:after="0" w:line="180" w:lineRule="auto"/>
        <w:tabs>
          <w:tab w:leader="none" w:pos="280" w:val="left"/>
        </w:tabs>
        <w:numPr>
          <w:ilvl w:val="0"/>
          <w:numId w:val="26"/>
        </w:numPr>
        <w:rPr>
          <w:rFonts w:ascii="Arial" w:cs="Arial" w:eastAsia="Arial" w:hAnsi="Arial"/>
          <w:sz w:val="17"/>
          <w:szCs w:val="17"/>
          <w:color w:val="auto"/>
          <w:vertAlign w:val="superscript"/>
        </w:rPr>
      </w:pPr>
      <w:r>
        <w:rPr>
          <w:rFonts w:ascii="Arial" w:cs="Arial" w:eastAsia="Arial" w:hAnsi="Arial"/>
          <w:sz w:val="12"/>
          <w:szCs w:val="12"/>
          <w:color w:val="auto"/>
        </w:rPr>
        <w:t>Represents shares held by trusts for which Mr. Sanchez is the sole settlor, trustee and annuitant.</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45</w:t>
      </w:r>
    </w:p>
    <w:p>
      <w:pPr>
        <w:sectPr>
          <w:pgSz w:w="11900" w:h="16838" w:orient="portrait"/>
          <w:cols w:equalWidth="0" w:num="1">
            <w:col w:w="9320"/>
          </w:cols>
          <w:pgMar w:left="1280" w:top="290" w:right="1299" w:bottom="1440" w:gutter="0" w:footer="0" w:header="0"/>
        </w:sectPr>
      </w:pPr>
    </w:p>
    <w:bookmarkStart w:id="51" w:name="page52"/>
    <w:bookmarkEnd w:id="51"/>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59207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The following table sets forth, as of December 31, 2022, certain information related to our compensation plans under which shares of our common stock are authorized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130175</wp:posOffset>
            </wp:positionV>
            <wp:extent cx="8255" cy="16776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167767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130175</wp:posOffset>
            </wp:positionV>
            <wp:extent cx="8255" cy="16776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167767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130175</wp:posOffset>
            </wp:positionV>
            <wp:extent cx="8255" cy="16776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167767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shd w:val="clear" w:color="auto" w:fill="284993"/>
          </w:tcPr>
          <w:p>
            <w:pPr>
              <w:spacing w:after="0"/>
              <w:rPr>
                <w:sz w:val="16"/>
                <w:szCs w:val="16"/>
                <w:color w:val="auto"/>
              </w:rPr>
            </w:pPr>
          </w:p>
        </w:tc>
        <w:tc>
          <w:tcPr>
            <w:tcW w:w="2400" w:type="dxa"/>
            <w:vAlign w:val="bottom"/>
            <w:shd w:val="clear" w:color="auto" w:fill="284993"/>
          </w:tcPr>
          <w:p>
            <w:pPr>
              <w:spacing w:after="0"/>
              <w:rPr>
                <w:sz w:val="16"/>
                <w:szCs w:val="16"/>
                <w:color w:val="auto"/>
              </w:rPr>
            </w:pPr>
          </w:p>
        </w:tc>
        <w:tc>
          <w:tcPr>
            <w:tcW w:w="19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5"/>
              </w:rPr>
              <w:t>Weighted-</w:t>
            </w:r>
          </w:p>
        </w:tc>
        <w:tc>
          <w:tcPr>
            <w:tcW w:w="246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6"/>
              </w:rPr>
              <w:t>Number of Securities</w:t>
            </w:r>
          </w:p>
        </w:tc>
      </w:tr>
      <w:tr>
        <w:trPr>
          <w:trHeight w:val="181"/>
        </w:trPr>
        <w:tc>
          <w:tcPr>
            <w:tcW w:w="2520" w:type="dxa"/>
            <w:vAlign w:val="bottom"/>
            <w:shd w:val="clear" w:color="auto" w:fill="284993"/>
          </w:tcPr>
          <w:p>
            <w:pPr>
              <w:spacing w:after="0"/>
              <w:rPr>
                <w:sz w:val="15"/>
                <w:szCs w:val="15"/>
                <w:color w:val="auto"/>
              </w:rPr>
            </w:pPr>
          </w:p>
        </w:tc>
        <w:tc>
          <w:tcPr>
            <w:tcW w:w="2400" w:type="dxa"/>
            <w:vAlign w:val="bottom"/>
            <w:shd w:val="clear" w:color="auto" w:fill="284993"/>
          </w:tcPr>
          <w:p>
            <w:pPr>
              <w:spacing w:after="0"/>
              <w:rPr>
                <w:sz w:val="15"/>
                <w:szCs w:val="15"/>
                <w:color w:val="auto"/>
              </w:rPr>
            </w:pPr>
          </w:p>
        </w:tc>
        <w:tc>
          <w:tcPr>
            <w:tcW w:w="19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8"/>
              </w:rPr>
              <w:t>Average</w:t>
            </w:r>
          </w:p>
        </w:tc>
        <w:tc>
          <w:tcPr>
            <w:tcW w:w="246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Remaining Available</w:t>
            </w:r>
          </w:p>
        </w:tc>
      </w:tr>
      <w:tr>
        <w:trPr>
          <w:trHeight w:val="181"/>
        </w:trPr>
        <w:tc>
          <w:tcPr>
            <w:tcW w:w="2520" w:type="dxa"/>
            <w:vAlign w:val="bottom"/>
            <w:shd w:val="clear" w:color="auto" w:fill="284993"/>
          </w:tcPr>
          <w:p>
            <w:pPr>
              <w:spacing w:after="0"/>
              <w:rPr>
                <w:sz w:val="15"/>
                <w:szCs w:val="15"/>
                <w:color w:val="auto"/>
              </w:rPr>
            </w:pPr>
          </w:p>
        </w:tc>
        <w:tc>
          <w:tcPr>
            <w:tcW w:w="2400" w:type="dxa"/>
            <w:vAlign w:val="bottom"/>
            <w:shd w:val="clear" w:color="auto" w:fill="284993"/>
          </w:tcPr>
          <w:p>
            <w:pPr>
              <w:spacing w:after="0"/>
              <w:rPr>
                <w:sz w:val="15"/>
                <w:szCs w:val="15"/>
                <w:color w:val="auto"/>
              </w:rPr>
            </w:pPr>
          </w:p>
        </w:tc>
        <w:tc>
          <w:tcPr>
            <w:tcW w:w="19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Exercise Price of</w:t>
            </w:r>
          </w:p>
        </w:tc>
        <w:tc>
          <w:tcPr>
            <w:tcW w:w="246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6"/>
              </w:rPr>
              <w:t>for Future Issuance</w:t>
            </w:r>
          </w:p>
        </w:tc>
      </w:tr>
      <w:tr>
        <w:trPr>
          <w:trHeight w:val="181"/>
        </w:trPr>
        <w:tc>
          <w:tcPr>
            <w:tcW w:w="2520" w:type="dxa"/>
            <w:vAlign w:val="bottom"/>
            <w:shd w:val="clear" w:color="auto" w:fill="284993"/>
          </w:tcPr>
          <w:p>
            <w:pPr>
              <w:spacing w:after="0"/>
              <w:rPr>
                <w:sz w:val="15"/>
                <w:szCs w:val="15"/>
                <w:color w:val="auto"/>
              </w:rPr>
            </w:pPr>
          </w:p>
        </w:tc>
        <w:tc>
          <w:tcPr>
            <w:tcW w:w="2400" w:type="dxa"/>
            <w:vAlign w:val="bottom"/>
            <w:shd w:val="clear" w:color="auto" w:fill="284993"/>
          </w:tcPr>
          <w:p>
            <w:pPr>
              <w:jc w:val="center"/>
              <w:ind w:right="61"/>
              <w:spacing w:after="0" w:line="181" w:lineRule="exact"/>
              <w:rPr>
                <w:sz w:val="20"/>
                <w:szCs w:val="20"/>
                <w:color w:val="auto"/>
              </w:rPr>
            </w:pPr>
            <w:r>
              <w:rPr>
                <w:rFonts w:ascii="Arial" w:cs="Arial" w:eastAsia="Arial" w:hAnsi="Arial"/>
                <w:sz w:val="16"/>
                <w:szCs w:val="16"/>
                <w:b w:val="1"/>
                <w:bCs w:val="1"/>
                <w:color w:val="FFFFFF"/>
                <w:w w:val="96"/>
              </w:rPr>
              <w:t>Number of Securities to</w:t>
            </w:r>
          </w:p>
        </w:tc>
        <w:tc>
          <w:tcPr>
            <w:tcW w:w="19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5"/>
              </w:rPr>
              <w:t>Outstanding</w:t>
            </w:r>
          </w:p>
        </w:tc>
        <w:tc>
          <w:tcPr>
            <w:tcW w:w="246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6"/>
              </w:rPr>
              <w:t>Under Equity</w:t>
            </w:r>
          </w:p>
        </w:tc>
      </w:tr>
      <w:tr>
        <w:trPr>
          <w:trHeight w:val="181"/>
        </w:trPr>
        <w:tc>
          <w:tcPr>
            <w:tcW w:w="2520" w:type="dxa"/>
            <w:vAlign w:val="bottom"/>
            <w:shd w:val="clear" w:color="auto" w:fill="284993"/>
          </w:tcPr>
          <w:p>
            <w:pPr>
              <w:spacing w:after="0"/>
              <w:rPr>
                <w:sz w:val="15"/>
                <w:szCs w:val="15"/>
                <w:color w:val="auto"/>
              </w:rPr>
            </w:pPr>
          </w:p>
        </w:tc>
        <w:tc>
          <w:tcPr>
            <w:tcW w:w="2400" w:type="dxa"/>
            <w:vAlign w:val="bottom"/>
            <w:shd w:val="clear" w:color="auto" w:fill="284993"/>
          </w:tcPr>
          <w:p>
            <w:pPr>
              <w:jc w:val="center"/>
              <w:ind w:right="81"/>
              <w:spacing w:after="0" w:line="181" w:lineRule="exact"/>
              <w:rPr>
                <w:sz w:val="20"/>
                <w:szCs w:val="20"/>
                <w:color w:val="auto"/>
              </w:rPr>
            </w:pPr>
            <w:r>
              <w:rPr>
                <w:rFonts w:ascii="Arial" w:cs="Arial" w:eastAsia="Arial" w:hAnsi="Arial"/>
                <w:sz w:val="16"/>
                <w:szCs w:val="16"/>
                <w:b w:val="1"/>
                <w:bCs w:val="1"/>
                <w:color w:val="FFFFFF"/>
                <w:w w:val="97"/>
              </w:rPr>
              <w:t>be Issued Upon Exercise</w:t>
            </w:r>
          </w:p>
        </w:tc>
        <w:tc>
          <w:tcPr>
            <w:tcW w:w="19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5"/>
              </w:rPr>
              <w:t>Options,</w:t>
            </w:r>
          </w:p>
        </w:tc>
        <w:tc>
          <w:tcPr>
            <w:tcW w:w="246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Compensation Plans</w:t>
            </w:r>
          </w:p>
        </w:tc>
      </w:tr>
      <w:tr>
        <w:trPr>
          <w:trHeight w:val="181"/>
        </w:trPr>
        <w:tc>
          <w:tcPr>
            <w:tcW w:w="2520" w:type="dxa"/>
            <w:vAlign w:val="bottom"/>
            <w:shd w:val="clear" w:color="auto" w:fill="284993"/>
          </w:tcPr>
          <w:p>
            <w:pPr>
              <w:spacing w:after="0"/>
              <w:rPr>
                <w:sz w:val="15"/>
                <w:szCs w:val="15"/>
                <w:color w:val="auto"/>
              </w:rPr>
            </w:pPr>
          </w:p>
        </w:tc>
        <w:tc>
          <w:tcPr>
            <w:tcW w:w="2400" w:type="dxa"/>
            <w:vAlign w:val="bottom"/>
            <w:shd w:val="clear" w:color="auto" w:fill="284993"/>
          </w:tcPr>
          <w:p>
            <w:pPr>
              <w:jc w:val="center"/>
              <w:ind w:right="61"/>
              <w:spacing w:after="0" w:line="181" w:lineRule="exact"/>
              <w:rPr>
                <w:sz w:val="20"/>
                <w:szCs w:val="20"/>
                <w:color w:val="auto"/>
              </w:rPr>
            </w:pPr>
            <w:r>
              <w:rPr>
                <w:rFonts w:ascii="Arial" w:cs="Arial" w:eastAsia="Arial" w:hAnsi="Arial"/>
                <w:sz w:val="16"/>
                <w:szCs w:val="16"/>
                <w:b w:val="1"/>
                <w:bCs w:val="1"/>
                <w:color w:val="FFFFFF"/>
                <w:w w:val="97"/>
              </w:rPr>
              <w:t>of Outstanding Options</w:t>
            </w:r>
          </w:p>
        </w:tc>
        <w:tc>
          <w:tcPr>
            <w:tcW w:w="19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5"/>
              </w:rPr>
              <w:t>Warrants and</w:t>
            </w:r>
          </w:p>
        </w:tc>
        <w:tc>
          <w:tcPr>
            <w:tcW w:w="246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(Excluding Securities</w:t>
            </w:r>
          </w:p>
        </w:tc>
      </w:tr>
      <w:tr>
        <w:trPr>
          <w:trHeight w:val="181"/>
        </w:trPr>
        <w:tc>
          <w:tcPr>
            <w:tcW w:w="2520" w:type="dxa"/>
            <w:vAlign w:val="bottom"/>
            <w:shd w:val="clear" w:color="auto" w:fill="284993"/>
          </w:tcPr>
          <w:p>
            <w:pPr>
              <w:spacing w:after="0"/>
              <w:rPr>
                <w:sz w:val="15"/>
                <w:szCs w:val="15"/>
                <w:color w:val="auto"/>
              </w:rPr>
            </w:pPr>
          </w:p>
        </w:tc>
        <w:tc>
          <w:tcPr>
            <w:tcW w:w="2400" w:type="dxa"/>
            <w:vAlign w:val="bottom"/>
            <w:shd w:val="clear" w:color="auto" w:fill="284993"/>
          </w:tcPr>
          <w:p>
            <w:pPr>
              <w:jc w:val="center"/>
              <w:ind w:right="61"/>
              <w:spacing w:after="0" w:line="181" w:lineRule="exact"/>
              <w:rPr>
                <w:sz w:val="20"/>
                <w:szCs w:val="20"/>
                <w:color w:val="auto"/>
              </w:rPr>
            </w:pPr>
            <w:r>
              <w:rPr>
                <w:rFonts w:ascii="Arial" w:cs="Arial" w:eastAsia="Arial" w:hAnsi="Arial"/>
                <w:sz w:val="16"/>
                <w:szCs w:val="16"/>
                <w:b w:val="1"/>
                <w:bCs w:val="1"/>
                <w:color w:val="FFFFFF"/>
                <w:w w:val="95"/>
              </w:rPr>
              <w:t>Warrants and Rights</w:t>
            </w:r>
          </w:p>
        </w:tc>
        <w:tc>
          <w:tcPr>
            <w:tcW w:w="19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6"/>
              </w:rPr>
              <w:t>Rights</w:t>
            </w:r>
          </w:p>
        </w:tc>
        <w:tc>
          <w:tcPr>
            <w:tcW w:w="246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Reflected in Column (a))</w:t>
            </w:r>
          </w:p>
        </w:tc>
      </w:tr>
      <w:tr>
        <w:trPr>
          <w:trHeight w:val="208"/>
        </w:trPr>
        <w:tc>
          <w:tcPr>
            <w:tcW w:w="2520" w:type="dxa"/>
            <w:vAlign w:val="bottom"/>
            <w:shd w:val="clear" w:color="auto" w:fill="284993"/>
          </w:tcPr>
          <w:p>
            <w:pPr>
              <w:ind w:left="140"/>
              <w:spacing w:after="0"/>
              <w:rPr>
                <w:sz w:val="20"/>
                <w:szCs w:val="20"/>
                <w:color w:val="auto"/>
              </w:rPr>
            </w:pPr>
            <w:r>
              <w:rPr>
                <w:rFonts w:ascii="Arial" w:cs="Arial" w:eastAsia="Arial" w:hAnsi="Arial"/>
                <w:sz w:val="16"/>
                <w:szCs w:val="16"/>
                <w:b w:val="1"/>
                <w:bCs w:val="1"/>
                <w:color w:val="FFFFFF"/>
              </w:rPr>
              <w:t>Plan Category</w:t>
            </w:r>
          </w:p>
        </w:tc>
        <w:tc>
          <w:tcPr>
            <w:tcW w:w="2400" w:type="dxa"/>
            <w:vAlign w:val="bottom"/>
            <w:shd w:val="clear" w:color="auto" w:fill="284993"/>
          </w:tcPr>
          <w:p>
            <w:pPr>
              <w:jc w:val="center"/>
              <w:ind w:right="61"/>
              <w:spacing w:after="0"/>
              <w:rPr>
                <w:sz w:val="20"/>
                <w:szCs w:val="20"/>
                <w:color w:val="auto"/>
              </w:rPr>
            </w:pPr>
            <w:r>
              <w:rPr>
                <w:rFonts w:ascii="Arial" w:cs="Arial" w:eastAsia="Arial" w:hAnsi="Arial"/>
                <w:sz w:val="16"/>
                <w:szCs w:val="16"/>
                <w:b w:val="1"/>
                <w:bCs w:val="1"/>
                <w:color w:val="FFFFFF"/>
                <w:w w:val="91"/>
              </w:rPr>
              <w:t>(a)</w:t>
            </w:r>
          </w:p>
        </w:tc>
        <w:tc>
          <w:tcPr>
            <w:tcW w:w="19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(b)</w:t>
            </w:r>
          </w:p>
        </w:tc>
        <w:tc>
          <w:tcPr>
            <w:tcW w:w="246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rPr>
              <w:t>(c)</w:t>
            </w:r>
          </w:p>
        </w:tc>
      </w:tr>
      <w:tr>
        <w:trPr>
          <w:trHeight w:val="177"/>
        </w:trPr>
        <w:tc>
          <w:tcPr>
            <w:tcW w:w="2520" w:type="dxa"/>
            <w:vAlign w:val="bottom"/>
          </w:tcPr>
          <w:p>
            <w:pPr>
              <w:ind w:left="100"/>
              <w:spacing w:after="0" w:line="177" w:lineRule="exact"/>
              <w:rPr>
                <w:sz w:val="20"/>
                <w:szCs w:val="20"/>
                <w:color w:val="auto"/>
              </w:rPr>
            </w:pPr>
            <w:r>
              <w:rPr>
                <w:rFonts w:ascii="Arial" w:cs="Arial" w:eastAsia="Arial" w:hAnsi="Arial"/>
                <w:sz w:val="17"/>
                <w:szCs w:val="17"/>
                <w:color w:val="auto"/>
              </w:rPr>
              <w:t>Equity compensation plans</w:t>
            </w:r>
          </w:p>
        </w:tc>
        <w:tc>
          <w:tcPr>
            <w:tcW w:w="2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211"/>
        </w:trPr>
        <w:tc>
          <w:tcPr>
            <w:tcW w:w="2520" w:type="dxa"/>
            <w:vAlign w:val="bottom"/>
          </w:tcPr>
          <w:p>
            <w:pPr>
              <w:ind w:left="100"/>
              <w:spacing w:after="0"/>
              <w:rPr>
                <w:sz w:val="20"/>
                <w:szCs w:val="20"/>
                <w:color w:val="auto"/>
              </w:rPr>
            </w:pPr>
            <w:r>
              <w:rPr>
                <w:rFonts w:ascii="Arial" w:cs="Arial" w:eastAsia="Arial" w:hAnsi="Arial"/>
                <w:sz w:val="17"/>
                <w:szCs w:val="17"/>
                <w:color w:val="auto"/>
              </w:rPr>
              <w:t>approved by security holders</w:t>
            </w:r>
          </w:p>
        </w:tc>
        <w:tc>
          <w:tcPr>
            <w:tcW w:w="2400" w:type="dxa"/>
            <w:vAlign w:val="bottom"/>
          </w:tcPr>
          <w:p>
            <w:pPr>
              <w:jc w:val="right"/>
              <w:ind w:right="261"/>
              <w:spacing w:after="0" w:line="211" w:lineRule="exact"/>
              <w:rPr>
                <w:sz w:val="20"/>
                <w:szCs w:val="20"/>
                <w:color w:val="auto"/>
              </w:rPr>
            </w:pPr>
            <w:r>
              <w:rPr>
                <w:rFonts w:ascii="Arial" w:cs="Arial" w:eastAsia="Arial" w:hAnsi="Arial"/>
                <w:sz w:val="17"/>
                <w:szCs w:val="17"/>
                <w:color w:val="auto"/>
              </w:rPr>
              <w:t>4,429,005</w:t>
            </w:r>
            <w:r>
              <w:rPr>
                <w:rFonts w:ascii="Arial" w:cs="Arial" w:eastAsia="Arial" w:hAnsi="Arial"/>
                <w:sz w:val="24"/>
                <w:szCs w:val="24"/>
                <w:color w:val="auto"/>
                <w:vertAlign w:val="superscript"/>
              </w:rPr>
              <w:t>(1)</w:t>
            </w:r>
          </w:p>
        </w:tc>
        <w:tc>
          <w:tcPr>
            <w:tcW w:w="1940" w:type="dxa"/>
            <w:vAlign w:val="bottom"/>
          </w:tcPr>
          <w:p>
            <w:pPr>
              <w:jc w:val="right"/>
              <w:ind w:right="261"/>
              <w:spacing w:after="0" w:line="211" w:lineRule="exact"/>
              <w:rPr>
                <w:sz w:val="20"/>
                <w:szCs w:val="20"/>
                <w:color w:val="auto"/>
              </w:rPr>
            </w:pPr>
            <w:r>
              <w:rPr>
                <w:rFonts w:ascii="Arial" w:cs="Arial" w:eastAsia="Arial" w:hAnsi="Arial"/>
                <w:sz w:val="17"/>
                <w:szCs w:val="17"/>
                <w:color w:val="auto"/>
              </w:rPr>
              <w:t>$19.00</w:t>
            </w:r>
            <w:r>
              <w:rPr>
                <w:rFonts w:ascii="Arial" w:cs="Arial" w:eastAsia="Arial" w:hAnsi="Arial"/>
                <w:sz w:val="24"/>
                <w:szCs w:val="24"/>
                <w:color w:val="auto"/>
                <w:vertAlign w:val="superscript"/>
              </w:rPr>
              <w:t>(2)</w:t>
            </w:r>
          </w:p>
        </w:tc>
        <w:tc>
          <w:tcPr>
            <w:tcW w:w="2460" w:type="dxa"/>
            <w:vAlign w:val="bottom"/>
          </w:tcPr>
          <w:p>
            <w:pPr>
              <w:jc w:val="right"/>
              <w:ind w:right="241"/>
              <w:spacing w:after="0" w:line="211" w:lineRule="exact"/>
              <w:rPr>
                <w:sz w:val="20"/>
                <w:szCs w:val="20"/>
                <w:color w:val="auto"/>
              </w:rPr>
            </w:pPr>
            <w:r>
              <w:rPr>
                <w:rFonts w:ascii="Arial" w:cs="Arial" w:eastAsia="Arial" w:hAnsi="Arial"/>
                <w:sz w:val="17"/>
                <w:szCs w:val="17"/>
                <w:color w:val="auto"/>
              </w:rPr>
              <w:t>7,061,664</w:t>
            </w:r>
            <w:r>
              <w:rPr>
                <w:rFonts w:ascii="Arial" w:cs="Arial" w:eastAsia="Arial" w:hAnsi="Arial"/>
                <w:sz w:val="24"/>
                <w:szCs w:val="24"/>
                <w:color w:val="auto"/>
                <w:vertAlign w:val="superscript"/>
              </w:rPr>
              <w:t>(3)</w:t>
            </w:r>
          </w:p>
        </w:tc>
      </w:tr>
      <w:tr>
        <w:trPr>
          <w:trHeight w:val="177"/>
        </w:trPr>
        <w:tc>
          <w:tcPr>
            <w:tcW w:w="2520" w:type="dxa"/>
            <w:vAlign w:val="bottom"/>
            <w:shd w:val="clear" w:color="auto" w:fill="9DBDE4"/>
          </w:tcPr>
          <w:p>
            <w:pPr>
              <w:ind w:left="100"/>
              <w:spacing w:after="0" w:line="177" w:lineRule="exact"/>
              <w:rPr>
                <w:sz w:val="20"/>
                <w:szCs w:val="20"/>
                <w:color w:val="auto"/>
              </w:rPr>
            </w:pPr>
            <w:r>
              <w:rPr>
                <w:rFonts w:ascii="Arial" w:cs="Arial" w:eastAsia="Arial" w:hAnsi="Arial"/>
                <w:sz w:val="17"/>
                <w:szCs w:val="17"/>
                <w:color w:val="auto"/>
              </w:rPr>
              <w:t>Equity compensation plans</w:t>
            </w:r>
          </w:p>
        </w:tc>
        <w:tc>
          <w:tcPr>
            <w:tcW w:w="2400" w:type="dxa"/>
            <w:vAlign w:val="bottom"/>
            <w:shd w:val="clear" w:color="auto" w:fill="9DBDE4"/>
          </w:tcPr>
          <w:p>
            <w:pPr>
              <w:spacing w:after="0"/>
              <w:rPr>
                <w:sz w:val="15"/>
                <w:szCs w:val="15"/>
                <w:color w:val="auto"/>
              </w:rPr>
            </w:pPr>
          </w:p>
        </w:tc>
        <w:tc>
          <w:tcPr>
            <w:tcW w:w="1940" w:type="dxa"/>
            <w:vAlign w:val="bottom"/>
            <w:shd w:val="clear" w:color="auto" w:fill="9DBDE4"/>
          </w:tcPr>
          <w:p>
            <w:pPr>
              <w:spacing w:after="0"/>
              <w:rPr>
                <w:sz w:val="15"/>
                <w:szCs w:val="15"/>
                <w:color w:val="auto"/>
              </w:rPr>
            </w:pPr>
          </w:p>
        </w:tc>
        <w:tc>
          <w:tcPr>
            <w:tcW w:w="2460" w:type="dxa"/>
            <w:vAlign w:val="bottom"/>
            <w:shd w:val="clear" w:color="auto" w:fill="9DBDE4"/>
          </w:tcPr>
          <w:p>
            <w:pPr>
              <w:spacing w:after="0"/>
              <w:rPr>
                <w:sz w:val="15"/>
                <w:szCs w:val="15"/>
                <w:color w:val="auto"/>
              </w:rPr>
            </w:pPr>
          </w:p>
        </w:tc>
      </w:tr>
      <w:tr>
        <w:trPr>
          <w:trHeight w:val="194"/>
        </w:trPr>
        <w:tc>
          <w:tcPr>
            <w:tcW w:w="2520" w:type="dxa"/>
            <w:vAlign w:val="bottom"/>
            <w:shd w:val="clear" w:color="auto" w:fill="9DBDE4"/>
          </w:tcPr>
          <w:p>
            <w:pPr>
              <w:ind w:left="100"/>
              <w:spacing w:after="0" w:line="194" w:lineRule="exact"/>
              <w:rPr>
                <w:sz w:val="20"/>
                <w:szCs w:val="20"/>
                <w:color w:val="auto"/>
              </w:rPr>
            </w:pPr>
            <w:r>
              <w:rPr>
                <w:rFonts w:ascii="Arial" w:cs="Arial" w:eastAsia="Arial" w:hAnsi="Arial"/>
                <w:sz w:val="17"/>
                <w:szCs w:val="17"/>
                <w:color w:val="auto"/>
              </w:rPr>
              <w:t>not approved by security</w:t>
            </w:r>
          </w:p>
        </w:tc>
        <w:tc>
          <w:tcPr>
            <w:tcW w:w="2400" w:type="dxa"/>
            <w:vAlign w:val="bottom"/>
            <w:shd w:val="clear" w:color="auto" w:fill="9DBDE4"/>
          </w:tcPr>
          <w:p>
            <w:pPr>
              <w:spacing w:after="0"/>
              <w:rPr>
                <w:sz w:val="16"/>
                <w:szCs w:val="16"/>
                <w:color w:val="auto"/>
              </w:rPr>
            </w:pPr>
          </w:p>
        </w:tc>
        <w:tc>
          <w:tcPr>
            <w:tcW w:w="1940" w:type="dxa"/>
            <w:vAlign w:val="bottom"/>
            <w:shd w:val="clear" w:color="auto" w:fill="9DBDE4"/>
          </w:tcPr>
          <w:p>
            <w:pPr>
              <w:spacing w:after="0"/>
              <w:rPr>
                <w:sz w:val="16"/>
                <w:szCs w:val="16"/>
                <w:color w:val="auto"/>
              </w:rPr>
            </w:pPr>
          </w:p>
        </w:tc>
        <w:tc>
          <w:tcPr>
            <w:tcW w:w="2460" w:type="dxa"/>
            <w:vAlign w:val="bottom"/>
            <w:shd w:val="clear" w:color="auto" w:fill="9DBDE4"/>
          </w:tcPr>
          <w:p>
            <w:pPr>
              <w:spacing w:after="0"/>
              <w:rPr>
                <w:sz w:val="16"/>
                <w:szCs w:val="16"/>
                <w:color w:val="auto"/>
              </w:rPr>
            </w:pPr>
          </w:p>
        </w:tc>
      </w:tr>
      <w:tr>
        <w:trPr>
          <w:trHeight w:val="211"/>
        </w:trPr>
        <w:tc>
          <w:tcPr>
            <w:tcW w:w="2520" w:type="dxa"/>
            <w:vAlign w:val="bottom"/>
            <w:shd w:val="clear" w:color="auto" w:fill="9DBDE4"/>
          </w:tcPr>
          <w:p>
            <w:pPr>
              <w:ind w:left="100"/>
              <w:spacing w:after="0"/>
              <w:rPr>
                <w:sz w:val="20"/>
                <w:szCs w:val="20"/>
                <w:color w:val="auto"/>
              </w:rPr>
            </w:pPr>
            <w:r>
              <w:rPr>
                <w:rFonts w:ascii="Arial" w:cs="Arial" w:eastAsia="Arial" w:hAnsi="Arial"/>
                <w:sz w:val="17"/>
                <w:szCs w:val="17"/>
                <w:color w:val="auto"/>
              </w:rPr>
              <w:t>holders</w:t>
            </w:r>
          </w:p>
        </w:tc>
        <w:tc>
          <w:tcPr>
            <w:tcW w:w="2400" w:type="dxa"/>
            <w:vAlign w:val="bottom"/>
            <w:shd w:val="clear" w:color="auto" w:fill="9DBDE4"/>
          </w:tcPr>
          <w:p>
            <w:pPr>
              <w:jc w:val="right"/>
              <w:ind w:right="361"/>
              <w:spacing w:after="0"/>
              <w:rPr>
                <w:sz w:val="20"/>
                <w:szCs w:val="20"/>
                <w:color w:val="auto"/>
              </w:rPr>
            </w:pPr>
            <w:r>
              <w:rPr>
                <w:rFonts w:ascii="Arial" w:cs="Arial" w:eastAsia="Arial" w:hAnsi="Arial"/>
                <w:sz w:val="17"/>
                <w:szCs w:val="17"/>
                <w:color w:val="auto"/>
              </w:rPr>
              <w:t>—</w:t>
            </w:r>
          </w:p>
        </w:tc>
        <w:tc>
          <w:tcPr>
            <w:tcW w:w="1940" w:type="dxa"/>
            <w:vAlign w:val="bottom"/>
            <w:shd w:val="clear" w:color="auto" w:fill="9DBDE4"/>
          </w:tcPr>
          <w:p>
            <w:pPr>
              <w:jc w:val="right"/>
              <w:ind w:right="361"/>
              <w:spacing w:after="0"/>
              <w:rPr>
                <w:sz w:val="20"/>
                <w:szCs w:val="20"/>
                <w:color w:val="auto"/>
              </w:rPr>
            </w:pPr>
            <w:r>
              <w:rPr>
                <w:rFonts w:ascii="Arial" w:cs="Arial" w:eastAsia="Arial" w:hAnsi="Arial"/>
                <w:sz w:val="17"/>
                <w:szCs w:val="17"/>
                <w:color w:val="auto"/>
              </w:rPr>
              <w:t>—</w:t>
            </w:r>
          </w:p>
        </w:tc>
        <w:tc>
          <w:tcPr>
            <w:tcW w:w="2460" w:type="dxa"/>
            <w:vAlign w:val="bottom"/>
            <w:shd w:val="clear" w:color="auto" w:fill="9DBDE4"/>
          </w:tcPr>
          <w:p>
            <w:pPr>
              <w:jc w:val="right"/>
              <w:ind w:right="341"/>
              <w:spacing w:after="0"/>
              <w:rPr>
                <w:sz w:val="20"/>
                <w:szCs w:val="20"/>
                <w:color w:val="auto"/>
              </w:rPr>
            </w:pPr>
            <w:r>
              <w:rPr>
                <w:rFonts w:ascii="Arial" w:cs="Arial" w:eastAsia="Arial" w:hAnsi="Arial"/>
                <w:sz w:val="17"/>
                <w:szCs w:val="17"/>
                <w:color w:val="auto"/>
              </w:rPr>
              <w:t>—</w:t>
            </w:r>
          </w:p>
        </w:tc>
      </w:tr>
      <w:tr>
        <w:trPr>
          <w:trHeight w:val="194"/>
        </w:trPr>
        <w:tc>
          <w:tcPr>
            <w:tcW w:w="2520" w:type="dxa"/>
            <w:vAlign w:val="bottom"/>
            <w:tcBorders>
              <w:bottom w:val="single" w:sz="8" w:color="284993"/>
            </w:tcBorders>
          </w:tcPr>
          <w:p>
            <w:pPr>
              <w:ind w:left="100"/>
              <w:spacing w:after="0" w:line="194" w:lineRule="exact"/>
              <w:rPr>
                <w:sz w:val="20"/>
                <w:szCs w:val="20"/>
                <w:color w:val="auto"/>
              </w:rPr>
            </w:pPr>
            <w:r>
              <w:rPr>
                <w:rFonts w:ascii="Arial" w:cs="Arial" w:eastAsia="Arial" w:hAnsi="Arial"/>
                <w:sz w:val="17"/>
                <w:szCs w:val="17"/>
                <w:b w:val="1"/>
                <w:bCs w:val="1"/>
                <w:color w:val="auto"/>
              </w:rPr>
              <w:t>Total</w:t>
            </w:r>
          </w:p>
        </w:tc>
        <w:tc>
          <w:tcPr>
            <w:tcW w:w="2400" w:type="dxa"/>
            <w:vAlign w:val="bottom"/>
            <w:tcBorders>
              <w:bottom w:val="single" w:sz="8" w:color="284993"/>
            </w:tcBorders>
          </w:tcPr>
          <w:p>
            <w:pPr>
              <w:jc w:val="right"/>
              <w:ind w:right="261"/>
              <w:spacing w:after="0" w:line="194" w:lineRule="exact"/>
              <w:rPr>
                <w:sz w:val="20"/>
                <w:szCs w:val="20"/>
                <w:color w:val="auto"/>
              </w:rPr>
            </w:pPr>
            <w:r>
              <w:rPr>
                <w:rFonts w:ascii="Arial" w:cs="Arial" w:eastAsia="Arial" w:hAnsi="Arial"/>
                <w:sz w:val="15"/>
                <w:szCs w:val="15"/>
                <w:color w:val="auto"/>
              </w:rPr>
              <w:t>4,429,005</w:t>
            </w:r>
            <w:r>
              <w:rPr>
                <w:rFonts w:ascii="Arial" w:cs="Arial" w:eastAsia="Arial" w:hAnsi="Arial"/>
                <w:sz w:val="22"/>
                <w:szCs w:val="22"/>
                <w:color w:val="auto"/>
                <w:vertAlign w:val="superscript"/>
              </w:rPr>
              <w:t>(1)</w:t>
            </w:r>
          </w:p>
        </w:tc>
        <w:tc>
          <w:tcPr>
            <w:tcW w:w="1940" w:type="dxa"/>
            <w:vAlign w:val="bottom"/>
            <w:tcBorders>
              <w:bottom w:val="single" w:sz="8" w:color="284993"/>
            </w:tcBorders>
          </w:tcPr>
          <w:p>
            <w:pPr>
              <w:jc w:val="right"/>
              <w:ind w:right="261"/>
              <w:spacing w:after="0" w:line="194" w:lineRule="exact"/>
              <w:rPr>
                <w:sz w:val="20"/>
                <w:szCs w:val="20"/>
                <w:color w:val="auto"/>
              </w:rPr>
            </w:pPr>
            <w:r>
              <w:rPr>
                <w:rFonts w:ascii="Arial" w:cs="Arial" w:eastAsia="Arial" w:hAnsi="Arial"/>
                <w:sz w:val="15"/>
                <w:szCs w:val="15"/>
                <w:color w:val="auto"/>
              </w:rPr>
              <w:t>$19.00</w:t>
            </w:r>
            <w:r>
              <w:rPr>
                <w:rFonts w:ascii="Arial" w:cs="Arial" w:eastAsia="Arial" w:hAnsi="Arial"/>
                <w:sz w:val="22"/>
                <w:szCs w:val="22"/>
                <w:color w:val="auto"/>
                <w:vertAlign w:val="superscript"/>
              </w:rPr>
              <w:t>(2)</w:t>
            </w:r>
          </w:p>
        </w:tc>
        <w:tc>
          <w:tcPr>
            <w:tcW w:w="2460" w:type="dxa"/>
            <w:vAlign w:val="bottom"/>
            <w:tcBorders>
              <w:bottom w:val="single" w:sz="8" w:color="284993"/>
            </w:tcBorders>
          </w:tcPr>
          <w:p>
            <w:pPr>
              <w:jc w:val="right"/>
              <w:ind w:right="241"/>
              <w:spacing w:after="0" w:line="194" w:lineRule="exact"/>
              <w:rPr>
                <w:sz w:val="20"/>
                <w:szCs w:val="20"/>
                <w:color w:val="auto"/>
              </w:rPr>
            </w:pPr>
            <w:r>
              <w:rPr>
                <w:rFonts w:ascii="Arial" w:cs="Arial" w:eastAsia="Arial" w:hAnsi="Arial"/>
                <w:sz w:val="15"/>
                <w:szCs w:val="15"/>
                <w:color w:val="auto"/>
              </w:rPr>
              <w:t>7,061,664</w:t>
            </w:r>
            <w:r>
              <w:rPr>
                <w:rFonts w:ascii="Arial" w:cs="Arial" w:eastAsia="Arial" w:hAnsi="Arial"/>
                <w:sz w:val="22"/>
                <w:szCs w:val="22"/>
                <w:color w:val="auto"/>
                <w:vertAlign w:val="superscript"/>
              </w:rPr>
              <w:t>(3)</w:t>
            </w:r>
          </w:p>
        </w:tc>
      </w:tr>
    </w:tbl>
    <w:p>
      <w:pPr>
        <w:spacing w:after="0" w:line="60" w:lineRule="exact"/>
        <w:rPr>
          <w:sz w:val="20"/>
          <w:szCs w:val="20"/>
          <w:color w:val="auto"/>
        </w:rPr>
      </w:pPr>
    </w:p>
    <w:p>
      <w:pPr>
        <w:ind w:left="280" w:right="20" w:hanging="278"/>
        <w:spacing w:after="0" w:line="199" w:lineRule="auto"/>
        <w:tabs>
          <w:tab w:leader="none" w:pos="280" w:val="left"/>
        </w:tabs>
        <w:numPr>
          <w:ilvl w:val="0"/>
          <w:numId w:val="27"/>
        </w:numPr>
        <w:rPr>
          <w:rFonts w:ascii="Arial" w:cs="Arial" w:eastAsia="Arial" w:hAnsi="Arial"/>
          <w:sz w:val="18"/>
          <w:szCs w:val="18"/>
          <w:color w:val="auto"/>
          <w:vertAlign w:val="superscript"/>
        </w:rPr>
      </w:pPr>
      <w:r>
        <w:rPr>
          <w:rFonts w:ascii="Arial" w:cs="Arial" w:eastAsia="Arial" w:hAnsi="Arial"/>
          <w:sz w:val="12"/>
          <w:szCs w:val="12"/>
          <w:color w:val="auto"/>
        </w:rPr>
        <w:t>This number reflects shares reserved for issuance in connection with outstanding options, restricted share units and performance share awards under our 2005, 2016 and 2020 Equity Plans outstanding as of December 31, 2022, assuming maximum performance achievement with respect to performance-based awards (as a result, this aggregate reported number may overstate actual dilution).</w:t>
      </w:r>
    </w:p>
    <w:p>
      <w:pPr>
        <w:ind w:left="280" w:right="360" w:hanging="278"/>
        <w:spacing w:after="0" w:line="180" w:lineRule="auto"/>
        <w:tabs>
          <w:tab w:leader="none" w:pos="280" w:val="left"/>
        </w:tabs>
        <w:numPr>
          <w:ilvl w:val="0"/>
          <w:numId w:val="27"/>
        </w:numPr>
        <w:rPr>
          <w:rFonts w:ascii="Arial" w:cs="Arial" w:eastAsia="Arial" w:hAnsi="Arial"/>
          <w:sz w:val="18"/>
          <w:szCs w:val="18"/>
          <w:color w:val="auto"/>
          <w:vertAlign w:val="superscript"/>
        </w:rPr>
      </w:pPr>
      <w:r>
        <w:rPr>
          <w:rFonts w:ascii="Arial" w:cs="Arial" w:eastAsia="Arial" w:hAnsi="Arial"/>
          <w:sz w:val="12"/>
          <w:szCs w:val="12"/>
          <w:color w:val="auto"/>
        </w:rPr>
        <w:t>Represents the weighted average exercise price of options outstanding under the 2005 and 2016 Equity Plans. The weighted average exercise price does not take restricted share units and performance share awards into account.</w:t>
      </w:r>
    </w:p>
    <w:p>
      <w:pPr>
        <w:ind w:left="280" w:hanging="278"/>
        <w:spacing w:after="0" w:line="201" w:lineRule="auto"/>
        <w:tabs>
          <w:tab w:leader="none" w:pos="280" w:val="left"/>
        </w:tabs>
        <w:numPr>
          <w:ilvl w:val="0"/>
          <w:numId w:val="27"/>
        </w:numPr>
        <w:rPr>
          <w:rFonts w:ascii="Arial" w:cs="Arial" w:eastAsia="Arial" w:hAnsi="Arial"/>
          <w:sz w:val="18"/>
          <w:szCs w:val="18"/>
          <w:color w:val="auto"/>
          <w:vertAlign w:val="superscript"/>
        </w:rPr>
      </w:pPr>
      <w:r>
        <w:rPr>
          <w:rFonts w:ascii="Arial" w:cs="Arial" w:eastAsia="Arial" w:hAnsi="Arial"/>
          <w:sz w:val="12"/>
          <w:szCs w:val="12"/>
          <w:color w:val="auto"/>
        </w:rPr>
        <w:t>Of these shares, as of December 31, 2022, 2,269,748 remained available for future issuance under our 2017 Employee Stock Purchase Plan and 4,791,916 remained available for future issuance under our 2020 Equity Plan. All of the shares available under the 2020 Equity Plan are available for issuance other than upon the exercise of options, warrants or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83820</wp:posOffset>
            </wp:positionV>
            <wp:extent cx="699135" cy="1314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46</w:t>
      </w:r>
    </w:p>
    <w:p>
      <w:pPr>
        <w:sectPr>
          <w:pgSz w:w="11900" w:h="16838" w:orient="portrait"/>
          <w:cols w:equalWidth="0" w:num="1">
            <w:col w:w="9320"/>
          </w:cols>
          <w:pgMar w:left="1280" w:top="253" w:right="1299" w:bottom="1440" w:gutter="0" w:footer="0" w:header="0"/>
        </w:sectPr>
      </w:pPr>
    </w:p>
    <w:bookmarkStart w:id="52" w:name="page53"/>
    <w:bookmarkEnd w:id="52"/>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59207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2022. It also provides an overview of our executive compensation philosophy, core principles and objectives. Finally, it analyzes how and why the Compensation Committee arrived at the specific compensation decisions for our executive officers, including the Named Executive Officers (as defined below), for 2022, including the key factors that the Compensation Committee considered in determining their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(“Named Executive Officers,” or “NEOs”) for fiscal 2022 who are still serving as executive officers are:</w:t>
      </w:r>
    </w:p>
    <w:p>
      <w:pPr>
        <w:spacing w:after="0" w:line="114" w:lineRule="exact"/>
        <w:rPr>
          <w:sz w:val="20"/>
          <w:szCs w:val="20"/>
          <w:color w:val="auto"/>
        </w:rPr>
      </w:pPr>
    </w:p>
    <w:p>
      <w:pPr>
        <w:ind w:left="180" w:hanging="178"/>
        <w:spacing w:after="0"/>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Thomas W. Warsop, III, our Interim Chief Executive Officer (“Interim CEO”)</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Scott W. Behrens, our Chief Financial Officer (our “CFO”)</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Ram K. Puppala, our Chief Technology Officer (our “CTO”)</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Alessandro Silva, our Chief Revenue Officer (our “CRO”)</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Deborah L. Guerra, our Chief Product Officer (our “CPO”)</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Our NEOs for fiscal 2022 who have departed the Company are:</w:t>
      </w:r>
    </w:p>
    <w:p>
      <w:pPr>
        <w:spacing w:after="0" w:line="114" w:lineRule="exact"/>
        <w:rPr>
          <w:sz w:val="20"/>
          <w:szCs w:val="20"/>
          <w:color w:val="auto"/>
        </w:rPr>
      </w:pPr>
    </w:p>
    <w:p>
      <w:pPr>
        <w:ind w:left="180" w:hanging="178"/>
        <w:spacing w:after="0"/>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Odilon Almeida, our former President and Chief Executive Officer (“Former CEO”)</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Evanthia Aretakis, our former Chief Revenue Officer (“Former CRO”)</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Jeremy M. Wilmot, our former Chief Product Officer (“Former CPO”)</w:t>
      </w:r>
    </w:p>
    <w:p>
      <w:pPr>
        <w:spacing w:after="0" w:line="194"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Leadership Transitions During 2022</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leadership transitions occurred during fiscal 2022:</w:t>
      </w:r>
    </w:p>
    <w:p>
      <w:pPr>
        <w:spacing w:after="0" w:line="114" w:lineRule="exact"/>
        <w:rPr>
          <w:sz w:val="20"/>
          <w:szCs w:val="20"/>
          <w:color w:val="auto"/>
        </w:rPr>
      </w:pPr>
    </w:p>
    <w:p>
      <w:pPr>
        <w:ind w:left="180" w:right="600" w:hanging="178"/>
        <w:spacing w:after="0" w:line="263"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May 6, 2022, Ms. Aretakis resigned and ceased serving as our CRO and as an officer of the company. Mr. Silva, formerly Executive Vice President – Head of International Markets, became our CRO immediately thereafter.</w:t>
      </w:r>
    </w:p>
    <w:p>
      <w:pPr>
        <w:spacing w:after="0" w:line="75" w:lineRule="exact"/>
        <w:rPr>
          <w:rFonts w:ascii="Arial" w:cs="Arial" w:eastAsia="Arial" w:hAnsi="Arial"/>
          <w:sz w:val="16"/>
          <w:szCs w:val="16"/>
          <w:color w:val="auto"/>
        </w:rPr>
      </w:pPr>
    </w:p>
    <w:p>
      <w:pPr>
        <w:ind w:left="180" w:right="240" w:hanging="178"/>
        <w:spacing w:after="0" w:line="249"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July 5, 2022, Mr. Wilmot resigned and ceased serving as our CPO and as an officer of the company, but continued to serve as Special Advisor to the CEO until March 31, 2023. Ms. Guerra, who heads the Company’s Merchant segment, became our CPO immediately after Mr. Wilmot ceased serving in that role.</w:t>
      </w:r>
    </w:p>
    <w:p>
      <w:pPr>
        <w:spacing w:after="0" w:line="87" w:lineRule="exact"/>
        <w:rPr>
          <w:rFonts w:ascii="Arial" w:cs="Arial" w:eastAsia="Arial" w:hAnsi="Arial"/>
          <w:sz w:val="16"/>
          <w:szCs w:val="16"/>
          <w:color w:val="auto"/>
        </w:rPr>
      </w:pPr>
    </w:p>
    <w:p>
      <w:pPr>
        <w:jc w:val="both"/>
        <w:ind w:left="180" w:right="40" w:hanging="178"/>
        <w:spacing w:after="0" w:line="302" w:lineRule="auto"/>
        <w:tabs>
          <w:tab w:leader="none" w:pos="1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November 7, 2022, Mr. Almeida’s employment terminated as President and Chief Executive Officer of the Company. Immediately thereafter, Mr. Warsop, formerly the non-executive Chair of the Board, was appointed as Interim CEO and is expected to continue in that role until a permanent CEO is identified. The Board immediately commenced a search process to identify our next CEO.</w:t>
      </w:r>
    </w:p>
    <w:p>
      <w:pPr>
        <w:spacing w:after="0" w:line="133"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Executive Summary</w:t>
      </w:r>
    </w:p>
    <w:p>
      <w:pPr>
        <w:spacing w:after="0" w:line="123" w:lineRule="exact"/>
        <w:rPr>
          <w:sz w:val="20"/>
          <w:szCs w:val="20"/>
          <w:color w:val="auto"/>
        </w:rPr>
      </w:pPr>
    </w:p>
    <w:p>
      <w:pPr>
        <w:ind w:right="400"/>
        <w:spacing w:after="0" w:line="263" w:lineRule="auto"/>
        <w:rPr>
          <w:sz w:val="20"/>
          <w:szCs w:val="20"/>
          <w:color w:val="auto"/>
        </w:rPr>
      </w:pPr>
      <w:r>
        <w:rPr>
          <w:rFonts w:ascii="Arial" w:cs="Arial" w:eastAsia="Arial" w:hAnsi="Arial"/>
          <w:sz w:val="16"/>
          <w:szCs w:val="16"/>
          <w:color w:val="auto"/>
        </w:rPr>
        <w:t>In 2022, to continue our ongoing outreach to our stockholders, we reached out to stockholders representing more than 60% of our outstanding shares. In 2023, we are continuing with our outreach to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ACI’s performance in 2022 was highlighted by growth in revenue and net income compared to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5937885" cy="4286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37885" cy="428625"/>
                    </a:xfrm>
                    <a:prstGeom prst="rect">
                      <a:avLst/>
                    </a:prstGeom>
                    <a:noFill/>
                  </pic:spPr>
                </pic:pic>
              </a:graphicData>
            </a:graphic>
          </wp:anchor>
        </w:drawing>
      </w:r>
    </w:p>
    <w:p>
      <w:pPr>
        <w:spacing w:after="0" w:line="288" w:lineRule="exact"/>
        <w:rPr>
          <w:sz w:val="20"/>
          <w:szCs w:val="20"/>
          <w:color w:val="auto"/>
        </w:rPr>
      </w:pPr>
    </w:p>
    <w:p>
      <w:pPr>
        <w:ind w:left="180"/>
        <w:spacing w:after="0"/>
        <w:tabs>
          <w:tab w:leader="none" w:pos="4760" w:val="left"/>
        </w:tabs>
        <w:rPr>
          <w:sz w:val="20"/>
          <w:szCs w:val="20"/>
          <w:color w:val="auto"/>
        </w:rPr>
      </w:pPr>
      <w:r>
        <w:rPr>
          <w:rFonts w:ascii="Arial" w:cs="Arial" w:eastAsia="Arial" w:hAnsi="Arial"/>
          <w:sz w:val="16"/>
          <w:szCs w:val="16"/>
          <w:color w:val="284993"/>
        </w:rPr>
        <w:t>Financial Results</w:t>
      </w:r>
      <w:r>
        <w:rPr>
          <w:sz w:val="20"/>
          <w:szCs w:val="20"/>
          <w:color w:val="auto"/>
        </w:rPr>
        <w:tab/>
      </w:r>
      <w:r>
        <w:rPr>
          <w:rFonts w:ascii="Arial" w:cs="Arial" w:eastAsia="Arial" w:hAnsi="Arial"/>
          <w:sz w:val="14"/>
          <w:szCs w:val="14"/>
          <w:color w:val="284993"/>
        </w:rPr>
        <w:t>•  Revenue up 4% from 2021</w:t>
      </w:r>
    </w:p>
    <w:p>
      <w:pPr>
        <w:spacing w:after="0" w:line="114" w:lineRule="exact"/>
        <w:rPr>
          <w:sz w:val="20"/>
          <w:szCs w:val="20"/>
          <w:color w:val="auto"/>
        </w:rPr>
      </w:pPr>
    </w:p>
    <w:p>
      <w:pPr>
        <w:ind w:left="4780"/>
        <w:spacing w:after="0"/>
        <w:rPr>
          <w:sz w:val="20"/>
          <w:szCs w:val="20"/>
          <w:color w:val="auto"/>
        </w:rPr>
      </w:pPr>
      <w:r>
        <w:rPr>
          <w:rFonts w:ascii="Arial" w:cs="Arial" w:eastAsia="Arial" w:hAnsi="Arial"/>
          <w:sz w:val="16"/>
          <w:szCs w:val="16"/>
          <w:color w:val="284993"/>
        </w:rPr>
        <w:t>•  Net income up 11% from 2021</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47</w:t>
      </w:r>
    </w:p>
    <w:p>
      <w:pPr>
        <w:sectPr>
          <w:pgSz w:w="11900" w:h="16838" w:orient="portrait"/>
          <w:cols w:equalWidth="0" w:num="1">
            <w:col w:w="9320"/>
          </w:cols>
          <w:pgMar w:left="1280" w:top="253" w:right="129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2022 compensation highlights for our Named Executive Officers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5937885" cy="74593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37885" cy="7459345"/>
                    </a:xfrm>
                    <a:prstGeom prst="rect">
                      <a:avLst/>
                    </a:prstGeom>
                    <a:noFill/>
                  </pic:spPr>
                </pic:pic>
              </a:graphicData>
            </a:graphic>
          </wp:anchor>
        </w:drawing>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440" w:type="dxa"/>
            <w:vAlign w:val="bottom"/>
            <w:tcBorders>
              <w:bottom w:val="single" w:sz="8" w:color="284993"/>
            </w:tcBorders>
          </w:tcPr>
          <w:p>
            <w:pPr>
              <w:ind w:left="180"/>
              <w:spacing w:after="0"/>
              <w:rPr>
                <w:sz w:val="20"/>
                <w:szCs w:val="20"/>
                <w:color w:val="auto"/>
              </w:rPr>
            </w:pPr>
            <w:r>
              <w:rPr>
                <w:rFonts w:ascii="Arial" w:cs="Arial" w:eastAsia="Arial" w:hAnsi="Arial"/>
                <w:sz w:val="16"/>
                <w:szCs w:val="16"/>
                <w:b w:val="1"/>
                <w:bCs w:val="1"/>
                <w:color w:val="284993"/>
              </w:rPr>
              <w:t>Compensation Element</w:t>
            </w:r>
          </w:p>
        </w:tc>
        <w:tc>
          <w:tcPr>
            <w:tcW w:w="5640" w:type="dxa"/>
            <w:vAlign w:val="bottom"/>
            <w:tcBorders>
              <w:bottom w:val="single" w:sz="8" w:color="284993"/>
            </w:tcBorders>
          </w:tcPr>
          <w:p>
            <w:pPr>
              <w:ind w:left="2220"/>
              <w:spacing w:after="0"/>
              <w:rPr>
                <w:sz w:val="20"/>
                <w:szCs w:val="20"/>
                <w:color w:val="auto"/>
              </w:rPr>
            </w:pPr>
            <w:r>
              <w:rPr>
                <w:rFonts w:ascii="Arial" w:cs="Arial" w:eastAsia="Arial" w:hAnsi="Arial"/>
                <w:sz w:val="16"/>
                <w:szCs w:val="16"/>
                <w:b w:val="1"/>
                <w:bCs w:val="1"/>
                <w:color w:val="284993"/>
              </w:rPr>
              <w:t>2022 Highlights</w:t>
            </w:r>
          </w:p>
        </w:tc>
      </w:tr>
      <w:tr>
        <w:trPr>
          <w:trHeight w:val="214"/>
        </w:trPr>
        <w:tc>
          <w:tcPr>
            <w:tcW w:w="3440" w:type="dxa"/>
            <w:vAlign w:val="bottom"/>
          </w:tcPr>
          <w:p>
            <w:pPr>
              <w:ind w:left="160"/>
              <w:spacing w:after="0"/>
              <w:rPr>
                <w:sz w:val="20"/>
                <w:szCs w:val="20"/>
                <w:color w:val="auto"/>
              </w:rPr>
            </w:pPr>
            <w:r>
              <w:rPr>
                <w:rFonts w:ascii="Arial" w:cs="Arial" w:eastAsia="Arial" w:hAnsi="Arial"/>
                <w:sz w:val="16"/>
                <w:szCs w:val="16"/>
                <w:color w:val="284993"/>
              </w:rPr>
              <w:t>Interim CEO Compensation</w:t>
            </w:r>
          </w:p>
        </w:tc>
        <w:tc>
          <w:tcPr>
            <w:tcW w:w="5640" w:type="dxa"/>
            <w:vAlign w:val="bottom"/>
          </w:tcPr>
          <w:p>
            <w:pPr>
              <w:ind w:left="200"/>
              <w:spacing w:after="0"/>
              <w:rPr>
                <w:sz w:val="20"/>
                <w:szCs w:val="20"/>
                <w:color w:val="auto"/>
              </w:rPr>
            </w:pPr>
            <w:r>
              <w:rPr>
                <w:rFonts w:ascii="Arial" w:cs="Arial" w:eastAsia="Arial" w:hAnsi="Arial"/>
                <w:sz w:val="16"/>
                <w:szCs w:val="16"/>
                <w:color w:val="284993"/>
              </w:rPr>
              <w:t>•  Prior to his appointment as Interim CEO, Mr. Warsop was eligible for</w:t>
            </w:r>
          </w:p>
        </w:tc>
      </w:tr>
      <w:tr>
        <w:trPr>
          <w:trHeight w:val="205"/>
        </w:trPr>
        <w:tc>
          <w:tcPr>
            <w:tcW w:w="3440" w:type="dxa"/>
            <w:vAlign w:val="bottom"/>
          </w:tcPr>
          <w:p>
            <w:pPr>
              <w:spacing w:after="0"/>
              <w:rPr>
                <w:sz w:val="17"/>
                <w:szCs w:val="17"/>
                <w:color w:val="auto"/>
              </w:rPr>
            </w:pPr>
          </w:p>
        </w:tc>
        <w:tc>
          <w:tcPr>
            <w:tcW w:w="5640" w:type="dxa"/>
            <w:vAlign w:val="bottom"/>
          </w:tcPr>
          <w:p>
            <w:pPr>
              <w:ind w:left="360"/>
              <w:spacing w:after="0"/>
              <w:rPr>
                <w:sz w:val="20"/>
                <w:szCs w:val="20"/>
                <w:color w:val="auto"/>
              </w:rPr>
            </w:pPr>
            <w:r>
              <w:rPr>
                <w:rFonts w:ascii="Arial" w:cs="Arial" w:eastAsia="Arial" w:hAnsi="Arial"/>
                <w:sz w:val="16"/>
                <w:szCs w:val="16"/>
                <w:color w:val="284993"/>
              </w:rPr>
              <w:t>compensation for his service as a non-employee member of the Board.</w:t>
            </w:r>
          </w:p>
        </w:tc>
      </w:tr>
      <w:tr>
        <w:trPr>
          <w:trHeight w:val="275"/>
        </w:trPr>
        <w:tc>
          <w:tcPr>
            <w:tcW w:w="34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284993"/>
              </w:rPr>
              <w:t>•  Following Mr. Warsop’s appointment as Interim CEO, given the</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temporary and transitional nature of his role, Mr. Warsop is compensated</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at a rate of $325,000 per month (prorated for November 2022) and is</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eligible for a $325,000 discretionary bonus at the end of his service as</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interim CEO based upon performance criteria to be agreed upon.</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Mr. Warsop does not receive any equity compensation in his role as</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Interim CEO and he will not receive compensation for his role as a</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director while serving as interim CEO, though his outstanding equity</w:t>
            </w:r>
          </w:p>
        </w:tc>
      </w:tr>
      <w:tr>
        <w:trPr>
          <w:trHeight w:val="205"/>
        </w:trPr>
        <w:tc>
          <w:tcPr>
            <w:tcW w:w="3440" w:type="dxa"/>
            <w:vAlign w:val="bottom"/>
          </w:tcPr>
          <w:p>
            <w:pPr>
              <w:spacing w:after="0"/>
              <w:rPr>
                <w:sz w:val="17"/>
                <w:szCs w:val="17"/>
                <w:color w:val="auto"/>
              </w:rPr>
            </w:pPr>
          </w:p>
        </w:tc>
        <w:tc>
          <w:tcPr>
            <w:tcW w:w="5640" w:type="dxa"/>
            <w:vAlign w:val="bottom"/>
          </w:tcPr>
          <w:p>
            <w:pPr>
              <w:ind w:left="360"/>
              <w:spacing w:after="0"/>
              <w:rPr>
                <w:sz w:val="20"/>
                <w:szCs w:val="20"/>
                <w:color w:val="auto"/>
              </w:rPr>
            </w:pPr>
            <w:r>
              <w:rPr>
                <w:rFonts w:ascii="Arial" w:cs="Arial" w:eastAsia="Arial" w:hAnsi="Arial"/>
                <w:sz w:val="16"/>
                <w:szCs w:val="16"/>
                <w:color w:val="284993"/>
              </w:rPr>
              <w:t>awards will continue to vest.</w:t>
            </w:r>
          </w:p>
        </w:tc>
      </w:tr>
      <w:tr>
        <w:trPr>
          <w:trHeight w:val="236"/>
        </w:trPr>
        <w:tc>
          <w:tcPr>
            <w:tcW w:w="3440" w:type="dxa"/>
            <w:vAlign w:val="bottom"/>
          </w:tcPr>
          <w:p>
            <w:pPr>
              <w:ind w:left="160"/>
              <w:spacing w:after="0"/>
              <w:rPr>
                <w:sz w:val="20"/>
                <w:szCs w:val="20"/>
                <w:color w:val="auto"/>
              </w:rPr>
            </w:pPr>
            <w:r>
              <w:rPr>
                <w:rFonts w:ascii="Arial" w:cs="Arial" w:eastAsia="Arial" w:hAnsi="Arial"/>
                <w:sz w:val="16"/>
                <w:szCs w:val="16"/>
                <w:color w:val="284993"/>
              </w:rPr>
              <w:t>Former CEO Severance</w:t>
            </w:r>
          </w:p>
        </w:tc>
        <w:tc>
          <w:tcPr>
            <w:tcW w:w="5640" w:type="dxa"/>
            <w:vAlign w:val="bottom"/>
          </w:tcPr>
          <w:p>
            <w:pPr>
              <w:ind w:left="200"/>
              <w:spacing w:after="0"/>
              <w:rPr>
                <w:sz w:val="20"/>
                <w:szCs w:val="20"/>
                <w:color w:val="auto"/>
              </w:rPr>
            </w:pPr>
            <w:r>
              <w:rPr>
                <w:rFonts w:ascii="Arial" w:cs="Arial" w:eastAsia="Arial" w:hAnsi="Arial"/>
                <w:sz w:val="16"/>
                <w:szCs w:val="16"/>
                <w:color w:val="284993"/>
              </w:rPr>
              <w:t>•  Because Mr. Almeida’s departure was considered an involuntary</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termination without “cause”, he was entitled to severance under his</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existing severance agreement, which was subject to Mr. Almeida’s</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execution and non-revocation of a customary release of claims in favor</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of the Company, as well as his compliance within certain customary</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confidentiality, non-competition and employee and customer</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non-solicitation restrictive covenants. In addition, we entered into a</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transition services agreement with Mr. Almeida covering the remainder of</w:t>
            </w:r>
          </w:p>
        </w:tc>
      </w:tr>
      <w:tr>
        <w:trPr>
          <w:trHeight w:val="205"/>
        </w:trPr>
        <w:tc>
          <w:tcPr>
            <w:tcW w:w="3440" w:type="dxa"/>
            <w:vAlign w:val="bottom"/>
          </w:tcPr>
          <w:p>
            <w:pPr>
              <w:spacing w:after="0"/>
              <w:rPr>
                <w:sz w:val="17"/>
                <w:szCs w:val="17"/>
                <w:color w:val="auto"/>
              </w:rPr>
            </w:pPr>
          </w:p>
        </w:tc>
        <w:tc>
          <w:tcPr>
            <w:tcW w:w="5640" w:type="dxa"/>
            <w:vAlign w:val="bottom"/>
          </w:tcPr>
          <w:p>
            <w:pPr>
              <w:ind w:left="360"/>
              <w:spacing w:after="0"/>
              <w:rPr>
                <w:sz w:val="20"/>
                <w:szCs w:val="20"/>
                <w:color w:val="auto"/>
              </w:rPr>
            </w:pPr>
            <w:r>
              <w:rPr>
                <w:rFonts w:ascii="Arial" w:cs="Arial" w:eastAsia="Arial" w:hAnsi="Arial"/>
                <w:sz w:val="16"/>
                <w:szCs w:val="16"/>
                <w:color w:val="284993"/>
              </w:rPr>
              <w:t>the month of November 2022.</w:t>
            </w:r>
          </w:p>
        </w:tc>
      </w:tr>
      <w:tr>
        <w:trPr>
          <w:trHeight w:val="246"/>
        </w:trPr>
        <w:tc>
          <w:tcPr>
            <w:tcW w:w="3440" w:type="dxa"/>
            <w:vAlign w:val="bottom"/>
          </w:tcPr>
          <w:p>
            <w:pPr>
              <w:ind w:left="160"/>
              <w:spacing w:after="0"/>
              <w:rPr>
                <w:sz w:val="20"/>
                <w:szCs w:val="20"/>
                <w:color w:val="auto"/>
              </w:rPr>
            </w:pPr>
            <w:r>
              <w:rPr>
                <w:rFonts w:ascii="Arial" w:cs="Arial" w:eastAsia="Arial" w:hAnsi="Arial"/>
                <w:sz w:val="16"/>
                <w:szCs w:val="16"/>
                <w:color w:val="284993"/>
              </w:rPr>
              <w:t>2022 Base Salary</w:t>
            </w:r>
          </w:p>
        </w:tc>
        <w:tc>
          <w:tcPr>
            <w:tcW w:w="5640" w:type="dxa"/>
            <w:vAlign w:val="bottom"/>
          </w:tcPr>
          <w:p>
            <w:pPr>
              <w:ind w:left="200"/>
              <w:spacing w:after="0"/>
              <w:rPr>
                <w:sz w:val="20"/>
                <w:szCs w:val="20"/>
                <w:color w:val="auto"/>
              </w:rPr>
            </w:pPr>
            <w:r>
              <w:rPr>
                <w:rFonts w:ascii="Arial" w:cs="Arial" w:eastAsia="Arial" w:hAnsi="Arial"/>
                <w:sz w:val="16"/>
                <w:szCs w:val="16"/>
                <w:color w:val="284993"/>
              </w:rPr>
              <w:t>•  Our Former CEO received a 3.7% base salary increase.</w:t>
            </w:r>
          </w:p>
        </w:tc>
      </w:tr>
      <w:tr>
        <w:trPr>
          <w:trHeight w:val="298"/>
        </w:trPr>
        <w:tc>
          <w:tcPr>
            <w:tcW w:w="3440" w:type="dxa"/>
            <w:vAlign w:val="bottom"/>
          </w:tcPr>
          <w:p>
            <w:pPr>
              <w:spacing w:after="0"/>
              <w:rPr>
                <w:sz w:val="24"/>
                <w:szCs w:val="24"/>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284993"/>
              </w:rPr>
              <w:t>•  Our CFO received a 5.6% base salary increase.</w:t>
            </w:r>
          </w:p>
        </w:tc>
      </w:tr>
      <w:tr>
        <w:trPr>
          <w:trHeight w:val="275"/>
        </w:trPr>
        <w:tc>
          <w:tcPr>
            <w:tcW w:w="34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284993"/>
              </w:rPr>
              <w:t>•  Our CRO received a 13.5% base salary increase, due in part to his</w:t>
            </w:r>
          </w:p>
        </w:tc>
      </w:tr>
      <w:tr>
        <w:trPr>
          <w:trHeight w:val="205"/>
        </w:trPr>
        <w:tc>
          <w:tcPr>
            <w:tcW w:w="3440" w:type="dxa"/>
            <w:vAlign w:val="bottom"/>
          </w:tcPr>
          <w:p>
            <w:pPr>
              <w:spacing w:after="0"/>
              <w:rPr>
                <w:sz w:val="17"/>
                <w:szCs w:val="17"/>
                <w:color w:val="auto"/>
              </w:rPr>
            </w:pPr>
          </w:p>
        </w:tc>
        <w:tc>
          <w:tcPr>
            <w:tcW w:w="5640" w:type="dxa"/>
            <w:vAlign w:val="bottom"/>
          </w:tcPr>
          <w:p>
            <w:pPr>
              <w:ind w:left="360"/>
              <w:spacing w:after="0"/>
              <w:rPr>
                <w:sz w:val="20"/>
                <w:szCs w:val="20"/>
                <w:color w:val="auto"/>
              </w:rPr>
            </w:pPr>
            <w:r>
              <w:rPr>
                <w:rFonts w:ascii="Arial" w:cs="Arial" w:eastAsia="Arial" w:hAnsi="Arial"/>
                <w:sz w:val="16"/>
                <w:szCs w:val="16"/>
                <w:color w:val="284993"/>
              </w:rPr>
              <w:t>appointment to Chief Revenue Officer.</w:t>
            </w:r>
          </w:p>
        </w:tc>
      </w:tr>
      <w:tr>
        <w:trPr>
          <w:trHeight w:val="275"/>
        </w:trPr>
        <w:tc>
          <w:tcPr>
            <w:tcW w:w="34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284993"/>
              </w:rPr>
              <w:t>•  Our CPO received a 6.6% base salary increase, due in part to her</w:t>
            </w:r>
          </w:p>
        </w:tc>
      </w:tr>
      <w:tr>
        <w:trPr>
          <w:trHeight w:val="205"/>
        </w:trPr>
        <w:tc>
          <w:tcPr>
            <w:tcW w:w="3440" w:type="dxa"/>
            <w:vAlign w:val="bottom"/>
          </w:tcPr>
          <w:p>
            <w:pPr>
              <w:spacing w:after="0"/>
              <w:rPr>
                <w:sz w:val="17"/>
                <w:szCs w:val="17"/>
                <w:color w:val="auto"/>
              </w:rPr>
            </w:pPr>
          </w:p>
        </w:tc>
        <w:tc>
          <w:tcPr>
            <w:tcW w:w="5640" w:type="dxa"/>
            <w:vAlign w:val="bottom"/>
          </w:tcPr>
          <w:p>
            <w:pPr>
              <w:ind w:left="360"/>
              <w:spacing w:after="0"/>
              <w:rPr>
                <w:sz w:val="20"/>
                <w:szCs w:val="20"/>
                <w:color w:val="auto"/>
              </w:rPr>
            </w:pPr>
            <w:r>
              <w:rPr>
                <w:rFonts w:ascii="Arial" w:cs="Arial" w:eastAsia="Arial" w:hAnsi="Arial"/>
                <w:sz w:val="16"/>
                <w:szCs w:val="16"/>
                <w:color w:val="284993"/>
              </w:rPr>
              <w:t>appointment to Chief Product Officer.</w:t>
            </w:r>
          </w:p>
        </w:tc>
      </w:tr>
      <w:tr>
        <w:trPr>
          <w:trHeight w:val="300"/>
        </w:trPr>
        <w:tc>
          <w:tcPr>
            <w:tcW w:w="3440" w:type="dxa"/>
            <w:vAlign w:val="bottom"/>
          </w:tcPr>
          <w:p>
            <w:pPr>
              <w:ind w:left="160"/>
              <w:spacing w:after="0"/>
              <w:rPr>
                <w:sz w:val="20"/>
                <w:szCs w:val="20"/>
                <w:color w:val="auto"/>
              </w:rPr>
            </w:pPr>
            <w:r>
              <w:rPr>
                <w:rFonts w:ascii="Arial" w:cs="Arial" w:eastAsia="Arial" w:hAnsi="Arial"/>
                <w:sz w:val="16"/>
                <w:szCs w:val="16"/>
                <w:color w:val="284993"/>
              </w:rPr>
              <w:t>2022 ACI Short-Term Incentive Plan (“STIP”)</w:t>
            </w:r>
          </w:p>
        </w:tc>
        <w:tc>
          <w:tcPr>
            <w:tcW w:w="5640" w:type="dxa"/>
            <w:vAlign w:val="bottom"/>
          </w:tcPr>
          <w:p>
            <w:pPr>
              <w:ind w:left="200"/>
              <w:spacing w:after="0"/>
              <w:rPr>
                <w:sz w:val="20"/>
                <w:szCs w:val="20"/>
                <w:color w:val="auto"/>
              </w:rPr>
            </w:pPr>
            <w:r>
              <w:rPr>
                <w:rFonts w:ascii="Arial" w:cs="Arial" w:eastAsia="Arial" w:hAnsi="Arial"/>
                <w:sz w:val="16"/>
                <w:szCs w:val="16"/>
                <w:color w:val="284993"/>
              </w:rPr>
              <w:t>•  The payout percentage for Company performance under the 2022 STIP</w:t>
            </w:r>
          </w:p>
        </w:tc>
      </w:tr>
      <w:tr>
        <w:trPr>
          <w:trHeight w:val="205"/>
        </w:trPr>
        <w:tc>
          <w:tcPr>
            <w:tcW w:w="3440" w:type="dxa"/>
            <w:vAlign w:val="bottom"/>
          </w:tcPr>
          <w:p>
            <w:pPr>
              <w:spacing w:after="0"/>
              <w:rPr>
                <w:sz w:val="17"/>
                <w:szCs w:val="17"/>
                <w:color w:val="auto"/>
              </w:rPr>
            </w:pPr>
          </w:p>
        </w:tc>
        <w:tc>
          <w:tcPr>
            <w:tcW w:w="5640" w:type="dxa"/>
            <w:vAlign w:val="bottom"/>
          </w:tcPr>
          <w:p>
            <w:pPr>
              <w:ind w:left="360"/>
              <w:spacing w:after="0"/>
              <w:rPr>
                <w:sz w:val="20"/>
                <w:szCs w:val="20"/>
                <w:color w:val="auto"/>
              </w:rPr>
            </w:pPr>
            <w:r>
              <w:rPr>
                <w:rFonts w:ascii="Arial" w:cs="Arial" w:eastAsia="Arial" w:hAnsi="Arial"/>
                <w:sz w:val="16"/>
                <w:szCs w:val="16"/>
                <w:color w:val="284993"/>
              </w:rPr>
              <w:t>program was 94% of target.</w:t>
            </w:r>
          </w:p>
        </w:tc>
      </w:tr>
      <w:tr>
        <w:trPr>
          <w:trHeight w:val="223"/>
        </w:trPr>
        <w:tc>
          <w:tcPr>
            <w:tcW w:w="3440" w:type="dxa"/>
            <w:vAlign w:val="bottom"/>
          </w:tcPr>
          <w:p>
            <w:pPr>
              <w:ind w:left="160"/>
              <w:spacing w:after="0"/>
              <w:rPr>
                <w:sz w:val="20"/>
                <w:szCs w:val="20"/>
                <w:color w:val="auto"/>
              </w:rPr>
            </w:pPr>
            <w:r>
              <w:rPr>
                <w:rFonts w:ascii="Arial" w:cs="Arial" w:eastAsia="Arial" w:hAnsi="Arial"/>
                <w:sz w:val="16"/>
                <w:szCs w:val="16"/>
                <w:color w:val="284993"/>
              </w:rPr>
              <w:t>2022 Long Term Incentive Plan (“LTIP”)</w:t>
            </w:r>
          </w:p>
        </w:tc>
        <w:tc>
          <w:tcPr>
            <w:tcW w:w="5640" w:type="dxa"/>
            <w:vAlign w:val="bottom"/>
          </w:tcPr>
          <w:p>
            <w:pPr>
              <w:ind w:left="200"/>
              <w:spacing w:after="0"/>
              <w:rPr>
                <w:sz w:val="20"/>
                <w:szCs w:val="20"/>
                <w:color w:val="auto"/>
              </w:rPr>
            </w:pPr>
            <w:r>
              <w:rPr>
                <w:rFonts w:ascii="Arial" w:cs="Arial" w:eastAsia="Arial" w:hAnsi="Arial"/>
                <w:sz w:val="16"/>
                <w:szCs w:val="16"/>
                <w:color w:val="284993"/>
              </w:rPr>
              <w:t>•  Our Former CEO received long-term equity awards with (i) 65% of the</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target total grant value allocated to performance shares based on</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relative total shareholder return (“rTSR Performance Share Awards” or</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“PSA”, which vest, if at all, based on ACI’s total stockholder return for a</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three-year performance period versus the S&amp;P MidCap 400 Index, and</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(ii) the other 35% allocated to Restricted Stock Units (“RSUs”) that</w:t>
            </w:r>
          </w:p>
        </w:tc>
      </w:tr>
      <w:tr>
        <w:trPr>
          <w:trHeight w:val="205"/>
        </w:trPr>
        <w:tc>
          <w:tcPr>
            <w:tcW w:w="3440" w:type="dxa"/>
            <w:vAlign w:val="bottom"/>
          </w:tcPr>
          <w:p>
            <w:pPr>
              <w:spacing w:after="0"/>
              <w:rPr>
                <w:sz w:val="17"/>
                <w:szCs w:val="17"/>
                <w:color w:val="auto"/>
              </w:rPr>
            </w:pPr>
          </w:p>
        </w:tc>
        <w:tc>
          <w:tcPr>
            <w:tcW w:w="5640" w:type="dxa"/>
            <w:vAlign w:val="bottom"/>
          </w:tcPr>
          <w:p>
            <w:pPr>
              <w:ind w:left="360"/>
              <w:spacing w:after="0"/>
              <w:rPr>
                <w:sz w:val="20"/>
                <w:szCs w:val="20"/>
                <w:color w:val="auto"/>
              </w:rPr>
            </w:pPr>
            <w:r>
              <w:rPr>
                <w:rFonts w:ascii="Arial" w:cs="Arial" w:eastAsia="Arial" w:hAnsi="Arial"/>
                <w:sz w:val="16"/>
                <w:szCs w:val="16"/>
                <w:color w:val="284993"/>
              </w:rPr>
              <w:t>generally vest ratably over a three-year period of continued service.</w:t>
            </w:r>
          </w:p>
        </w:tc>
      </w:tr>
      <w:tr>
        <w:trPr>
          <w:trHeight w:val="275"/>
        </w:trPr>
        <w:tc>
          <w:tcPr>
            <w:tcW w:w="34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284993"/>
              </w:rPr>
              <w:t>•  Our Named Executive Officers, other than our Former CEO and our</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Interim CEO, received initial long-term equity awards with (i) 50% of the</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target total grant value allocated to rTSR Performance Share Awards</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and (ii) 50% allocated to RSUs that generally vest ratably over a three-</w:t>
            </w:r>
          </w:p>
        </w:tc>
      </w:tr>
      <w:tr>
        <w:trPr>
          <w:trHeight w:val="205"/>
        </w:trPr>
        <w:tc>
          <w:tcPr>
            <w:tcW w:w="3440" w:type="dxa"/>
            <w:vAlign w:val="bottom"/>
          </w:tcPr>
          <w:p>
            <w:pPr>
              <w:spacing w:after="0"/>
              <w:rPr>
                <w:sz w:val="17"/>
                <w:szCs w:val="17"/>
                <w:color w:val="auto"/>
              </w:rPr>
            </w:pPr>
          </w:p>
        </w:tc>
        <w:tc>
          <w:tcPr>
            <w:tcW w:w="5640" w:type="dxa"/>
            <w:vAlign w:val="bottom"/>
          </w:tcPr>
          <w:p>
            <w:pPr>
              <w:ind w:left="360"/>
              <w:spacing w:after="0"/>
              <w:rPr>
                <w:sz w:val="20"/>
                <w:szCs w:val="20"/>
                <w:color w:val="auto"/>
              </w:rPr>
            </w:pPr>
            <w:r>
              <w:rPr>
                <w:rFonts w:ascii="Arial" w:cs="Arial" w:eastAsia="Arial" w:hAnsi="Arial"/>
                <w:sz w:val="16"/>
                <w:szCs w:val="16"/>
                <w:color w:val="284993"/>
              </w:rPr>
              <w:t>year period.</w:t>
            </w:r>
          </w:p>
        </w:tc>
      </w:tr>
      <w:tr>
        <w:trPr>
          <w:trHeight w:val="275"/>
        </w:trPr>
        <w:tc>
          <w:tcPr>
            <w:tcW w:w="34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284993"/>
              </w:rPr>
              <w:t>•  In connection with their appointments, our CRO and CPO received an</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additional long-term equity award of RSUs that vest quarterly over a</w:t>
            </w:r>
          </w:p>
        </w:tc>
      </w:tr>
      <w:tr>
        <w:trPr>
          <w:trHeight w:val="205"/>
        </w:trPr>
        <w:tc>
          <w:tcPr>
            <w:tcW w:w="3440" w:type="dxa"/>
            <w:vAlign w:val="bottom"/>
          </w:tcPr>
          <w:p>
            <w:pPr>
              <w:spacing w:after="0"/>
              <w:rPr>
                <w:sz w:val="17"/>
                <w:szCs w:val="17"/>
                <w:color w:val="auto"/>
              </w:rPr>
            </w:pPr>
          </w:p>
        </w:tc>
        <w:tc>
          <w:tcPr>
            <w:tcW w:w="5640" w:type="dxa"/>
            <w:vAlign w:val="bottom"/>
          </w:tcPr>
          <w:p>
            <w:pPr>
              <w:ind w:left="360"/>
              <w:spacing w:after="0"/>
              <w:rPr>
                <w:sz w:val="20"/>
                <w:szCs w:val="20"/>
                <w:color w:val="auto"/>
              </w:rPr>
            </w:pPr>
            <w:r>
              <w:rPr>
                <w:rFonts w:ascii="Arial" w:cs="Arial" w:eastAsia="Arial" w:hAnsi="Arial"/>
                <w:sz w:val="16"/>
                <w:szCs w:val="16"/>
                <w:color w:val="284993"/>
              </w:rPr>
              <w:t>three-year period.</w:t>
            </w:r>
          </w:p>
        </w:tc>
      </w:tr>
      <w:tr>
        <w:trPr>
          <w:trHeight w:val="275"/>
        </w:trPr>
        <w:tc>
          <w:tcPr>
            <w:tcW w:w="34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284993"/>
              </w:rPr>
              <w:t>•  The aggregate target grant date value of the 2022 annual LTIP awards</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for our Former CEO was approximately $7.5 million, and the aggregate</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target grant date value of the 2022 annual LTIP awards for our other</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Named Executive Officers (other than our Interim CEO) ranged from</w:t>
            </w:r>
          </w:p>
        </w:tc>
      </w:tr>
      <w:tr>
        <w:trPr>
          <w:trHeight w:val="205"/>
        </w:trPr>
        <w:tc>
          <w:tcPr>
            <w:tcW w:w="3440" w:type="dxa"/>
            <w:vAlign w:val="bottom"/>
          </w:tcPr>
          <w:p>
            <w:pPr>
              <w:spacing w:after="0"/>
              <w:rPr>
                <w:sz w:val="17"/>
                <w:szCs w:val="17"/>
                <w:color w:val="auto"/>
              </w:rPr>
            </w:pPr>
          </w:p>
        </w:tc>
        <w:tc>
          <w:tcPr>
            <w:tcW w:w="5640" w:type="dxa"/>
            <w:vAlign w:val="bottom"/>
          </w:tcPr>
          <w:p>
            <w:pPr>
              <w:ind w:left="360"/>
              <w:spacing w:after="0"/>
              <w:rPr>
                <w:sz w:val="20"/>
                <w:szCs w:val="20"/>
                <w:color w:val="auto"/>
              </w:rPr>
            </w:pPr>
            <w:r>
              <w:rPr>
                <w:rFonts w:ascii="Arial" w:cs="Arial" w:eastAsia="Arial" w:hAnsi="Arial"/>
                <w:sz w:val="16"/>
                <w:szCs w:val="16"/>
                <w:color w:val="284993"/>
              </w:rPr>
              <w:t>approximately $800,000 – $2,600,000.</w:t>
            </w:r>
          </w:p>
        </w:tc>
      </w:tr>
      <w:tr>
        <w:trPr>
          <w:trHeight w:val="236"/>
        </w:trPr>
        <w:tc>
          <w:tcPr>
            <w:tcW w:w="3440" w:type="dxa"/>
            <w:vAlign w:val="bottom"/>
          </w:tcPr>
          <w:p>
            <w:pPr>
              <w:ind w:left="160"/>
              <w:spacing w:after="0"/>
              <w:rPr>
                <w:sz w:val="20"/>
                <w:szCs w:val="20"/>
                <w:color w:val="auto"/>
              </w:rPr>
            </w:pPr>
            <w:r>
              <w:rPr>
                <w:rFonts w:ascii="Arial" w:cs="Arial" w:eastAsia="Arial" w:hAnsi="Arial"/>
                <w:sz w:val="16"/>
                <w:szCs w:val="16"/>
                <w:color w:val="284993"/>
              </w:rPr>
              <w:t>Special Advisor Compensation for Former</w:t>
            </w:r>
          </w:p>
        </w:tc>
        <w:tc>
          <w:tcPr>
            <w:tcW w:w="5640" w:type="dxa"/>
            <w:vAlign w:val="bottom"/>
          </w:tcPr>
          <w:p>
            <w:pPr>
              <w:ind w:left="200"/>
              <w:spacing w:after="0"/>
              <w:rPr>
                <w:sz w:val="20"/>
                <w:szCs w:val="20"/>
                <w:color w:val="auto"/>
              </w:rPr>
            </w:pPr>
            <w:r>
              <w:rPr>
                <w:rFonts w:ascii="Arial" w:cs="Arial" w:eastAsia="Arial" w:hAnsi="Arial"/>
                <w:sz w:val="16"/>
                <w:szCs w:val="16"/>
                <w:color w:val="284993"/>
              </w:rPr>
              <w:t>•  During his service as Special Advisor to the CEO, Mr. Wilmot</w:t>
            </w:r>
          </w:p>
        </w:tc>
      </w:tr>
      <w:tr>
        <w:trPr>
          <w:trHeight w:val="181"/>
        </w:trPr>
        <w:tc>
          <w:tcPr>
            <w:tcW w:w="3440" w:type="dxa"/>
            <w:vAlign w:val="bottom"/>
          </w:tcPr>
          <w:p>
            <w:pPr>
              <w:ind w:left="160"/>
              <w:spacing w:after="0" w:line="181" w:lineRule="exact"/>
              <w:rPr>
                <w:sz w:val="20"/>
                <w:szCs w:val="20"/>
                <w:color w:val="auto"/>
              </w:rPr>
            </w:pPr>
            <w:r>
              <w:rPr>
                <w:rFonts w:ascii="Arial" w:cs="Arial" w:eastAsia="Arial" w:hAnsi="Arial"/>
                <w:sz w:val="16"/>
                <w:szCs w:val="16"/>
                <w:color w:val="284993"/>
              </w:rPr>
              <w:t>CPO</w:t>
            </w: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(1) received a salary of $7,600 for 40 hours worked monthly, (2) received</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an additional $190 per hour worked in excess of 40 hours monthly,</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(3) remained eligible to receive an award under the Company’s 2022</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STIP, (4) continued to vest in his outstanding equity-based awards in</w:t>
            </w:r>
          </w:p>
        </w:tc>
      </w:tr>
      <w:tr>
        <w:trPr>
          <w:trHeight w:val="181"/>
        </w:trPr>
        <w:tc>
          <w:tcPr>
            <w:tcW w:w="3440" w:type="dxa"/>
            <w:vAlign w:val="bottom"/>
          </w:tcPr>
          <w:p>
            <w:pPr>
              <w:spacing w:after="0"/>
              <w:rPr>
                <w:sz w:val="15"/>
                <w:szCs w:val="15"/>
                <w:color w:val="auto"/>
              </w:rPr>
            </w:pPr>
          </w:p>
        </w:tc>
        <w:tc>
          <w:tcPr>
            <w:tcW w:w="5640" w:type="dxa"/>
            <w:vAlign w:val="bottom"/>
          </w:tcPr>
          <w:p>
            <w:pPr>
              <w:ind w:left="360"/>
              <w:spacing w:after="0" w:line="181" w:lineRule="exact"/>
              <w:rPr>
                <w:sz w:val="20"/>
                <w:szCs w:val="20"/>
                <w:color w:val="auto"/>
              </w:rPr>
            </w:pPr>
            <w:r>
              <w:rPr>
                <w:rFonts w:ascii="Arial" w:cs="Arial" w:eastAsia="Arial" w:hAnsi="Arial"/>
                <w:sz w:val="16"/>
                <w:szCs w:val="16"/>
                <w:color w:val="284993"/>
              </w:rPr>
              <w:t>accordance with their terms, and (5) remained eligible for benefits</w:t>
            </w:r>
          </w:p>
        </w:tc>
      </w:tr>
      <w:tr>
        <w:trPr>
          <w:trHeight w:val="205"/>
        </w:trPr>
        <w:tc>
          <w:tcPr>
            <w:tcW w:w="3440" w:type="dxa"/>
            <w:vAlign w:val="bottom"/>
          </w:tcPr>
          <w:p>
            <w:pPr>
              <w:spacing w:after="0"/>
              <w:rPr>
                <w:sz w:val="17"/>
                <w:szCs w:val="17"/>
                <w:color w:val="auto"/>
              </w:rPr>
            </w:pPr>
          </w:p>
        </w:tc>
        <w:tc>
          <w:tcPr>
            <w:tcW w:w="5640" w:type="dxa"/>
            <w:vAlign w:val="bottom"/>
          </w:tcPr>
          <w:p>
            <w:pPr>
              <w:ind w:left="360"/>
              <w:spacing w:after="0"/>
              <w:rPr>
                <w:sz w:val="20"/>
                <w:szCs w:val="20"/>
                <w:color w:val="auto"/>
              </w:rPr>
            </w:pPr>
            <w:r>
              <w:rPr>
                <w:rFonts w:ascii="Arial" w:cs="Arial" w:eastAsia="Arial" w:hAnsi="Arial"/>
                <w:sz w:val="16"/>
                <w:szCs w:val="16"/>
                <w:color w:val="284993"/>
              </w:rPr>
              <w:t>available to part-time employees.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182245</wp:posOffset>
            </wp:positionV>
            <wp:extent cx="699135" cy="1314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48</w:t>
      </w:r>
    </w:p>
    <w:p>
      <w:pPr>
        <w:sectPr>
          <w:pgSz w:w="11900" w:h="16838" w:orient="portrait"/>
          <w:cols w:equalWidth="0" w:num="1">
            <w:col w:w="9200"/>
          </w:cols>
          <w:pgMar w:left="1280" w:top="296" w:right="1419" w:bottom="1440" w:gutter="0" w:footer="0" w:header="0"/>
        </w:sectPr>
      </w:pPr>
    </w:p>
    <w:bookmarkStart w:id="54" w:name="page55"/>
    <w:bookmarkEnd w:id="54"/>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Stockholder Input on Executive Compensation Program</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2022 Say-on-Pay Vote</w:t>
      </w:r>
    </w:p>
    <w:p>
      <w:pPr>
        <w:spacing w:after="0" w:line="107" w:lineRule="exact"/>
        <w:rPr>
          <w:sz w:val="20"/>
          <w:szCs w:val="20"/>
          <w:color w:val="auto"/>
        </w:rPr>
      </w:pPr>
    </w:p>
    <w:p>
      <w:pPr>
        <w:jc w:val="both"/>
        <w:ind w:right="260"/>
        <w:spacing w:after="0" w:line="245" w:lineRule="auto"/>
        <w:rPr>
          <w:sz w:val="20"/>
          <w:szCs w:val="20"/>
          <w:color w:val="auto"/>
        </w:rPr>
      </w:pPr>
      <w:r>
        <w:rPr>
          <w:rFonts w:ascii="Arial" w:cs="Arial" w:eastAsia="Arial" w:hAnsi="Arial"/>
          <w:sz w:val="16"/>
          <w:szCs w:val="16"/>
          <w:color w:val="auto"/>
        </w:rPr>
        <w:t>At our 2022 annual meeting, our stockholders approved our named executive officer compensation with approximately 96.7% of the votes cast in favor of our proposal. For 2020 and 2021, we received 96.5% and 97.0%, respectively, of the votes cast in favor of our proposal. Based on the continued high level of approval, the Compensation Committee determined that no significant changes were needed to the executive compensation program.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Stockholder Engagement and Feedback</w:t>
      </w:r>
    </w:p>
    <w:p>
      <w:pPr>
        <w:spacing w:after="0" w:line="107" w:lineRule="exact"/>
        <w:rPr>
          <w:sz w:val="20"/>
          <w:szCs w:val="20"/>
          <w:color w:val="auto"/>
        </w:rPr>
      </w:pPr>
    </w:p>
    <w:p>
      <w:pPr>
        <w:ind w:right="300"/>
        <w:spacing w:after="0" w:line="245" w:lineRule="auto"/>
        <w:rPr>
          <w:sz w:val="20"/>
          <w:szCs w:val="20"/>
          <w:color w:val="auto"/>
        </w:rPr>
      </w:pPr>
      <w:r>
        <w:rPr>
          <w:rFonts w:ascii="Arial" w:cs="Arial" w:eastAsia="Arial" w:hAnsi="Arial"/>
          <w:sz w:val="16"/>
          <w:szCs w:val="16"/>
          <w:color w:val="auto"/>
        </w:rPr>
        <w:t>The Compensation Committee is committed to stockholder engagement. We carefully consider feedback from our stockholders regarding our executive compensation program through our annual say-on-pay vote, as well as through our communications with stockholders throughout the year. Our stockholders are invited to express their views to the Compensation Committee as described under “Stockholder Communications with our Board” below.</w:t>
      </w:r>
    </w:p>
    <w:p>
      <w:pPr>
        <w:spacing w:after="0" w:line="181"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Consistent with the practice we adopted in 2018, in 2022, we conducted our annual stockholder outreach. In 2022, we reached out to stockholders representing over 60% of our outstanding shares at the time. The purpose of the outreach was to discuss our executive compensation programs and elicit each stockholder’s feedback as to what we are doing well and suggestions to what we can improve. Based on the feedback from our 2022 outreach, we do not believe that the stockholders had significant concerns with the current executive compensation program. In 2023, we plan to continue our annual outreach.</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Frequency of Say-on-Pay Vote</w:t>
      </w:r>
    </w:p>
    <w:p>
      <w:pPr>
        <w:spacing w:after="0" w:line="107"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Every six years, we are required to conduct a non-binding stockholder advisory vote on the frequency of future say-on-pay votes. At our 2017 Annual Meeting of Stockholders, the highest number of votes was cast for conducting annual say-on pay votes. In light of this result and other factors considered, our Board has determined that we will hold annual say-on-pay votes. We are conducting our next required vote on the frequency of the say-on-pay votes at our 2023 Annual Meeting of Stockholders. The Board’s recommendation in this Proxy Statement is to continue to have annual say-on-pay votes.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Pay-for-Performance Alignment</w:t>
      </w:r>
    </w:p>
    <w:p>
      <w:pPr>
        <w:spacing w:after="0" w:line="107" w:lineRule="exact"/>
        <w:rPr>
          <w:sz w:val="20"/>
          <w:szCs w:val="20"/>
          <w:color w:val="auto"/>
        </w:rPr>
      </w:pPr>
    </w:p>
    <w:p>
      <w:pPr>
        <w:ind w:right="80"/>
        <w:spacing w:after="0"/>
        <w:rPr>
          <w:sz w:val="20"/>
          <w:szCs w:val="20"/>
          <w:color w:val="auto"/>
        </w:rPr>
      </w:pPr>
      <w:r>
        <w:rPr>
          <w:rFonts w:ascii="Arial" w:cs="Arial" w:eastAsia="Arial" w:hAnsi="Arial"/>
          <w:sz w:val="16"/>
          <w:szCs w:val="16"/>
          <w:color w:val="auto"/>
        </w:rPr>
        <w:t>Underlying our executive compensation program is a strong belief in promoting a pay-for-performance culture. As a result, the Compensation Committee designs the target total direct compensation of our executive officers, including our Named Executive Officers, so that a significant portion of each executive officer’s overall compensation opportunity is linked to our annual financial performance through our annual incentive plan and our long-term relative total shareholder return through performance-based equity awards. In addition, the Compensation Committee seeks to set challenging thresholds and target performance levels for each of the metrics used in our incentive compensation plans to help ensure that the amounts earned are based upon outstanding performance as measured against pre-established financial, operational and strategic objectives.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At-Risk Incentives Align Executive Officer and Stockholder Interests</w:t>
      </w:r>
    </w:p>
    <w:p>
      <w:pPr>
        <w:spacing w:after="0" w:line="107"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pay mix of the target total direct compensation for our Former CEO (who served in that role for most of 2022) and our other Named Executive Officers (other than our Interim CEO) for 2022 reflects this pay-for-performance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130175</wp:posOffset>
            </wp:positionV>
            <wp:extent cx="5493385" cy="17430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93385" cy="174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hanging="278"/>
        <w:spacing w:after="0"/>
        <w:tabs>
          <w:tab w:leader="none" w:pos="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Excludes Interim CEO, and pay mix excludes special promotion RSU awards for our CRO and CPO.</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49</w:t>
      </w:r>
    </w:p>
    <w:p>
      <w:pPr>
        <w:sectPr>
          <w:pgSz w:w="11900" w:h="16838" w:orient="portrait"/>
          <w:cols w:equalWidth="0" w:num="1">
            <w:col w:w="9320"/>
          </w:cols>
          <w:pgMar w:left="1280" w:top="285" w:right="1299" w:bottom="1440" w:gutter="0" w:footer="0" w:header="0"/>
        </w:sectPr>
      </w:pPr>
    </w:p>
    <w:bookmarkStart w:id="55" w:name="page56"/>
    <w:bookmarkEnd w:id="55"/>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Executive Compensation-Related Policies and Practices</w:t>
      </w:r>
    </w:p>
    <w:p>
      <w:pPr>
        <w:spacing w:after="0" w:line="123" w:lineRule="exact"/>
        <w:rPr>
          <w:sz w:val="20"/>
          <w:szCs w:val="20"/>
          <w:color w:val="auto"/>
        </w:rPr>
      </w:pPr>
    </w:p>
    <w:p>
      <w:pPr>
        <w:jc w:val="both"/>
        <w:ind w:right="100"/>
        <w:spacing w:after="0" w:line="249" w:lineRule="auto"/>
        <w:rPr>
          <w:sz w:val="20"/>
          <w:szCs w:val="20"/>
          <w:color w:val="auto"/>
        </w:rPr>
      </w:pPr>
      <w:r>
        <w:rPr>
          <w:rFonts w:ascii="Arial" w:cs="Arial" w:eastAsia="Arial" w:hAnsi="Arial"/>
          <w:sz w:val="16"/>
          <w:szCs w:val="16"/>
          <w:color w:val="auto"/>
        </w:rPr>
        <w:t>We endeavor to maintain sound executive compensation policies and practices, including compensation-related corporate governance standards, consistent with our executive compensation philosophy. The following summarizes our executive compensation and related governance policies and practices: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shd w:val="clear" w:color="auto" w:fill="284993"/>
          </w:tcPr>
          <w:p>
            <w:pPr>
              <w:spacing w:after="0"/>
              <w:rPr>
                <w:sz w:val="16"/>
                <w:szCs w:val="16"/>
                <w:color w:val="auto"/>
              </w:rPr>
            </w:pPr>
          </w:p>
        </w:tc>
        <w:tc>
          <w:tcPr>
            <w:tcW w:w="5440" w:type="dxa"/>
            <w:vAlign w:val="bottom"/>
            <w:shd w:val="clear" w:color="auto" w:fill="284993"/>
          </w:tcPr>
          <w:p>
            <w:pPr>
              <w:ind w:left="2260"/>
              <w:spacing w:after="0"/>
              <w:rPr>
                <w:sz w:val="20"/>
                <w:szCs w:val="20"/>
                <w:color w:val="auto"/>
              </w:rPr>
            </w:pPr>
            <w:r>
              <w:rPr>
                <w:rFonts w:ascii="Arial" w:cs="Arial" w:eastAsia="Arial" w:hAnsi="Arial"/>
                <w:sz w:val="16"/>
                <w:szCs w:val="16"/>
                <w:b w:val="1"/>
                <w:bCs w:val="1"/>
                <w:color w:val="FFFFFF"/>
              </w:rPr>
              <w:t>What We Do</w:t>
            </w:r>
          </w:p>
        </w:tc>
      </w:tr>
      <w:tr>
        <w:trPr>
          <w:trHeight w:val="182"/>
        </w:trPr>
        <w:tc>
          <w:tcPr>
            <w:tcW w:w="3880" w:type="dxa"/>
            <w:vAlign w:val="bottom"/>
          </w:tcPr>
          <w:p>
            <w:pPr>
              <w:ind w:left="80"/>
              <w:spacing w:after="0" w:line="182" w:lineRule="exact"/>
              <w:rPr>
                <w:sz w:val="20"/>
                <w:szCs w:val="20"/>
                <w:color w:val="auto"/>
              </w:rPr>
            </w:pPr>
            <w:r>
              <w:rPr>
                <w:rFonts w:ascii="Arial" w:cs="Arial" w:eastAsia="Arial" w:hAnsi="Arial"/>
                <w:sz w:val="16"/>
                <w:szCs w:val="16"/>
                <w:b w:val="1"/>
                <w:bCs w:val="1"/>
                <w:color w:val="284993"/>
              </w:rPr>
              <w:t>•  Use a Pay-for-Performance Philosophy</w:t>
            </w:r>
          </w:p>
        </w:tc>
        <w:tc>
          <w:tcPr>
            <w:tcW w:w="5440" w:type="dxa"/>
            <w:vAlign w:val="bottom"/>
          </w:tcPr>
          <w:p>
            <w:pPr>
              <w:ind w:left="240"/>
              <w:spacing w:after="0" w:line="182" w:lineRule="exact"/>
              <w:rPr>
                <w:sz w:val="20"/>
                <w:szCs w:val="20"/>
                <w:color w:val="auto"/>
              </w:rPr>
            </w:pPr>
            <w:r>
              <w:rPr>
                <w:rFonts w:ascii="Arial" w:cs="Arial" w:eastAsia="Arial" w:hAnsi="Arial"/>
                <w:sz w:val="16"/>
                <w:szCs w:val="16"/>
                <w:color w:val="auto"/>
              </w:rPr>
              <w:t>A significant portion of our Named Executive Officers’ compensation</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(and, for 2022, approximately 63% of our Former CEO’s compensation)</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is directly linked to our performance; we also structure their target total</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direct compensation with a significant long-term equity component,</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thereby making a substantial portion of each Named Executive Officer’s</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target total direct compensation dependent upon our stock price and/or</w:t>
            </w:r>
          </w:p>
        </w:tc>
      </w:tr>
      <w:tr>
        <w:trPr>
          <w:trHeight w:val="193"/>
        </w:trPr>
        <w:tc>
          <w:tcPr>
            <w:tcW w:w="3880" w:type="dxa"/>
            <w:vAlign w:val="bottom"/>
            <w:tcBorders>
              <w:bottom w:val="single" w:sz="8" w:color="284993"/>
            </w:tcBorders>
          </w:tcPr>
          <w:p>
            <w:pPr>
              <w:spacing w:after="0"/>
              <w:rPr>
                <w:sz w:val="16"/>
                <w:szCs w:val="16"/>
                <w:color w:val="auto"/>
              </w:rPr>
            </w:pPr>
          </w:p>
        </w:tc>
        <w:tc>
          <w:tcPr>
            <w:tcW w:w="544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total shareholder return.</w:t>
            </w:r>
          </w:p>
        </w:tc>
      </w:tr>
      <w:tr>
        <w:trPr>
          <w:trHeight w:val="162"/>
        </w:trPr>
        <w:tc>
          <w:tcPr>
            <w:tcW w:w="3880" w:type="dxa"/>
            <w:vAlign w:val="bottom"/>
          </w:tcPr>
          <w:p>
            <w:pPr>
              <w:ind w:left="80"/>
              <w:spacing w:after="0" w:line="162" w:lineRule="exact"/>
              <w:rPr>
                <w:sz w:val="20"/>
                <w:szCs w:val="20"/>
                <w:color w:val="auto"/>
              </w:rPr>
            </w:pPr>
            <w:r>
              <w:rPr>
                <w:rFonts w:ascii="Arial" w:cs="Arial" w:eastAsia="Arial" w:hAnsi="Arial"/>
                <w:sz w:val="16"/>
                <w:szCs w:val="16"/>
                <w:b w:val="1"/>
                <w:bCs w:val="1"/>
                <w:color w:val="284993"/>
              </w:rPr>
              <w:t>•  Performance-Based Equity Awards</w:t>
            </w:r>
          </w:p>
        </w:tc>
        <w:tc>
          <w:tcPr>
            <w:tcW w:w="5440" w:type="dxa"/>
            <w:vAlign w:val="bottom"/>
          </w:tcPr>
          <w:p>
            <w:pPr>
              <w:ind w:left="240"/>
              <w:spacing w:after="0" w:line="162" w:lineRule="exact"/>
              <w:rPr>
                <w:sz w:val="20"/>
                <w:szCs w:val="20"/>
                <w:color w:val="auto"/>
              </w:rPr>
            </w:pPr>
            <w:r>
              <w:rPr>
                <w:rFonts w:ascii="Arial" w:cs="Arial" w:eastAsia="Arial" w:hAnsi="Arial"/>
                <w:sz w:val="16"/>
                <w:szCs w:val="16"/>
                <w:color w:val="auto"/>
              </w:rPr>
              <w:t>Our Former CEO and our other Named Executive Officers (other than</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the Interim CEO) received performance-based equity awards. In 2022,</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approximately 65% of our Former CEO’s and approximately 50% of our</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other Named Executive Officer’s (other than the Interim CEO’s) regular</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annual long-term incentive awards consisted of rTSR Performance</w:t>
            </w:r>
          </w:p>
        </w:tc>
      </w:tr>
      <w:tr>
        <w:trPr>
          <w:trHeight w:val="193"/>
        </w:trPr>
        <w:tc>
          <w:tcPr>
            <w:tcW w:w="3880" w:type="dxa"/>
            <w:vAlign w:val="bottom"/>
            <w:tcBorders>
              <w:bottom w:val="single" w:sz="8" w:color="284993"/>
            </w:tcBorders>
          </w:tcPr>
          <w:p>
            <w:pPr>
              <w:spacing w:after="0"/>
              <w:rPr>
                <w:sz w:val="16"/>
                <w:szCs w:val="16"/>
                <w:color w:val="auto"/>
              </w:rPr>
            </w:pPr>
          </w:p>
        </w:tc>
        <w:tc>
          <w:tcPr>
            <w:tcW w:w="544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Share Awards.</w:t>
            </w:r>
          </w:p>
        </w:tc>
      </w:tr>
      <w:tr>
        <w:trPr>
          <w:trHeight w:val="173"/>
        </w:trPr>
        <w:tc>
          <w:tcPr>
            <w:tcW w:w="3880" w:type="dxa"/>
            <w:vAlign w:val="bottom"/>
          </w:tcPr>
          <w:p>
            <w:pPr>
              <w:ind w:left="80"/>
              <w:spacing w:after="0" w:line="173" w:lineRule="exact"/>
              <w:rPr>
                <w:sz w:val="20"/>
                <w:szCs w:val="20"/>
                <w:color w:val="auto"/>
              </w:rPr>
            </w:pPr>
            <w:r>
              <w:rPr>
                <w:rFonts w:ascii="Arial" w:cs="Arial" w:eastAsia="Arial" w:hAnsi="Arial"/>
                <w:sz w:val="16"/>
                <w:szCs w:val="16"/>
                <w:b w:val="1"/>
                <w:bCs w:val="1"/>
                <w:color w:val="284993"/>
              </w:rPr>
              <w:t>•  “Double-Trigger” Change in Control</w:t>
            </w:r>
          </w:p>
        </w:tc>
        <w:tc>
          <w:tcPr>
            <w:tcW w:w="5440" w:type="dxa"/>
            <w:vAlign w:val="bottom"/>
          </w:tcPr>
          <w:p>
            <w:pPr>
              <w:ind w:left="240"/>
              <w:spacing w:after="0" w:line="173" w:lineRule="exact"/>
              <w:rPr>
                <w:sz w:val="20"/>
                <w:szCs w:val="20"/>
                <w:color w:val="auto"/>
              </w:rPr>
            </w:pPr>
            <w:r>
              <w:rPr>
                <w:rFonts w:ascii="Arial" w:cs="Arial" w:eastAsia="Arial" w:hAnsi="Arial"/>
                <w:sz w:val="16"/>
                <w:szCs w:val="16"/>
                <w:color w:val="auto"/>
              </w:rPr>
              <w:t>Our change in control compensation arrangements include a “double-</w:t>
            </w:r>
          </w:p>
        </w:tc>
      </w:tr>
      <w:tr>
        <w:trPr>
          <w:trHeight w:val="183"/>
        </w:trPr>
        <w:tc>
          <w:tcPr>
            <w:tcW w:w="3880" w:type="dxa"/>
            <w:vAlign w:val="bottom"/>
          </w:tcPr>
          <w:p>
            <w:pPr>
              <w:ind w:left="240"/>
              <w:spacing w:after="0"/>
              <w:rPr>
                <w:sz w:val="20"/>
                <w:szCs w:val="20"/>
                <w:color w:val="auto"/>
              </w:rPr>
            </w:pPr>
            <w:r>
              <w:rPr>
                <w:rFonts w:ascii="Arial" w:cs="Arial" w:eastAsia="Arial" w:hAnsi="Arial"/>
                <w:sz w:val="16"/>
                <w:szCs w:val="16"/>
                <w:b w:val="1"/>
                <w:bCs w:val="1"/>
                <w:color w:val="284993"/>
              </w:rPr>
              <w:t>Arrangements</w:t>
            </w:r>
          </w:p>
        </w:tc>
        <w:tc>
          <w:tcPr>
            <w:tcW w:w="5440" w:type="dxa"/>
            <w:vAlign w:val="bottom"/>
          </w:tcPr>
          <w:p>
            <w:pPr>
              <w:ind w:left="240"/>
              <w:spacing w:after="0"/>
              <w:rPr>
                <w:sz w:val="20"/>
                <w:szCs w:val="20"/>
                <w:color w:val="auto"/>
              </w:rPr>
            </w:pPr>
            <w:r>
              <w:rPr>
                <w:rFonts w:ascii="Arial" w:cs="Arial" w:eastAsia="Arial" w:hAnsi="Arial"/>
                <w:sz w:val="16"/>
                <w:szCs w:val="16"/>
                <w:color w:val="auto"/>
              </w:rPr>
              <w:t>trigger” provision that requires both a change in control of the Company</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plus a qualifying termination of employment before payments and</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benefits are paid. All outstanding unvested equity awards, and it is our</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expectation that all future equity awards will, have a “double- trigger”</w:t>
            </w:r>
          </w:p>
        </w:tc>
      </w:tr>
      <w:tr>
        <w:trPr>
          <w:trHeight w:val="193"/>
        </w:trPr>
        <w:tc>
          <w:tcPr>
            <w:tcW w:w="3880" w:type="dxa"/>
            <w:vAlign w:val="bottom"/>
            <w:tcBorders>
              <w:bottom w:val="single" w:sz="8" w:color="284993"/>
            </w:tcBorders>
          </w:tcPr>
          <w:p>
            <w:pPr>
              <w:spacing w:after="0"/>
              <w:rPr>
                <w:sz w:val="16"/>
                <w:szCs w:val="16"/>
                <w:color w:val="auto"/>
              </w:rPr>
            </w:pPr>
          </w:p>
        </w:tc>
        <w:tc>
          <w:tcPr>
            <w:tcW w:w="544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provision.</w:t>
            </w:r>
          </w:p>
        </w:tc>
      </w:tr>
      <w:tr>
        <w:trPr>
          <w:trHeight w:val="160"/>
        </w:trPr>
        <w:tc>
          <w:tcPr>
            <w:tcW w:w="3880" w:type="dxa"/>
            <w:vAlign w:val="bottom"/>
          </w:tcPr>
          <w:p>
            <w:pPr>
              <w:ind w:left="80"/>
              <w:spacing w:after="0" w:line="160" w:lineRule="exact"/>
              <w:rPr>
                <w:sz w:val="20"/>
                <w:szCs w:val="20"/>
                <w:color w:val="auto"/>
              </w:rPr>
            </w:pPr>
            <w:r>
              <w:rPr>
                <w:rFonts w:ascii="Arial" w:cs="Arial" w:eastAsia="Arial" w:hAnsi="Arial"/>
                <w:sz w:val="16"/>
                <w:szCs w:val="16"/>
                <w:b w:val="1"/>
                <w:bCs w:val="1"/>
                <w:color w:val="284993"/>
              </w:rPr>
              <w:t>•  Maintain an Independent Compensation</w:t>
            </w:r>
          </w:p>
        </w:tc>
        <w:tc>
          <w:tcPr>
            <w:tcW w:w="5440" w:type="dxa"/>
            <w:vAlign w:val="bottom"/>
          </w:tcPr>
          <w:p>
            <w:pPr>
              <w:ind w:left="240"/>
              <w:spacing w:after="0" w:line="160" w:lineRule="exact"/>
              <w:rPr>
                <w:sz w:val="20"/>
                <w:szCs w:val="20"/>
                <w:color w:val="auto"/>
              </w:rPr>
            </w:pPr>
            <w:r>
              <w:rPr>
                <w:rFonts w:ascii="Arial" w:cs="Arial" w:eastAsia="Arial" w:hAnsi="Arial"/>
                <w:sz w:val="16"/>
                <w:szCs w:val="16"/>
                <w:color w:val="auto"/>
              </w:rPr>
              <w:t>The Compensation Committee consists solely of independent directors.</w:t>
            </w:r>
          </w:p>
        </w:tc>
      </w:tr>
      <w:tr>
        <w:trPr>
          <w:trHeight w:val="195"/>
        </w:trPr>
        <w:tc>
          <w:tcPr>
            <w:tcW w:w="3880" w:type="dxa"/>
            <w:vAlign w:val="bottom"/>
            <w:tcBorders>
              <w:bottom w:val="single" w:sz="8" w:color="284993"/>
            </w:tcBorders>
          </w:tcPr>
          <w:p>
            <w:pPr>
              <w:ind w:left="240"/>
              <w:spacing w:after="0"/>
              <w:rPr>
                <w:sz w:val="20"/>
                <w:szCs w:val="20"/>
                <w:color w:val="auto"/>
              </w:rPr>
            </w:pPr>
            <w:r>
              <w:rPr>
                <w:rFonts w:ascii="Arial" w:cs="Arial" w:eastAsia="Arial" w:hAnsi="Arial"/>
                <w:sz w:val="16"/>
                <w:szCs w:val="16"/>
                <w:b w:val="1"/>
                <w:bCs w:val="1"/>
                <w:color w:val="284993"/>
              </w:rPr>
              <w:t>Committee</w:t>
            </w:r>
          </w:p>
        </w:tc>
        <w:tc>
          <w:tcPr>
            <w:tcW w:w="5440" w:type="dxa"/>
            <w:vAlign w:val="bottom"/>
            <w:tcBorders>
              <w:bottom w:val="single" w:sz="8" w:color="284993"/>
            </w:tcBorders>
          </w:tcPr>
          <w:p>
            <w:pPr>
              <w:spacing w:after="0"/>
              <w:rPr>
                <w:sz w:val="17"/>
                <w:szCs w:val="17"/>
                <w:color w:val="auto"/>
              </w:rPr>
            </w:pPr>
          </w:p>
        </w:tc>
      </w:tr>
      <w:tr>
        <w:trPr>
          <w:trHeight w:val="162"/>
        </w:trPr>
        <w:tc>
          <w:tcPr>
            <w:tcW w:w="3880" w:type="dxa"/>
            <w:vAlign w:val="bottom"/>
          </w:tcPr>
          <w:p>
            <w:pPr>
              <w:ind w:left="80"/>
              <w:spacing w:after="0" w:line="162" w:lineRule="exact"/>
              <w:rPr>
                <w:sz w:val="20"/>
                <w:szCs w:val="20"/>
                <w:color w:val="auto"/>
              </w:rPr>
            </w:pPr>
            <w:r>
              <w:rPr>
                <w:rFonts w:ascii="Arial" w:cs="Arial" w:eastAsia="Arial" w:hAnsi="Arial"/>
                <w:sz w:val="16"/>
                <w:szCs w:val="16"/>
                <w:b w:val="1"/>
                <w:bCs w:val="1"/>
                <w:color w:val="284993"/>
              </w:rPr>
              <w:t>•  Compensation Recovery (“Clawback”) Policy</w:t>
            </w:r>
          </w:p>
        </w:tc>
        <w:tc>
          <w:tcPr>
            <w:tcW w:w="5440" w:type="dxa"/>
            <w:vAlign w:val="bottom"/>
          </w:tcPr>
          <w:p>
            <w:pPr>
              <w:ind w:left="240"/>
              <w:spacing w:after="0" w:line="162" w:lineRule="exact"/>
              <w:rPr>
                <w:sz w:val="20"/>
                <w:szCs w:val="20"/>
                <w:color w:val="auto"/>
              </w:rPr>
            </w:pPr>
            <w:r>
              <w:rPr>
                <w:rFonts w:ascii="Arial" w:cs="Arial" w:eastAsia="Arial" w:hAnsi="Arial"/>
                <w:sz w:val="16"/>
                <w:szCs w:val="16"/>
                <w:color w:val="auto"/>
              </w:rPr>
              <w:t>We have a policy providing for the recovery of annual cash incentive</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compensation and any equity awards from our CEO and other</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executive officers (including our other Named Executive Officers) if</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(i) we restate our financial statements due to a material noncompliance</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with federal securities laws due in whole or in part to an employee, or</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(ii) it is determined that an employee has engaged in misconduct in the</w:t>
            </w:r>
          </w:p>
        </w:tc>
      </w:tr>
      <w:tr>
        <w:trPr>
          <w:trHeight w:val="193"/>
        </w:trPr>
        <w:tc>
          <w:tcPr>
            <w:tcW w:w="3880" w:type="dxa"/>
            <w:vAlign w:val="bottom"/>
            <w:tcBorders>
              <w:bottom w:val="single" w:sz="8" w:color="284993"/>
            </w:tcBorders>
          </w:tcPr>
          <w:p>
            <w:pPr>
              <w:spacing w:after="0"/>
              <w:rPr>
                <w:sz w:val="16"/>
                <w:szCs w:val="16"/>
                <w:color w:val="auto"/>
              </w:rPr>
            </w:pPr>
          </w:p>
        </w:tc>
        <w:tc>
          <w:tcPr>
            <w:tcW w:w="544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course of his or her employment.</w:t>
            </w:r>
          </w:p>
        </w:tc>
      </w:tr>
      <w:tr>
        <w:trPr>
          <w:trHeight w:val="162"/>
        </w:trPr>
        <w:tc>
          <w:tcPr>
            <w:tcW w:w="3880" w:type="dxa"/>
            <w:vAlign w:val="bottom"/>
          </w:tcPr>
          <w:p>
            <w:pPr>
              <w:ind w:left="80"/>
              <w:spacing w:after="0" w:line="162" w:lineRule="exact"/>
              <w:rPr>
                <w:sz w:val="20"/>
                <w:szCs w:val="20"/>
                <w:color w:val="auto"/>
              </w:rPr>
            </w:pPr>
            <w:r>
              <w:rPr>
                <w:rFonts w:ascii="Arial" w:cs="Arial" w:eastAsia="Arial" w:hAnsi="Arial"/>
                <w:sz w:val="16"/>
                <w:szCs w:val="16"/>
                <w:b w:val="1"/>
                <w:bCs w:val="1"/>
                <w:color w:val="284993"/>
              </w:rPr>
              <w:t>•  Stock Ownership Guidelines</w:t>
            </w:r>
          </w:p>
        </w:tc>
        <w:tc>
          <w:tcPr>
            <w:tcW w:w="5440" w:type="dxa"/>
            <w:vAlign w:val="bottom"/>
          </w:tcPr>
          <w:p>
            <w:pPr>
              <w:ind w:left="240"/>
              <w:spacing w:after="0" w:line="162" w:lineRule="exact"/>
              <w:rPr>
                <w:sz w:val="20"/>
                <w:szCs w:val="20"/>
                <w:color w:val="auto"/>
              </w:rPr>
            </w:pPr>
            <w:r>
              <w:rPr>
                <w:rFonts w:ascii="Arial" w:cs="Arial" w:eastAsia="Arial" w:hAnsi="Arial"/>
                <w:sz w:val="16"/>
                <w:szCs w:val="16"/>
                <w:color w:val="auto"/>
              </w:rPr>
              <w:t>We maintain stock ownership guidelines for our CEO, our other</w:t>
            </w:r>
          </w:p>
        </w:tc>
      </w:tr>
      <w:tr>
        <w:trPr>
          <w:trHeight w:val="193"/>
        </w:trPr>
        <w:tc>
          <w:tcPr>
            <w:tcW w:w="3880" w:type="dxa"/>
            <w:vAlign w:val="bottom"/>
            <w:tcBorders>
              <w:bottom w:val="single" w:sz="8" w:color="284993"/>
            </w:tcBorders>
          </w:tcPr>
          <w:p>
            <w:pPr>
              <w:spacing w:after="0"/>
              <w:rPr>
                <w:sz w:val="16"/>
                <w:szCs w:val="16"/>
                <w:color w:val="auto"/>
              </w:rPr>
            </w:pPr>
          </w:p>
        </w:tc>
        <w:tc>
          <w:tcPr>
            <w:tcW w:w="544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executive officers, and the non-employee members of our Board.</w:t>
            </w:r>
          </w:p>
        </w:tc>
      </w:tr>
      <w:tr>
        <w:trPr>
          <w:trHeight w:val="173"/>
        </w:trPr>
        <w:tc>
          <w:tcPr>
            <w:tcW w:w="3880" w:type="dxa"/>
            <w:vAlign w:val="bottom"/>
          </w:tcPr>
          <w:p>
            <w:pPr>
              <w:ind w:left="80"/>
              <w:spacing w:after="0" w:line="173" w:lineRule="exact"/>
              <w:rPr>
                <w:sz w:val="20"/>
                <w:szCs w:val="20"/>
                <w:color w:val="auto"/>
              </w:rPr>
            </w:pPr>
            <w:r>
              <w:rPr>
                <w:rFonts w:ascii="Arial" w:cs="Arial" w:eastAsia="Arial" w:hAnsi="Arial"/>
                <w:sz w:val="16"/>
                <w:szCs w:val="16"/>
                <w:b w:val="1"/>
                <w:bCs w:val="1"/>
                <w:color w:val="284993"/>
              </w:rPr>
              <w:t>•  Conduct an Annual Stockholder Advisory Vote</w:t>
            </w:r>
          </w:p>
        </w:tc>
        <w:tc>
          <w:tcPr>
            <w:tcW w:w="5440" w:type="dxa"/>
            <w:vAlign w:val="bottom"/>
          </w:tcPr>
          <w:p>
            <w:pPr>
              <w:ind w:left="240"/>
              <w:spacing w:after="0" w:line="173" w:lineRule="exact"/>
              <w:rPr>
                <w:sz w:val="20"/>
                <w:szCs w:val="20"/>
                <w:color w:val="auto"/>
              </w:rPr>
            </w:pPr>
            <w:r>
              <w:rPr>
                <w:rFonts w:ascii="Arial" w:cs="Arial" w:eastAsia="Arial" w:hAnsi="Arial"/>
                <w:sz w:val="16"/>
                <w:szCs w:val="16"/>
                <w:color w:val="auto"/>
              </w:rPr>
              <w:t>We conduct an annual stockholder advisory vote on the compensation</w:t>
            </w:r>
          </w:p>
        </w:tc>
      </w:tr>
      <w:tr>
        <w:trPr>
          <w:trHeight w:val="195"/>
        </w:trPr>
        <w:tc>
          <w:tcPr>
            <w:tcW w:w="3880" w:type="dxa"/>
            <w:vAlign w:val="bottom"/>
            <w:tcBorders>
              <w:bottom w:val="single" w:sz="8" w:color="284993"/>
            </w:tcBorders>
          </w:tcPr>
          <w:p>
            <w:pPr>
              <w:ind w:left="240"/>
              <w:spacing w:after="0"/>
              <w:rPr>
                <w:sz w:val="20"/>
                <w:szCs w:val="20"/>
                <w:color w:val="auto"/>
              </w:rPr>
            </w:pPr>
            <w:r>
              <w:rPr>
                <w:rFonts w:ascii="Arial" w:cs="Arial" w:eastAsia="Arial" w:hAnsi="Arial"/>
                <w:sz w:val="16"/>
                <w:szCs w:val="16"/>
                <w:b w:val="1"/>
                <w:bCs w:val="1"/>
                <w:color w:val="284993"/>
              </w:rPr>
              <w:t>on Named Executive Officer Compensation</w:t>
            </w:r>
          </w:p>
        </w:tc>
        <w:tc>
          <w:tcPr>
            <w:tcW w:w="544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of our Named Executive Officers.</w:t>
            </w:r>
          </w:p>
        </w:tc>
      </w:tr>
      <w:tr>
        <w:trPr>
          <w:trHeight w:val="162"/>
        </w:trPr>
        <w:tc>
          <w:tcPr>
            <w:tcW w:w="3880" w:type="dxa"/>
            <w:vAlign w:val="bottom"/>
          </w:tcPr>
          <w:p>
            <w:pPr>
              <w:ind w:left="80"/>
              <w:spacing w:after="0" w:line="162" w:lineRule="exact"/>
              <w:rPr>
                <w:sz w:val="20"/>
                <w:szCs w:val="20"/>
                <w:color w:val="auto"/>
              </w:rPr>
            </w:pPr>
            <w:r>
              <w:rPr>
                <w:rFonts w:ascii="Arial" w:cs="Arial" w:eastAsia="Arial" w:hAnsi="Arial"/>
                <w:sz w:val="16"/>
                <w:szCs w:val="16"/>
                <w:b w:val="1"/>
                <w:bCs w:val="1"/>
                <w:color w:val="284993"/>
              </w:rPr>
              <w:t>•  Retain an Independent Compensation Advisor</w:t>
            </w:r>
          </w:p>
        </w:tc>
        <w:tc>
          <w:tcPr>
            <w:tcW w:w="5440" w:type="dxa"/>
            <w:vAlign w:val="bottom"/>
          </w:tcPr>
          <w:p>
            <w:pPr>
              <w:ind w:left="240"/>
              <w:spacing w:after="0" w:line="162" w:lineRule="exact"/>
              <w:rPr>
                <w:sz w:val="20"/>
                <w:szCs w:val="20"/>
                <w:color w:val="auto"/>
              </w:rPr>
            </w:pPr>
            <w:r>
              <w:rPr>
                <w:rFonts w:ascii="Arial" w:cs="Arial" w:eastAsia="Arial" w:hAnsi="Arial"/>
                <w:sz w:val="16"/>
                <w:szCs w:val="16"/>
                <w:color w:val="auto"/>
              </w:rPr>
              <w:t>The Compensation Committee has engaged its own independent</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compensation advisor to provide information, analysis, and other advice</w:t>
            </w:r>
          </w:p>
        </w:tc>
      </w:tr>
      <w:tr>
        <w:trPr>
          <w:trHeight w:val="193"/>
        </w:trPr>
        <w:tc>
          <w:tcPr>
            <w:tcW w:w="3880" w:type="dxa"/>
            <w:vAlign w:val="bottom"/>
            <w:tcBorders>
              <w:bottom w:val="single" w:sz="8" w:color="284993"/>
            </w:tcBorders>
          </w:tcPr>
          <w:p>
            <w:pPr>
              <w:spacing w:after="0"/>
              <w:rPr>
                <w:sz w:val="16"/>
                <w:szCs w:val="16"/>
                <w:color w:val="auto"/>
              </w:rPr>
            </w:pPr>
          </w:p>
        </w:tc>
        <w:tc>
          <w:tcPr>
            <w:tcW w:w="544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on executive compensation independent of management.</w:t>
            </w:r>
          </w:p>
        </w:tc>
      </w:tr>
      <w:tr>
        <w:trPr>
          <w:trHeight w:val="162"/>
        </w:trPr>
        <w:tc>
          <w:tcPr>
            <w:tcW w:w="3880" w:type="dxa"/>
            <w:vAlign w:val="bottom"/>
          </w:tcPr>
          <w:p>
            <w:pPr>
              <w:ind w:left="80"/>
              <w:spacing w:after="0" w:line="162" w:lineRule="exact"/>
              <w:rPr>
                <w:sz w:val="20"/>
                <w:szCs w:val="20"/>
                <w:color w:val="auto"/>
              </w:rPr>
            </w:pPr>
            <w:r>
              <w:rPr>
                <w:rFonts w:ascii="Arial" w:cs="Arial" w:eastAsia="Arial" w:hAnsi="Arial"/>
                <w:sz w:val="16"/>
                <w:szCs w:val="16"/>
                <w:b w:val="1"/>
                <w:bCs w:val="1"/>
                <w:color w:val="284993"/>
              </w:rPr>
              <w:t>•  Annual Compensation Review</w:t>
            </w:r>
          </w:p>
        </w:tc>
        <w:tc>
          <w:tcPr>
            <w:tcW w:w="5440" w:type="dxa"/>
            <w:vAlign w:val="bottom"/>
          </w:tcPr>
          <w:p>
            <w:pPr>
              <w:ind w:left="240"/>
              <w:spacing w:after="0" w:line="162" w:lineRule="exact"/>
              <w:rPr>
                <w:sz w:val="20"/>
                <w:szCs w:val="20"/>
                <w:color w:val="auto"/>
              </w:rPr>
            </w:pPr>
            <w:r>
              <w:rPr>
                <w:rFonts w:ascii="Arial" w:cs="Arial" w:eastAsia="Arial" w:hAnsi="Arial"/>
                <w:sz w:val="16"/>
                <w:szCs w:val="16"/>
                <w:color w:val="auto"/>
              </w:rPr>
              <w:t>The Compensation Committee conducts an annual review of our</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compensation strategy, including a review of our compensation used for</w:t>
            </w:r>
          </w:p>
        </w:tc>
      </w:tr>
      <w:tr>
        <w:trPr>
          <w:trHeight w:val="193"/>
        </w:trPr>
        <w:tc>
          <w:tcPr>
            <w:tcW w:w="3880" w:type="dxa"/>
            <w:vAlign w:val="bottom"/>
            <w:tcBorders>
              <w:bottom w:val="single" w:sz="8" w:color="284993"/>
            </w:tcBorders>
          </w:tcPr>
          <w:p>
            <w:pPr>
              <w:spacing w:after="0"/>
              <w:rPr>
                <w:sz w:val="16"/>
                <w:szCs w:val="16"/>
                <w:color w:val="auto"/>
              </w:rPr>
            </w:pPr>
          </w:p>
        </w:tc>
        <w:tc>
          <w:tcPr>
            <w:tcW w:w="544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comparative purposes.</w:t>
            </w:r>
          </w:p>
        </w:tc>
      </w:tr>
      <w:tr>
        <w:trPr>
          <w:trHeight w:val="160"/>
        </w:trPr>
        <w:tc>
          <w:tcPr>
            <w:tcW w:w="3880" w:type="dxa"/>
            <w:vAlign w:val="bottom"/>
          </w:tcPr>
          <w:p>
            <w:pPr>
              <w:ind w:left="80"/>
              <w:spacing w:after="0" w:line="160" w:lineRule="exact"/>
              <w:rPr>
                <w:sz w:val="20"/>
                <w:szCs w:val="20"/>
                <w:color w:val="auto"/>
              </w:rPr>
            </w:pPr>
            <w:r>
              <w:rPr>
                <w:rFonts w:ascii="Arial" w:cs="Arial" w:eastAsia="Arial" w:hAnsi="Arial"/>
                <w:sz w:val="16"/>
                <w:szCs w:val="16"/>
                <w:b w:val="1"/>
                <w:bCs w:val="1"/>
                <w:color w:val="284993"/>
              </w:rPr>
              <w:t>•  Annual Compensation-Related Risk</w:t>
            </w:r>
          </w:p>
        </w:tc>
        <w:tc>
          <w:tcPr>
            <w:tcW w:w="5440" w:type="dxa"/>
            <w:vAlign w:val="bottom"/>
          </w:tcPr>
          <w:p>
            <w:pPr>
              <w:ind w:left="240"/>
              <w:spacing w:after="0" w:line="160" w:lineRule="exact"/>
              <w:rPr>
                <w:sz w:val="20"/>
                <w:szCs w:val="20"/>
                <w:color w:val="auto"/>
              </w:rPr>
            </w:pPr>
            <w:r>
              <w:rPr>
                <w:rFonts w:ascii="Arial" w:cs="Arial" w:eastAsia="Arial" w:hAnsi="Arial"/>
                <w:sz w:val="16"/>
                <w:szCs w:val="16"/>
                <w:color w:val="auto"/>
              </w:rPr>
              <w:t>The Compensation Committee regularly reviews our compensation-</w:t>
            </w:r>
          </w:p>
        </w:tc>
      </w:tr>
      <w:tr>
        <w:trPr>
          <w:trHeight w:val="195"/>
        </w:trPr>
        <w:tc>
          <w:tcPr>
            <w:tcW w:w="3880" w:type="dxa"/>
            <w:vAlign w:val="bottom"/>
            <w:tcBorders>
              <w:bottom w:val="single" w:sz="8" w:color="284993"/>
            </w:tcBorders>
          </w:tcPr>
          <w:p>
            <w:pPr>
              <w:ind w:left="240"/>
              <w:spacing w:after="0"/>
              <w:rPr>
                <w:sz w:val="20"/>
                <w:szCs w:val="20"/>
                <w:color w:val="auto"/>
              </w:rPr>
            </w:pPr>
            <w:r>
              <w:rPr>
                <w:rFonts w:ascii="Arial" w:cs="Arial" w:eastAsia="Arial" w:hAnsi="Arial"/>
                <w:sz w:val="16"/>
                <w:szCs w:val="16"/>
                <w:b w:val="1"/>
                <w:bCs w:val="1"/>
                <w:color w:val="284993"/>
              </w:rPr>
              <w:t>Assessment</w:t>
            </w:r>
          </w:p>
        </w:tc>
        <w:tc>
          <w:tcPr>
            <w:tcW w:w="544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related risk profile.</w:t>
            </w:r>
          </w:p>
        </w:tc>
      </w:tr>
      <w:tr>
        <w:trPr>
          <w:trHeight w:val="175"/>
        </w:trPr>
        <w:tc>
          <w:tcPr>
            <w:tcW w:w="3880" w:type="dxa"/>
            <w:vAlign w:val="bottom"/>
          </w:tcPr>
          <w:p>
            <w:pPr>
              <w:ind w:left="80"/>
              <w:spacing w:after="0" w:line="175" w:lineRule="exact"/>
              <w:rPr>
                <w:sz w:val="20"/>
                <w:szCs w:val="20"/>
                <w:color w:val="auto"/>
              </w:rPr>
            </w:pPr>
            <w:r>
              <w:rPr>
                <w:rFonts w:ascii="Arial" w:cs="Arial" w:eastAsia="Arial" w:hAnsi="Arial"/>
                <w:sz w:val="16"/>
                <w:szCs w:val="16"/>
                <w:b w:val="1"/>
                <w:bCs w:val="1"/>
                <w:color w:val="284993"/>
              </w:rPr>
              <w:t>•  Succession Planning</w:t>
            </w:r>
          </w:p>
        </w:tc>
        <w:tc>
          <w:tcPr>
            <w:tcW w:w="5440" w:type="dxa"/>
            <w:vAlign w:val="bottom"/>
          </w:tcPr>
          <w:p>
            <w:pPr>
              <w:ind w:left="240"/>
              <w:spacing w:after="0" w:line="175" w:lineRule="exact"/>
              <w:rPr>
                <w:sz w:val="20"/>
                <w:szCs w:val="20"/>
                <w:color w:val="auto"/>
              </w:rPr>
            </w:pPr>
            <w:r>
              <w:rPr>
                <w:rFonts w:ascii="Arial" w:cs="Arial" w:eastAsia="Arial" w:hAnsi="Arial"/>
                <w:sz w:val="16"/>
                <w:szCs w:val="16"/>
                <w:color w:val="auto"/>
              </w:rPr>
              <w:t>We have robust succession planning and executive assessment</w:t>
            </w:r>
          </w:p>
        </w:tc>
      </w:tr>
      <w:tr>
        <w:trPr>
          <w:trHeight w:val="193"/>
        </w:trPr>
        <w:tc>
          <w:tcPr>
            <w:tcW w:w="3880" w:type="dxa"/>
            <w:vAlign w:val="bottom"/>
            <w:tcBorders>
              <w:bottom w:val="single" w:sz="8" w:color="284993"/>
            </w:tcBorders>
          </w:tcPr>
          <w:p>
            <w:pPr>
              <w:spacing w:after="0"/>
              <w:rPr>
                <w:sz w:val="16"/>
                <w:szCs w:val="16"/>
                <w:color w:val="auto"/>
              </w:rPr>
            </w:pPr>
          </w:p>
        </w:tc>
        <w:tc>
          <w:tcPr>
            <w:tcW w:w="544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processes to ensure succession plans are in place.</w:t>
            </w:r>
          </w:p>
        </w:tc>
      </w:tr>
      <w:tr>
        <w:trPr>
          <w:trHeight w:val="173"/>
        </w:trPr>
        <w:tc>
          <w:tcPr>
            <w:tcW w:w="3880" w:type="dxa"/>
            <w:vAlign w:val="bottom"/>
          </w:tcPr>
          <w:p>
            <w:pPr>
              <w:ind w:left="80"/>
              <w:spacing w:after="0" w:line="173" w:lineRule="exact"/>
              <w:rPr>
                <w:sz w:val="20"/>
                <w:szCs w:val="20"/>
                <w:color w:val="auto"/>
              </w:rPr>
            </w:pPr>
            <w:r>
              <w:rPr>
                <w:rFonts w:ascii="Arial" w:cs="Arial" w:eastAsia="Arial" w:hAnsi="Arial"/>
                <w:sz w:val="16"/>
                <w:szCs w:val="16"/>
                <w:b w:val="1"/>
                <w:bCs w:val="1"/>
                <w:color w:val="284993"/>
              </w:rPr>
              <w:t>•  Balanced Time Horizon for Incentive</w:t>
            </w:r>
          </w:p>
        </w:tc>
        <w:tc>
          <w:tcPr>
            <w:tcW w:w="5440" w:type="dxa"/>
            <w:vAlign w:val="bottom"/>
          </w:tcPr>
          <w:p>
            <w:pPr>
              <w:ind w:left="240"/>
              <w:spacing w:after="0" w:line="173" w:lineRule="exact"/>
              <w:rPr>
                <w:sz w:val="20"/>
                <w:szCs w:val="20"/>
                <w:color w:val="auto"/>
              </w:rPr>
            </w:pPr>
            <w:r>
              <w:rPr>
                <w:rFonts w:ascii="Arial" w:cs="Arial" w:eastAsia="Arial" w:hAnsi="Arial"/>
                <w:sz w:val="16"/>
                <w:szCs w:val="16"/>
                <w:color w:val="auto"/>
              </w:rPr>
              <w:t>We have a balance of time horizons for our incentive awards, including</w:t>
            </w:r>
          </w:p>
        </w:tc>
      </w:tr>
      <w:tr>
        <w:trPr>
          <w:trHeight w:val="183"/>
        </w:trPr>
        <w:tc>
          <w:tcPr>
            <w:tcW w:w="3880" w:type="dxa"/>
            <w:vAlign w:val="bottom"/>
          </w:tcPr>
          <w:p>
            <w:pPr>
              <w:ind w:left="240"/>
              <w:spacing w:after="0"/>
              <w:rPr>
                <w:sz w:val="20"/>
                <w:szCs w:val="20"/>
                <w:color w:val="auto"/>
              </w:rPr>
            </w:pPr>
            <w:r>
              <w:rPr>
                <w:rFonts w:ascii="Arial" w:cs="Arial" w:eastAsia="Arial" w:hAnsi="Arial"/>
                <w:sz w:val="16"/>
                <w:szCs w:val="16"/>
                <w:b w:val="1"/>
                <w:bCs w:val="1"/>
                <w:color w:val="284993"/>
              </w:rPr>
              <w:t>Compensation</w:t>
            </w:r>
          </w:p>
        </w:tc>
        <w:tc>
          <w:tcPr>
            <w:tcW w:w="5440" w:type="dxa"/>
            <w:vAlign w:val="bottom"/>
          </w:tcPr>
          <w:p>
            <w:pPr>
              <w:ind w:left="240"/>
              <w:spacing w:after="0"/>
              <w:rPr>
                <w:sz w:val="20"/>
                <w:szCs w:val="20"/>
                <w:color w:val="auto"/>
              </w:rPr>
            </w:pPr>
            <w:r>
              <w:rPr>
                <w:rFonts w:ascii="Arial" w:cs="Arial" w:eastAsia="Arial" w:hAnsi="Arial"/>
                <w:sz w:val="16"/>
                <w:szCs w:val="16"/>
                <w:color w:val="auto"/>
              </w:rPr>
              <w:t>an annual cash incentive compensation plan, a three-year performance</w:t>
            </w:r>
          </w:p>
        </w:tc>
      </w:tr>
      <w:tr>
        <w:trPr>
          <w:trHeight w:val="181"/>
        </w:trPr>
        <w:tc>
          <w:tcPr>
            <w:tcW w:w="3880" w:type="dxa"/>
            <w:vAlign w:val="bottom"/>
          </w:tcPr>
          <w:p>
            <w:pPr>
              <w:spacing w:after="0"/>
              <w:rPr>
                <w:sz w:val="15"/>
                <w:szCs w:val="15"/>
                <w:color w:val="auto"/>
              </w:rPr>
            </w:pPr>
          </w:p>
        </w:tc>
        <w:tc>
          <w:tcPr>
            <w:tcW w:w="5440" w:type="dxa"/>
            <w:vAlign w:val="bottom"/>
          </w:tcPr>
          <w:p>
            <w:pPr>
              <w:ind w:left="240"/>
              <w:spacing w:after="0" w:line="181" w:lineRule="exact"/>
              <w:rPr>
                <w:sz w:val="20"/>
                <w:szCs w:val="20"/>
                <w:color w:val="auto"/>
              </w:rPr>
            </w:pPr>
            <w:r>
              <w:rPr>
                <w:rFonts w:ascii="Arial" w:cs="Arial" w:eastAsia="Arial" w:hAnsi="Arial"/>
                <w:sz w:val="16"/>
                <w:szCs w:val="16"/>
                <w:color w:val="auto"/>
              </w:rPr>
              <w:t>period for our LTIP performance share awards and a three-year vesting</w:t>
            </w:r>
          </w:p>
        </w:tc>
      </w:tr>
      <w:tr>
        <w:trPr>
          <w:trHeight w:val="193"/>
        </w:trPr>
        <w:tc>
          <w:tcPr>
            <w:tcW w:w="3880" w:type="dxa"/>
            <w:vAlign w:val="bottom"/>
            <w:tcBorders>
              <w:bottom w:val="single" w:sz="8" w:color="284993"/>
            </w:tcBorders>
          </w:tcPr>
          <w:p>
            <w:pPr>
              <w:spacing w:after="0"/>
              <w:rPr>
                <w:sz w:val="16"/>
                <w:szCs w:val="16"/>
                <w:color w:val="auto"/>
              </w:rPr>
            </w:pPr>
          </w:p>
        </w:tc>
        <w:tc>
          <w:tcPr>
            <w:tcW w:w="5440" w:type="dxa"/>
            <w:vAlign w:val="bottom"/>
            <w:tcBorders>
              <w:bottom w:val="single" w:sz="8" w:color="284993"/>
            </w:tcBorders>
          </w:tcPr>
          <w:p>
            <w:pPr>
              <w:ind w:left="240"/>
              <w:spacing w:after="0"/>
              <w:rPr>
                <w:sz w:val="20"/>
                <w:szCs w:val="20"/>
                <w:color w:val="auto"/>
              </w:rPr>
            </w:pPr>
            <w:r>
              <w:rPr>
                <w:rFonts w:ascii="Arial" w:cs="Arial" w:eastAsia="Arial" w:hAnsi="Arial"/>
                <w:sz w:val="16"/>
                <w:szCs w:val="16"/>
                <w:color w:val="auto"/>
              </w:rPr>
              <w:t>period for our RSU awards.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90170</wp:posOffset>
            </wp:positionV>
            <wp:extent cx="699135" cy="1314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50</w:t>
      </w:r>
    </w:p>
    <w:p>
      <w:pPr>
        <w:sectPr>
          <w:pgSz w:w="11900" w:h="16838" w:orient="portrait"/>
          <w:cols w:equalWidth="0" w:num="1">
            <w:col w:w="9320"/>
          </w:cols>
          <w:pgMar w:left="1280" w:top="285" w:right="12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7"/>
        </w:trPr>
        <w:tc>
          <w:tcPr>
            <w:tcW w:w="3740" w:type="dxa"/>
            <w:vAlign w:val="bottom"/>
            <w:shd w:val="clear" w:color="auto" w:fill="284993"/>
          </w:tcPr>
          <w:p>
            <w:pPr>
              <w:spacing w:after="0"/>
              <w:rPr>
                <w:sz w:val="17"/>
                <w:szCs w:val="17"/>
                <w:color w:val="auto"/>
              </w:rPr>
            </w:pPr>
          </w:p>
        </w:tc>
        <w:tc>
          <w:tcPr>
            <w:tcW w:w="5580" w:type="dxa"/>
            <w:vAlign w:val="bottom"/>
            <w:shd w:val="clear" w:color="auto" w:fill="284993"/>
          </w:tcPr>
          <w:p>
            <w:pPr>
              <w:ind w:left="2180"/>
              <w:spacing w:after="0"/>
              <w:rPr>
                <w:sz w:val="20"/>
                <w:szCs w:val="20"/>
                <w:color w:val="auto"/>
              </w:rPr>
            </w:pPr>
            <w:r>
              <w:rPr>
                <w:rFonts w:ascii="Arial" w:cs="Arial" w:eastAsia="Arial" w:hAnsi="Arial"/>
                <w:sz w:val="16"/>
                <w:szCs w:val="16"/>
                <w:b w:val="1"/>
                <w:bCs w:val="1"/>
                <w:color w:val="FFFFFF"/>
              </w:rPr>
              <w:t>What We Don’t Do</w:t>
            </w:r>
          </w:p>
        </w:tc>
      </w:tr>
      <w:tr>
        <w:trPr>
          <w:trHeight w:val="182"/>
        </w:trPr>
        <w:tc>
          <w:tcPr>
            <w:tcW w:w="3740" w:type="dxa"/>
            <w:vAlign w:val="bottom"/>
          </w:tcPr>
          <w:p>
            <w:pPr>
              <w:ind w:left="80"/>
              <w:spacing w:after="0" w:line="182" w:lineRule="exact"/>
              <w:rPr>
                <w:sz w:val="20"/>
                <w:szCs w:val="20"/>
                <w:color w:val="auto"/>
              </w:rPr>
            </w:pPr>
            <w:r>
              <w:rPr>
                <w:rFonts w:ascii="Arial" w:cs="Arial" w:eastAsia="Arial" w:hAnsi="Arial"/>
                <w:sz w:val="16"/>
                <w:szCs w:val="16"/>
                <w:b w:val="1"/>
                <w:bCs w:val="1"/>
                <w:color w:val="284993"/>
              </w:rPr>
              <w:t>•  No Special Retirement Plans</w:t>
            </w:r>
          </w:p>
        </w:tc>
        <w:tc>
          <w:tcPr>
            <w:tcW w:w="5580" w:type="dxa"/>
            <w:vAlign w:val="bottom"/>
          </w:tcPr>
          <w:p>
            <w:pPr>
              <w:ind w:left="380"/>
              <w:spacing w:after="0" w:line="182" w:lineRule="exact"/>
              <w:rPr>
                <w:sz w:val="20"/>
                <w:szCs w:val="20"/>
                <w:color w:val="auto"/>
              </w:rPr>
            </w:pPr>
            <w:r>
              <w:rPr>
                <w:rFonts w:ascii="Arial" w:cs="Arial" w:eastAsia="Arial" w:hAnsi="Arial"/>
                <w:sz w:val="16"/>
                <w:szCs w:val="16"/>
                <w:color w:val="auto"/>
              </w:rPr>
              <w:t>We do not currently offer pension arrangements or retirement plans to</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our executive officers other than the section 401(k) retirement plan that</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is available to all U.S. employees, although we do provide our</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executives with the ability to defer a portion of their compensation to be</w:t>
            </w:r>
          </w:p>
        </w:tc>
      </w:tr>
      <w:tr>
        <w:trPr>
          <w:trHeight w:val="193"/>
        </w:trPr>
        <w:tc>
          <w:tcPr>
            <w:tcW w:w="3740" w:type="dxa"/>
            <w:vAlign w:val="bottom"/>
            <w:tcBorders>
              <w:bottom w:val="single" w:sz="8" w:color="284993"/>
            </w:tcBorders>
          </w:tcPr>
          <w:p>
            <w:pPr>
              <w:spacing w:after="0"/>
              <w:rPr>
                <w:sz w:val="16"/>
                <w:szCs w:val="16"/>
                <w:color w:val="auto"/>
              </w:rPr>
            </w:pPr>
          </w:p>
        </w:tc>
        <w:tc>
          <w:tcPr>
            <w:tcW w:w="5580" w:type="dxa"/>
            <w:vAlign w:val="bottom"/>
            <w:tcBorders>
              <w:bottom w:val="single" w:sz="8" w:color="284993"/>
            </w:tcBorders>
          </w:tcPr>
          <w:p>
            <w:pPr>
              <w:ind w:left="380"/>
              <w:spacing w:after="0"/>
              <w:rPr>
                <w:sz w:val="20"/>
                <w:szCs w:val="20"/>
                <w:color w:val="auto"/>
              </w:rPr>
            </w:pPr>
            <w:r>
              <w:rPr>
                <w:rFonts w:ascii="Arial" w:cs="Arial" w:eastAsia="Arial" w:hAnsi="Arial"/>
                <w:sz w:val="16"/>
                <w:szCs w:val="16"/>
                <w:color w:val="auto"/>
              </w:rPr>
              <w:t>paid at the end of their services with us.</w:t>
            </w:r>
          </w:p>
        </w:tc>
      </w:tr>
      <w:tr>
        <w:trPr>
          <w:trHeight w:val="175"/>
        </w:trPr>
        <w:tc>
          <w:tcPr>
            <w:tcW w:w="3740" w:type="dxa"/>
            <w:vAlign w:val="bottom"/>
          </w:tcPr>
          <w:p>
            <w:pPr>
              <w:ind w:left="80"/>
              <w:spacing w:after="0" w:line="175" w:lineRule="exact"/>
              <w:rPr>
                <w:sz w:val="20"/>
                <w:szCs w:val="20"/>
                <w:color w:val="auto"/>
              </w:rPr>
            </w:pPr>
            <w:r>
              <w:rPr>
                <w:rFonts w:ascii="Arial" w:cs="Arial" w:eastAsia="Arial" w:hAnsi="Arial"/>
                <w:sz w:val="16"/>
                <w:szCs w:val="16"/>
                <w:b w:val="1"/>
                <w:bCs w:val="1"/>
                <w:color w:val="284993"/>
              </w:rPr>
              <w:t>•  No Guaranteed Bonuses</w:t>
            </w:r>
          </w:p>
        </w:tc>
        <w:tc>
          <w:tcPr>
            <w:tcW w:w="5580" w:type="dxa"/>
            <w:vAlign w:val="bottom"/>
          </w:tcPr>
          <w:p>
            <w:pPr>
              <w:ind w:left="380"/>
              <w:spacing w:after="0" w:line="175" w:lineRule="exact"/>
              <w:rPr>
                <w:sz w:val="20"/>
                <w:szCs w:val="20"/>
                <w:color w:val="auto"/>
              </w:rPr>
            </w:pPr>
            <w:r>
              <w:rPr>
                <w:rFonts w:ascii="Arial" w:cs="Arial" w:eastAsia="Arial" w:hAnsi="Arial"/>
                <w:sz w:val="16"/>
                <w:szCs w:val="16"/>
                <w:color w:val="auto"/>
              </w:rPr>
              <w:t>We do not provide guaranteed bonuses to our executive officers,</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except for new hire sign on bonuses to assist in attracting key</w:t>
            </w:r>
          </w:p>
        </w:tc>
      </w:tr>
      <w:tr>
        <w:trPr>
          <w:trHeight w:val="193"/>
        </w:trPr>
        <w:tc>
          <w:tcPr>
            <w:tcW w:w="3740" w:type="dxa"/>
            <w:vAlign w:val="bottom"/>
            <w:tcBorders>
              <w:bottom w:val="single" w:sz="8" w:color="284993"/>
            </w:tcBorders>
          </w:tcPr>
          <w:p>
            <w:pPr>
              <w:spacing w:after="0"/>
              <w:rPr>
                <w:sz w:val="16"/>
                <w:szCs w:val="16"/>
                <w:color w:val="auto"/>
              </w:rPr>
            </w:pPr>
          </w:p>
        </w:tc>
        <w:tc>
          <w:tcPr>
            <w:tcW w:w="5580" w:type="dxa"/>
            <w:vAlign w:val="bottom"/>
            <w:tcBorders>
              <w:bottom w:val="single" w:sz="8" w:color="284993"/>
            </w:tcBorders>
          </w:tcPr>
          <w:p>
            <w:pPr>
              <w:ind w:left="380"/>
              <w:spacing w:after="0"/>
              <w:rPr>
                <w:sz w:val="20"/>
                <w:szCs w:val="20"/>
                <w:color w:val="auto"/>
              </w:rPr>
            </w:pPr>
            <w:r>
              <w:rPr>
                <w:rFonts w:ascii="Arial" w:cs="Arial" w:eastAsia="Arial" w:hAnsi="Arial"/>
                <w:sz w:val="16"/>
                <w:szCs w:val="16"/>
                <w:color w:val="auto"/>
              </w:rPr>
              <w:t>executives.</w:t>
            </w:r>
          </w:p>
        </w:tc>
      </w:tr>
      <w:tr>
        <w:trPr>
          <w:trHeight w:val="175"/>
        </w:trPr>
        <w:tc>
          <w:tcPr>
            <w:tcW w:w="3740" w:type="dxa"/>
            <w:vAlign w:val="bottom"/>
          </w:tcPr>
          <w:p>
            <w:pPr>
              <w:ind w:left="80"/>
              <w:spacing w:after="0" w:line="175" w:lineRule="exact"/>
              <w:rPr>
                <w:sz w:val="20"/>
                <w:szCs w:val="20"/>
                <w:color w:val="auto"/>
              </w:rPr>
            </w:pPr>
            <w:r>
              <w:rPr>
                <w:rFonts w:ascii="Arial" w:cs="Arial" w:eastAsia="Arial" w:hAnsi="Arial"/>
                <w:sz w:val="16"/>
                <w:szCs w:val="16"/>
                <w:b w:val="1"/>
                <w:bCs w:val="1"/>
                <w:color w:val="284993"/>
              </w:rPr>
              <w:t>•  No Stock Option Re-Pricing</w:t>
            </w:r>
          </w:p>
        </w:tc>
        <w:tc>
          <w:tcPr>
            <w:tcW w:w="5580" w:type="dxa"/>
            <w:vAlign w:val="bottom"/>
          </w:tcPr>
          <w:p>
            <w:pPr>
              <w:ind w:left="380"/>
              <w:spacing w:after="0" w:line="175" w:lineRule="exact"/>
              <w:rPr>
                <w:sz w:val="20"/>
                <w:szCs w:val="20"/>
                <w:color w:val="auto"/>
              </w:rPr>
            </w:pPr>
            <w:r>
              <w:rPr>
                <w:rFonts w:ascii="Arial" w:cs="Arial" w:eastAsia="Arial" w:hAnsi="Arial"/>
                <w:sz w:val="16"/>
                <w:szCs w:val="16"/>
                <w:color w:val="auto"/>
              </w:rPr>
              <w:t>Our equity compensation plan does not permit stock options or stock</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appreciation rights to be repriced to a lower exercise or strike price</w:t>
            </w:r>
          </w:p>
        </w:tc>
      </w:tr>
      <w:tr>
        <w:trPr>
          <w:trHeight w:val="193"/>
        </w:trPr>
        <w:tc>
          <w:tcPr>
            <w:tcW w:w="3740" w:type="dxa"/>
            <w:vAlign w:val="bottom"/>
            <w:tcBorders>
              <w:bottom w:val="single" w:sz="8" w:color="284993"/>
            </w:tcBorders>
          </w:tcPr>
          <w:p>
            <w:pPr>
              <w:spacing w:after="0"/>
              <w:rPr>
                <w:sz w:val="16"/>
                <w:szCs w:val="16"/>
                <w:color w:val="auto"/>
              </w:rPr>
            </w:pPr>
          </w:p>
        </w:tc>
        <w:tc>
          <w:tcPr>
            <w:tcW w:w="5580" w:type="dxa"/>
            <w:vAlign w:val="bottom"/>
            <w:tcBorders>
              <w:bottom w:val="single" w:sz="8" w:color="284993"/>
            </w:tcBorders>
          </w:tcPr>
          <w:p>
            <w:pPr>
              <w:ind w:left="380"/>
              <w:spacing w:after="0"/>
              <w:rPr>
                <w:sz w:val="20"/>
                <w:szCs w:val="20"/>
                <w:color w:val="auto"/>
              </w:rPr>
            </w:pPr>
            <w:r>
              <w:rPr>
                <w:rFonts w:ascii="Arial" w:cs="Arial" w:eastAsia="Arial" w:hAnsi="Arial"/>
                <w:sz w:val="16"/>
                <w:szCs w:val="16"/>
                <w:color w:val="auto"/>
              </w:rPr>
              <w:t>without the approval of our stockholders.</w:t>
            </w:r>
          </w:p>
        </w:tc>
      </w:tr>
      <w:tr>
        <w:trPr>
          <w:trHeight w:val="173"/>
        </w:trPr>
        <w:tc>
          <w:tcPr>
            <w:tcW w:w="3740" w:type="dxa"/>
            <w:vAlign w:val="bottom"/>
          </w:tcPr>
          <w:p>
            <w:pPr>
              <w:ind w:left="80"/>
              <w:spacing w:after="0" w:line="173" w:lineRule="exact"/>
              <w:rPr>
                <w:sz w:val="20"/>
                <w:szCs w:val="20"/>
                <w:color w:val="auto"/>
              </w:rPr>
            </w:pPr>
            <w:r>
              <w:rPr>
                <w:rFonts w:ascii="Arial" w:cs="Arial" w:eastAsia="Arial" w:hAnsi="Arial"/>
                <w:sz w:val="16"/>
                <w:szCs w:val="16"/>
                <w:b w:val="1"/>
                <w:bCs w:val="1"/>
                <w:color w:val="284993"/>
              </w:rPr>
              <w:t>•  No “Single Trigger” Change in Control</w:t>
            </w:r>
          </w:p>
        </w:tc>
        <w:tc>
          <w:tcPr>
            <w:tcW w:w="5580" w:type="dxa"/>
            <w:vAlign w:val="bottom"/>
          </w:tcPr>
          <w:p>
            <w:pPr>
              <w:ind w:left="380"/>
              <w:spacing w:after="0" w:line="173" w:lineRule="exact"/>
              <w:rPr>
                <w:sz w:val="20"/>
                <w:szCs w:val="20"/>
                <w:color w:val="auto"/>
              </w:rPr>
            </w:pPr>
            <w:r>
              <w:rPr>
                <w:rFonts w:ascii="Arial" w:cs="Arial" w:eastAsia="Arial" w:hAnsi="Arial"/>
                <w:sz w:val="16"/>
                <w:szCs w:val="16"/>
                <w:color w:val="auto"/>
              </w:rPr>
              <w:t>We do not provide cash severance solely upon a change in control of</w:t>
            </w:r>
          </w:p>
        </w:tc>
      </w:tr>
      <w:tr>
        <w:trPr>
          <w:trHeight w:val="183"/>
        </w:trPr>
        <w:tc>
          <w:tcPr>
            <w:tcW w:w="3740" w:type="dxa"/>
            <w:vAlign w:val="bottom"/>
          </w:tcPr>
          <w:p>
            <w:pPr>
              <w:ind w:left="240"/>
              <w:spacing w:after="0"/>
              <w:rPr>
                <w:sz w:val="20"/>
                <w:szCs w:val="20"/>
                <w:color w:val="auto"/>
              </w:rPr>
            </w:pPr>
            <w:r>
              <w:rPr>
                <w:rFonts w:ascii="Arial" w:cs="Arial" w:eastAsia="Arial" w:hAnsi="Arial"/>
                <w:sz w:val="16"/>
                <w:szCs w:val="16"/>
                <w:b w:val="1"/>
                <w:bCs w:val="1"/>
                <w:color w:val="284993"/>
              </w:rPr>
              <w:t>Arrangements</w:t>
            </w:r>
          </w:p>
        </w:tc>
        <w:tc>
          <w:tcPr>
            <w:tcW w:w="5580" w:type="dxa"/>
            <w:vAlign w:val="bottom"/>
          </w:tcPr>
          <w:p>
            <w:pPr>
              <w:ind w:left="380"/>
              <w:spacing w:after="0"/>
              <w:rPr>
                <w:sz w:val="20"/>
                <w:szCs w:val="20"/>
                <w:color w:val="auto"/>
              </w:rPr>
            </w:pPr>
            <w:r>
              <w:rPr>
                <w:rFonts w:ascii="Arial" w:cs="Arial" w:eastAsia="Arial" w:hAnsi="Arial"/>
                <w:sz w:val="16"/>
                <w:szCs w:val="16"/>
                <w:color w:val="auto"/>
              </w:rPr>
              <w:t>the Company. All equity awards are subject to double trigger vesting</w:t>
            </w:r>
          </w:p>
        </w:tc>
      </w:tr>
      <w:tr>
        <w:trPr>
          <w:trHeight w:val="193"/>
        </w:trPr>
        <w:tc>
          <w:tcPr>
            <w:tcW w:w="3740" w:type="dxa"/>
            <w:vAlign w:val="bottom"/>
            <w:tcBorders>
              <w:bottom w:val="single" w:sz="8" w:color="284993"/>
            </w:tcBorders>
          </w:tcPr>
          <w:p>
            <w:pPr>
              <w:spacing w:after="0"/>
              <w:rPr>
                <w:sz w:val="16"/>
                <w:szCs w:val="16"/>
                <w:color w:val="auto"/>
              </w:rPr>
            </w:pPr>
          </w:p>
        </w:tc>
        <w:tc>
          <w:tcPr>
            <w:tcW w:w="5580" w:type="dxa"/>
            <w:vAlign w:val="bottom"/>
            <w:tcBorders>
              <w:bottom w:val="single" w:sz="8" w:color="284993"/>
            </w:tcBorders>
          </w:tcPr>
          <w:p>
            <w:pPr>
              <w:ind w:left="380"/>
              <w:spacing w:after="0"/>
              <w:rPr>
                <w:sz w:val="20"/>
                <w:szCs w:val="20"/>
                <w:color w:val="auto"/>
              </w:rPr>
            </w:pPr>
            <w:r>
              <w:rPr>
                <w:rFonts w:ascii="Arial" w:cs="Arial" w:eastAsia="Arial" w:hAnsi="Arial"/>
                <w:sz w:val="16"/>
                <w:szCs w:val="16"/>
                <w:color w:val="auto"/>
              </w:rPr>
              <w:t>acceleration.</w:t>
            </w:r>
          </w:p>
        </w:tc>
      </w:tr>
      <w:tr>
        <w:trPr>
          <w:trHeight w:val="173"/>
        </w:trPr>
        <w:tc>
          <w:tcPr>
            <w:tcW w:w="3740" w:type="dxa"/>
            <w:vAlign w:val="bottom"/>
          </w:tcPr>
          <w:p>
            <w:pPr>
              <w:ind w:left="80"/>
              <w:spacing w:after="0" w:line="173" w:lineRule="exact"/>
              <w:rPr>
                <w:sz w:val="20"/>
                <w:szCs w:val="20"/>
                <w:color w:val="auto"/>
              </w:rPr>
            </w:pPr>
            <w:r>
              <w:rPr>
                <w:rFonts w:ascii="Arial" w:cs="Arial" w:eastAsia="Arial" w:hAnsi="Arial"/>
                <w:sz w:val="16"/>
                <w:szCs w:val="16"/>
                <w:b w:val="1"/>
                <w:bCs w:val="1"/>
                <w:color w:val="284993"/>
              </w:rPr>
              <w:t>•  No Significant Perquisites or Other Personal</w:t>
            </w:r>
          </w:p>
        </w:tc>
        <w:tc>
          <w:tcPr>
            <w:tcW w:w="5580" w:type="dxa"/>
            <w:vAlign w:val="bottom"/>
          </w:tcPr>
          <w:p>
            <w:pPr>
              <w:ind w:left="380"/>
              <w:spacing w:after="0" w:line="173" w:lineRule="exact"/>
              <w:rPr>
                <w:sz w:val="20"/>
                <w:szCs w:val="20"/>
                <w:color w:val="auto"/>
              </w:rPr>
            </w:pPr>
            <w:r>
              <w:rPr>
                <w:rFonts w:ascii="Arial" w:cs="Arial" w:eastAsia="Arial" w:hAnsi="Arial"/>
                <w:sz w:val="16"/>
                <w:szCs w:val="16"/>
                <w:color w:val="auto"/>
              </w:rPr>
              <w:t>In 2022, we did not provide our executive officers with any perquisites</w:t>
            </w:r>
          </w:p>
        </w:tc>
      </w:tr>
      <w:tr>
        <w:trPr>
          <w:trHeight w:val="183"/>
        </w:trPr>
        <w:tc>
          <w:tcPr>
            <w:tcW w:w="3740" w:type="dxa"/>
            <w:vAlign w:val="bottom"/>
          </w:tcPr>
          <w:p>
            <w:pPr>
              <w:ind w:left="240"/>
              <w:spacing w:after="0"/>
              <w:rPr>
                <w:sz w:val="20"/>
                <w:szCs w:val="20"/>
                <w:color w:val="auto"/>
              </w:rPr>
            </w:pPr>
            <w:r>
              <w:rPr>
                <w:rFonts w:ascii="Arial" w:cs="Arial" w:eastAsia="Arial" w:hAnsi="Arial"/>
                <w:sz w:val="16"/>
                <w:szCs w:val="16"/>
                <w:b w:val="1"/>
                <w:bCs w:val="1"/>
                <w:color w:val="284993"/>
              </w:rPr>
              <w:t>Benefits</w:t>
            </w:r>
          </w:p>
        </w:tc>
        <w:tc>
          <w:tcPr>
            <w:tcW w:w="5580" w:type="dxa"/>
            <w:vAlign w:val="bottom"/>
          </w:tcPr>
          <w:p>
            <w:pPr>
              <w:ind w:left="380"/>
              <w:spacing w:after="0"/>
              <w:rPr>
                <w:sz w:val="20"/>
                <w:szCs w:val="20"/>
                <w:color w:val="auto"/>
              </w:rPr>
            </w:pPr>
            <w:r>
              <w:rPr>
                <w:rFonts w:ascii="Arial" w:cs="Arial" w:eastAsia="Arial" w:hAnsi="Arial"/>
                <w:sz w:val="16"/>
                <w:szCs w:val="16"/>
                <w:color w:val="auto"/>
              </w:rPr>
              <w:t>or other personal benefits that are not available to our employees</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generally, except for an annual executive health check-up introduced in</w:t>
            </w:r>
          </w:p>
        </w:tc>
      </w:tr>
      <w:tr>
        <w:trPr>
          <w:trHeight w:val="193"/>
        </w:trPr>
        <w:tc>
          <w:tcPr>
            <w:tcW w:w="3740" w:type="dxa"/>
            <w:vAlign w:val="bottom"/>
            <w:tcBorders>
              <w:bottom w:val="single" w:sz="8" w:color="284993"/>
            </w:tcBorders>
          </w:tcPr>
          <w:p>
            <w:pPr>
              <w:spacing w:after="0"/>
              <w:rPr>
                <w:sz w:val="16"/>
                <w:szCs w:val="16"/>
                <w:color w:val="auto"/>
              </w:rPr>
            </w:pPr>
          </w:p>
        </w:tc>
        <w:tc>
          <w:tcPr>
            <w:tcW w:w="5580" w:type="dxa"/>
            <w:vAlign w:val="bottom"/>
            <w:tcBorders>
              <w:bottom w:val="single" w:sz="8" w:color="284993"/>
            </w:tcBorders>
          </w:tcPr>
          <w:p>
            <w:pPr>
              <w:ind w:left="380"/>
              <w:spacing w:after="0"/>
              <w:rPr>
                <w:sz w:val="20"/>
                <w:szCs w:val="20"/>
                <w:color w:val="auto"/>
              </w:rPr>
            </w:pPr>
            <w:r>
              <w:rPr>
                <w:rFonts w:ascii="Arial" w:cs="Arial" w:eastAsia="Arial" w:hAnsi="Arial"/>
                <w:sz w:val="16"/>
                <w:szCs w:val="16"/>
                <w:color w:val="auto"/>
              </w:rPr>
              <w:t>2022.</w:t>
            </w:r>
          </w:p>
        </w:tc>
      </w:tr>
      <w:tr>
        <w:trPr>
          <w:trHeight w:val="173"/>
        </w:trPr>
        <w:tc>
          <w:tcPr>
            <w:tcW w:w="3740" w:type="dxa"/>
            <w:vAlign w:val="bottom"/>
          </w:tcPr>
          <w:p>
            <w:pPr>
              <w:ind w:left="80"/>
              <w:spacing w:after="0" w:line="173" w:lineRule="exact"/>
              <w:rPr>
                <w:sz w:val="20"/>
                <w:szCs w:val="20"/>
                <w:color w:val="auto"/>
              </w:rPr>
            </w:pPr>
            <w:r>
              <w:rPr>
                <w:rFonts w:ascii="Arial" w:cs="Arial" w:eastAsia="Arial" w:hAnsi="Arial"/>
                <w:sz w:val="16"/>
                <w:szCs w:val="16"/>
                <w:b w:val="1"/>
                <w:bCs w:val="1"/>
                <w:color w:val="284993"/>
              </w:rPr>
              <w:t>•  No Excise Tax Payments on Future Post-</w:t>
            </w:r>
          </w:p>
        </w:tc>
        <w:tc>
          <w:tcPr>
            <w:tcW w:w="5580" w:type="dxa"/>
            <w:vAlign w:val="bottom"/>
          </w:tcPr>
          <w:p>
            <w:pPr>
              <w:ind w:left="380"/>
              <w:spacing w:after="0" w:line="173" w:lineRule="exact"/>
              <w:rPr>
                <w:sz w:val="20"/>
                <w:szCs w:val="20"/>
                <w:color w:val="auto"/>
              </w:rPr>
            </w:pPr>
            <w:r>
              <w:rPr>
                <w:rFonts w:ascii="Arial" w:cs="Arial" w:eastAsia="Arial" w:hAnsi="Arial"/>
                <w:sz w:val="16"/>
                <w:szCs w:val="16"/>
                <w:color w:val="auto"/>
              </w:rPr>
              <w:t>We do not provide any excise tax reimbursement payments (including</w:t>
            </w:r>
          </w:p>
        </w:tc>
      </w:tr>
      <w:tr>
        <w:trPr>
          <w:trHeight w:val="183"/>
        </w:trPr>
        <w:tc>
          <w:tcPr>
            <w:tcW w:w="3740" w:type="dxa"/>
            <w:vAlign w:val="bottom"/>
          </w:tcPr>
          <w:p>
            <w:pPr>
              <w:ind w:left="240"/>
              <w:spacing w:after="0"/>
              <w:rPr>
                <w:sz w:val="20"/>
                <w:szCs w:val="20"/>
                <w:color w:val="auto"/>
              </w:rPr>
            </w:pPr>
            <w:r>
              <w:rPr>
                <w:rFonts w:ascii="Arial" w:cs="Arial" w:eastAsia="Arial" w:hAnsi="Arial"/>
                <w:sz w:val="16"/>
                <w:szCs w:val="16"/>
                <w:b w:val="1"/>
                <w:bCs w:val="1"/>
                <w:color w:val="284993"/>
              </w:rPr>
              <w:t>Employment Compensation Arrangements</w:t>
            </w:r>
          </w:p>
        </w:tc>
        <w:tc>
          <w:tcPr>
            <w:tcW w:w="5580" w:type="dxa"/>
            <w:vAlign w:val="bottom"/>
          </w:tcPr>
          <w:p>
            <w:pPr>
              <w:ind w:left="380"/>
              <w:spacing w:after="0"/>
              <w:rPr>
                <w:sz w:val="20"/>
                <w:szCs w:val="20"/>
                <w:color w:val="auto"/>
              </w:rPr>
            </w:pPr>
            <w:r>
              <w:rPr>
                <w:rFonts w:ascii="Arial" w:cs="Arial" w:eastAsia="Arial" w:hAnsi="Arial"/>
                <w:sz w:val="16"/>
                <w:szCs w:val="16"/>
                <w:color w:val="auto"/>
              </w:rPr>
              <w:t>“gross-ups”) with respect to payments or benefits contingent upon a</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change in control of the Company. We amended all agreements to</w:t>
            </w:r>
          </w:p>
        </w:tc>
      </w:tr>
      <w:tr>
        <w:trPr>
          <w:trHeight w:val="193"/>
        </w:trPr>
        <w:tc>
          <w:tcPr>
            <w:tcW w:w="3740" w:type="dxa"/>
            <w:vAlign w:val="bottom"/>
            <w:tcBorders>
              <w:bottom w:val="single" w:sz="8" w:color="284993"/>
            </w:tcBorders>
          </w:tcPr>
          <w:p>
            <w:pPr>
              <w:spacing w:after="0"/>
              <w:rPr>
                <w:sz w:val="16"/>
                <w:szCs w:val="16"/>
                <w:color w:val="auto"/>
              </w:rPr>
            </w:pPr>
          </w:p>
        </w:tc>
        <w:tc>
          <w:tcPr>
            <w:tcW w:w="5580" w:type="dxa"/>
            <w:vAlign w:val="bottom"/>
            <w:tcBorders>
              <w:bottom w:val="single" w:sz="8" w:color="284993"/>
            </w:tcBorders>
          </w:tcPr>
          <w:p>
            <w:pPr>
              <w:ind w:left="380"/>
              <w:spacing w:after="0"/>
              <w:rPr>
                <w:sz w:val="20"/>
                <w:szCs w:val="20"/>
                <w:color w:val="auto"/>
              </w:rPr>
            </w:pPr>
            <w:r>
              <w:rPr>
                <w:rFonts w:ascii="Arial" w:cs="Arial" w:eastAsia="Arial" w:hAnsi="Arial"/>
                <w:sz w:val="16"/>
                <w:szCs w:val="16"/>
                <w:color w:val="auto"/>
              </w:rPr>
              <w:t>remove these provisions in 2016.</w:t>
            </w:r>
          </w:p>
        </w:tc>
      </w:tr>
      <w:tr>
        <w:trPr>
          <w:trHeight w:val="175"/>
        </w:trPr>
        <w:tc>
          <w:tcPr>
            <w:tcW w:w="3740" w:type="dxa"/>
            <w:vAlign w:val="bottom"/>
          </w:tcPr>
          <w:p>
            <w:pPr>
              <w:ind w:left="80"/>
              <w:spacing w:after="0" w:line="175" w:lineRule="exact"/>
              <w:rPr>
                <w:sz w:val="20"/>
                <w:szCs w:val="20"/>
                <w:color w:val="auto"/>
              </w:rPr>
            </w:pPr>
            <w:r>
              <w:rPr>
                <w:rFonts w:ascii="Arial" w:cs="Arial" w:eastAsia="Arial" w:hAnsi="Arial"/>
                <w:sz w:val="16"/>
                <w:szCs w:val="16"/>
                <w:b w:val="1"/>
                <w:bCs w:val="1"/>
                <w:color w:val="284993"/>
              </w:rPr>
              <w:t>•  No Hedging</w:t>
            </w:r>
          </w:p>
        </w:tc>
        <w:tc>
          <w:tcPr>
            <w:tcW w:w="5580" w:type="dxa"/>
            <w:vAlign w:val="bottom"/>
          </w:tcPr>
          <w:p>
            <w:pPr>
              <w:ind w:left="380"/>
              <w:spacing w:after="0" w:line="175" w:lineRule="exact"/>
              <w:rPr>
                <w:sz w:val="20"/>
                <w:szCs w:val="20"/>
                <w:color w:val="auto"/>
              </w:rPr>
            </w:pPr>
            <w:r>
              <w:rPr>
                <w:rFonts w:ascii="Arial" w:cs="Arial" w:eastAsia="Arial" w:hAnsi="Arial"/>
                <w:sz w:val="16"/>
                <w:szCs w:val="16"/>
                <w:color w:val="auto"/>
              </w:rPr>
              <w:t>We prohibit our employees, including our executive officers, and the</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non-employee members of our Board from engaging in short sales and</w:t>
            </w:r>
          </w:p>
        </w:tc>
      </w:tr>
      <w:tr>
        <w:trPr>
          <w:trHeight w:val="193"/>
        </w:trPr>
        <w:tc>
          <w:tcPr>
            <w:tcW w:w="3740" w:type="dxa"/>
            <w:vAlign w:val="bottom"/>
            <w:tcBorders>
              <w:bottom w:val="single" w:sz="8" w:color="284993"/>
            </w:tcBorders>
          </w:tcPr>
          <w:p>
            <w:pPr>
              <w:spacing w:after="0"/>
              <w:rPr>
                <w:sz w:val="16"/>
                <w:szCs w:val="16"/>
                <w:color w:val="auto"/>
              </w:rPr>
            </w:pPr>
          </w:p>
        </w:tc>
        <w:tc>
          <w:tcPr>
            <w:tcW w:w="5580" w:type="dxa"/>
            <w:vAlign w:val="bottom"/>
            <w:tcBorders>
              <w:bottom w:val="single" w:sz="8" w:color="284993"/>
            </w:tcBorders>
          </w:tcPr>
          <w:p>
            <w:pPr>
              <w:ind w:left="380"/>
              <w:spacing w:after="0"/>
              <w:rPr>
                <w:sz w:val="20"/>
                <w:szCs w:val="20"/>
                <w:color w:val="auto"/>
              </w:rPr>
            </w:pPr>
            <w:r>
              <w:rPr>
                <w:rFonts w:ascii="Arial" w:cs="Arial" w:eastAsia="Arial" w:hAnsi="Arial"/>
                <w:sz w:val="16"/>
                <w:szCs w:val="16"/>
                <w:color w:val="auto"/>
              </w:rPr>
              <w:t>certain derivative transactions relating to our securities.</w:t>
            </w:r>
          </w:p>
        </w:tc>
      </w:tr>
      <w:tr>
        <w:trPr>
          <w:trHeight w:val="175"/>
        </w:trPr>
        <w:tc>
          <w:tcPr>
            <w:tcW w:w="3740" w:type="dxa"/>
            <w:vAlign w:val="bottom"/>
          </w:tcPr>
          <w:p>
            <w:pPr>
              <w:ind w:left="80"/>
              <w:spacing w:after="0" w:line="175" w:lineRule="exact"/>
              <w:rPr>
                <w:sz w:val="20"/>
                <w:szCs w:val="20"/>
                <w:color w:val="auto"/>
              </w:rPr>
            </w:pPr>
            <w:r>
              <w:rPr>
                <w:rFonts w:ascii="Arial" w:cs="Arial" w:eastAsia="Arial" w:hAnsi="Arial"/>
                <w:sz w:val="16"/>
                <w:szCs w:val="16"/>
                <w:b w:val="1"/>
                <w:bCs w:val="1"/>
                <w:color w:val="284993"/>
              </w:rPr>
              <w:t>•  No Special Welfare or Health Benefits</w:t>
            </w:r>
          </w:p>
        </w:tc>
        <w:tc>
          <w:tcPr>
            <w:tcW w:w="5580" w:type="dxa"/>
            <w:vAlign w:val="bottom"/>
          </w:tcPr>
          <w:p>
            <w:pPr>
              <w:ind w:left="380"/>
              <w:spacing w:after="0" w:line="175" w:lineRule="exact"/>
              <w:rPr>
                <w:sz w:val="20"/>
                <w:szCs w:val="20"/>
                <w:color w:val="auto"/>
              </w:rPr>
            </w:pPr>
            <w:r>
              <w:rPr>
                <w:rFonts w:ascii="Arial" w:cs="Arial" w:eastAsia="Arial" w:hAnsi="Arial"/>
                <w:sz w:val="16"/>
                <w:szCs w:val="16"/>
                <w:color w:val="auto"/>
              </w:rPr>
              <w:t>Except for an annual executive health check-up introduced in 2022, we</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do not provide our executive officers with any welfare or health benefit</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programs, other than participation on the same basis as our full-time</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employees in the employee programs that are standard in our industry</w:t>
            </w:r>
          </w:p>
        </w:tc>
      </w:tr>
      <w:tr>
        <w:trPr>
          <w:trHeight w:val="193"/>
        </w:trPr>
        <w:tc>
          <w:tcPr>
            <w:tcW w:w="3740" w:type="dxa"/>
            <w:vAlign w:val="bottom"/>
            <w:tcBorders>
              <w:bottom w:val="single" w:sz="8" w:color="284993"/>
            </w:tcBorders>
          </w:tcPr>
          <w:p>
            <w:pPr>
              <w:spacing w:after="0"/>
              <w:rPr>
                <w:sz w:val="16"/>
                <w:szCs w:val="16"/>
                <w:color w:val="auto"/>
              </w:rPr>
            </w:pPr>
          </w:p>
        </w:tc>
        <w:tc>
          <w:tcPr>
            <w:tcW w:w="5580" w:type="dxa"/>
            <w:vAlign w:val="bottom"/>
            <w:tcBorders>
              <w:bottom w:val="single" w:sz="8" w:color="284993"/>
            </w:tcBorders>
          </w:tcPr>
          <w:p>
            <w:pPr>
              <w:ind w:left="380"/>
              <w:spacing w:after="0"/>
              <w:rPr>
                <w:sz w:val="20"/>
                <w:szCs w:val="20"/>
                <w:color w:val="auto"/>
              </w:rPr>
            </w:pPr>
            <w:r>
              <w:rPr>
                <w:rFonts w:ascii="Arial" w:cs="Arial" w:eastAsia="Arial" w:hAnsi="Arial"/>
                <w:sz w:val="16"/>
                <w:szCs w:val="16"/>
                <w:color w:val="auto"/>
              </w:rPr>
              <w:t>sector.</w:t>
            </w:r>
          </w:p>
        </w:tc>
      </w:tr>
      <w:tr>
        <w:trPr>
          <w:trHeight w:val="173"/>
        </w:trPr>
        <w:tc>
          <w:tcPr>
            <w:tcW w:w="3740" w:type="dxa"/>
            <w:vAlign w:val="bottom"/>
          </w:tcPr>
          <w:p>
            <w:pPr>
              <w:ind w:left="80"/>
              <w:spacing w:after="0" w:line="173" w:lineRule="exact"/>
              <w:rPr>
                <w:sz w:val="20"/>
                <w:szCs w:val="20"/>
                <w:color w:val="auto"/>
              </w:rPr>
            </w:pPr>
            <w:r>
              <w:rPr>
                <w:rFonts w:ascii="Arial" w:cs="Arial" w:eastAsia="Arial" w:hAnsi="Arial"/>
                <w:sz w:val="16"/>
                <w:szCs w:val="16"/>
                <w:b w:val="1"/>
                <w:bCs w:val="1"/>
                <w:color w:val="284993"/>
                <w:w w:val="97"/>
              </w:rPr>
              <w:t>•  No Dividends or Dividend Equivalents Payable</w:t>
            </w:r>
          </w:p>
        </w:tc>
        <w:tc>
          <w:tcPr>
            <w:tcW w:w="5580" w:type="dxa"/>
            <w:vAlign w:val="bottom"/>
          </w:tcPr>
          <w:p>
            <w:pPr>
              <w:ind w:left="380"/>
              <w:spacing w:after="0" w:line="173" w:lineRule="exact"/>
              <w:rPr>
                <w:sz w:val="20"/>
                <w:szCs w:val="20"/>
                <w:color w:val="auto"/>
              </w:rPr>
            </w:pPr>
            <w:r>
              <w:rPr>
                <w:rFonts w:ascii="Arial" w:cs="Arial" w:eastAsia="Arial" w:hAnsi="Arial"/>
                <w:sz w:val="16"/>
                <w:szCs w:val="16"/>
                <w:color w:val="auto"/>
              </w:rPr>
              <w:t>We do not pay dividends or dividend equivalents on unvested equity</w:t>
            </w:r>
          </w:p>
        </w:tc>
      </w:tr>
      <w:tr>
        <w:trPr>
          <w:trHeight w:val="195"/>
        </w:trPr>
        <w:tc>
          <w:tcPr>
            <w:tcW w:w="3740" w:type="dxa"/>
            <w:vAlign w:val="bottom"/>
            <w:tcBorders>
              <w:bottom w:val="single" w:sz="8" w:color="284993"/>
            </w:tcBorders>
          </w:tcPr>
          <w:p>
            <w:pPr>
              <w:ind w:left="240"/>
              <w:spacing w:after="0"/>
              <w:rPr>
                <w:sz w:val="20"/>
                <w:szCs w:val="20"/>
                <w:color w:val="auto"/>
              </w:rPr>
            </w:pPr>
            <w:r>
              <w:rPr>
                <w:rFonts w:ascii="Arial" w:cs="Arial" w:eastAsia="Arial" w:hAnsi="Arial"/>
                <w:sz w:val="16"/>
                <w:szCs w:val="16"/>
                <w:b w:val="1"/>
                <w:bCs w:val="1"/>
                <w:color w:val="284993"/>
              </w:rPr>
              <w:t>on Unvested Equity Awards</w:t>
            </w:r>
          </w:p>
        </w:tc>
        <w:tc>
          <w:tcPr>
            <w:tcW w:w="5580" w:type="dxa"/>
            <w:vAlign w:val="bottom"/>
            <w:tcBorders>
              <w:bottom w:val="single" w:sz="8" w:color="284993"/>
            </w:tcBorders>
          </w:tcPr>
          <w:p>
            <w:pPr>
              <w:ind w:left="380"/>
              <w:spacing w:after="0"/>
              <w:rPr>
                <w:sz w:val="20"/>
                <w:szCs w:val="20"/>
                <w:color w:val="auto"/>
              </w:rPr>
            </w:pPr>
            <w:r>
              <w:rPr>
                <w:rFonts w:ascii="Arial" w:cs="Arial" w:eastAsia="Arial" w:hAnsi="Arial"/>
                <w:sz w:val="16"/>
                <w:szCs w:val="16"/>
                <w:color w:val="auto"/>
              </w:rPr>
              <w:t>awards.</w:t>
            </w:r>
          </w:p>
        </w:tc>
      </w:tr>
      <w:tr>
        <w:trPr>
          <w:trHeight w:val="175"/>
        </w:trPr>
        <w:tc>
          <w:tcPr>
            <w:tcW w:w="3740" w:type="dxa"/>
            <w:vAlign w:val="bottom"/>
          </w:tcPr>
          <w:p>
            <w:pPr>
              <w:ind w:left="80"/>
              <w:spacing w:after="0" w:line="175" w:lineRule="exact"/>
              <w:rPr>
                <w:sz w:val="20"/>
                <w:szCs w:val="20"/>
                <w:color w:val="auto"/>
              </w:rPr>
            </w:pPr>
            <w:r>
              <w:rPr>
                <w:rFonts w:ascii="Arial" w:cs="Arial" w:eastAsia="Arial" w:hAnsi="Arial"/>
                <w:sz w:val="16"/>
                <w:szCs w:val="16"/>
                <w:b w:val="1"/>
                <w:bCs w:val="1"/>
                <w:color w:val="284993"/>
              </w:rPr>
              <w:t>•  No Pledging</w:t>
            </w:r>
          </w:p>
        </w:tc>
        <w:tc>
          <w:tcPr>
            <w:tcW w:w="5580" w:type="dxa"/>
            <w:vAlign w:val="bottom"/>
          </w:tcPr>
          <w:p>
            <w:pPr>
              <w:ind w:left="380"/>
              <w:spacing w:after="0" w:line="175" w:lineRule="exact"/>
              <w:rPr>
                <w:sz w:val="20"/>
                <w:szCs w:val="20"/>
                <w:color w:val="auto"/>
              </w:rPr>
            </w:pPr>
            <w:r>
              <w:rPr>
                <w:rFonts w:ascii="Arial" w:cs="Arial" w:eastAsia="Arial" w:hAnsi="Arial"/>
                <w:sz w:val="16"/>
                <w:szCs w:val="16"/>
                <w:color w:val="auto"/>
              </w:rPr>
              <w:t>Current awards granted under our equity plans provide that they may</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not be sold, exchanged, assigned, transferred, pledged, encumbered,</w:t>
            </w:r>
          </w:p>
        </w:tc>
      </w:tr>
      <w:tr>
        <w:trPr>
          <w:trHeight w:val="193"/>
        </w:trPr>
        <w:tc>
          <w:tcPr>
            <w:tcW w:w="3740" w:type="dxa"/>
            <w:vAlign w:val="bottom"/>
            <w:tcBorders>
              <w:bottom w:val="single" w:sz="8" w:color="284993"/>
            </w:tcBorders>
          </w:tcPr>
          <w:p>
            <w:pPr>
              <w:spacing w:after="0"/>
              <w:rPr>
                <w:sz w:val="16"/>
                <w:szCs w:val="16"/>
                <w:color w:val="auto"/>
              </w:rPr>
            </w:pPr>
          </w:p>
        </w:tc>
        <w:tc>
          <w:tcPr>
            <w:tcW w:w="5580" w:type="dxa"/>
            <w:vAlign w:val="bottom"/>
            <w:tcBorders>
              <w:bottom w:val="single" w:sz="8" w:color="284993"/>
            </w:tcBorders>
          </w:tcPr>
          <w:p>
            <w:pPr>
              <w:ind w:left="380"/>
              <w:spacing w:after="0"/>
              <w:rPr>
                <w:sz w:val="20"/>
                <w:szCs w:val="20"/>
                <w:color w:val="auto"/>
              </w:rPr>
            </w:pPr>
            <w:r>
              <w:rPr>
                <w:rFonts w:ascii="Arial" w:cs="Arial" w:eastAsia="Arial" w:hAnsi="Arial"/>
                <w:sz w:val="16"/>
                <w:szCs w:val="16"/>
                <w:color w:val="auto"/>
              </w:rPr>
              <w:t>or otherwise disposed of by the grantee until they become vested.</w:t>
            </w:r>
          </w:p>
        </w:tc>
      </w:tr>
      <w:tr>
        <w:trPr>
          <w:trHeight w:val="175"/>
        </w:trPr>
        <w:tc>
          <w:tcPr>
            <w:tcW w:w="3740" w:type="dxa"/>
            <w:vAlign w:val="bottom"/>
          </w:tcPr>
          <w:p>
            <w:pPr>
              <w:ind w:left="80"/>
              <w:spacing w:after="0" w:line="175" w:lineRule="exact"/>
              <w:rPr>
                <w:sz w:val="20"/>
                <w:szCs w:val="20"/>
                <w:color w:val="auto"/>
              </w:rPr>
            </w:pPr>
            <w:r>
              <w:rPr>
                <w:rFonts w:ascii="Arial" w:cs="Arial" w:eastAsia="Arial" w:hAnsi="Arial"/>
                <w:sz w:val="16"/>
                <w:szCs w:val="16"/>
                <w:b w:val="1"/>
                <w:bCs w:val="1"/>
                <w:color w:val="284993"/>
              </w:rPr>
              <w:t>•  Limited Contractual Vesting Acceleration</w:t>
            </w:r>
          </w:p>
        </w:tc>
        <w:tc>
          <w:tcPr>
            <w:tcW w:w="5580" w:type="dxa"/>
            <w:vAlign w:val="bottom"/>
          </w:tcPr>
          <w:p>
            <w:pPr>
              <w:ind w:left="380"/>
              <w:spacing w:after="0" w:line="175" w:lineRule="exact"/>
              <w:rPr>
                <w:sz w:val="20"/>
                <w:szCs w:val="20"/>
                <w:color w:val="auto"/>
              </w:rPr>
            </w:pPr>
            <w:r>
              <w:rPr>
                <w:rFonts w:ascii="Arial" w:cs="Arial" w:eastAsia="Arial" w:hAnsi="Arial"/>
                <w:sz w:val="16"/>
                <w:szCs w:val="16"/>
                <w:color w:val="auto"/>
              </w:rPr>
              <w:t>We have no contractual acceleration of vesting for any outstanding</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equity, except for these limited, common exceptions: death or long-term</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disability (or, in some cases, termination without cause or for good</w:t>
            </w:r>
          </w:p>
        </w:tc>
      </w:tr>
      <w:tr>
        <w:trPr>
          <w:trHeight w:val="181"/>
        </w:trPr>
        <w:tc>
          <w:tcPr>
            <w:tcW w:w="3740" w:type="dxa"/>
            <w:vAlign w:val="bottom"/>
          </w:tcPr>
          <w:p>
            <w:pPr>
              <w:spacing w:after="0"/>
              <w:rPr>
                <w:sz w:val="15"/>
                <w:szCs w:val="15"/>
                <w:color w:val="auto"/>
              </w:rPr>
            </w:pPr>
          </w:p>
        </w:tc>
        <w:tc>
          <w:tcPr>
            <w:tcW w:w="5580" w:type="dxa"/>
            <w:vAlign w:val="bottom"/>
          </w:tcPr>
          <w:p>
            <w:pPr>
              <w:ind w:left="380"/>
              <w:spacing w:after="0" w:line="181" w:lineRule="exact"/>
              <w:rPr>
                <w:sz w:val="20"/>
                <w:szCs w:val="20"/>
                <w:color w:val="auto"/>
              </w:rPr>
            </w:pPr>
            <w:r>
              <w:rPr>
                <w:rFonts w:ascii="Arial" w:cs="Arial" w:eastAsia="Arial" w:hAnsi="Arial"/>
                <w:sz w:val="16"/>
                <w:szCs w:val="16"/>
                <w:color w:val="auto"/>
              </w:rPr>
              <w:t>reason) of the recipient, or pursuant to “double trigger” change in</w:t>
            </w:r>
          </w:p>
        </w:tc>
      </w:tr>
      <w:tr>
        <w:trPr>
          <w:trHeight w:val="193"/>
        </w:trPr>
        <w:tc>
          <w:tcPr>
            <w:tcW w:w="3740" w:type="dxa"/>
            <w:vAlign w:val="bottom"/>
            <w:tcBorders>
              <w:bottom w:val="single" w:sz="8" w:color="284993"/>
            </w:tcBorders>
          </w:tcPr>
          <w:p>
            <w:pPr>
              <w:spacing w:after="0"/>
              <w:rPr>
                <w:sz w:val="16"/>
                <w:szCs w:val="16"/>
                <w:color w:val="auto"/>
              </w:rPr>
            </w:pPr>
          </w:p>
        </w:tc>
        <w:tc>
          <w:tcPr>
            <w:tcW w:w="5580" w:type="dxa"/>
            <w:vAlign w:val="bottom"/>
            <w:tcBorders>
              <w:bottom w:val="single" w:sz="8" w:color="284993"/>
            </w:tcBorders>
          </w:tcPr>
          <w:p>
            <w:pPr>
              <w:ind w:left="380"/>
              <w:spacing w:after="0"/>
              <w:rPr>
                <w:sz w:val="20"/>
                <w:szCs w:val="20"/>
                <w:color w:val="auto"/>
              </w:rPr>
            </w:pPr>
            <w:r>
              <w:rPr>
                <w:rFonts w:ascii="Arial" w:cs="Arial" w:eastAsia="Arial" w:hAnsi="Arial"/>
                <w:sz w:val="16"/>
                <w:szCs w:val="16"/>
                <w:color w:val="auto"/>
              </w:rPr>
              <w:t>control benefits.</w:t>
            </w: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9945" cy="5397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284993"/>
        </w:rPr>
        <w:t>Compensation Philosophy</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76" w:lineRule="exact"/>
        <w:rPr>
          <w:sz w:val="20"/>
          <w:szCs w:val="20"/>
          <w:color w:val="auto"/>
        </w:rPr>
      </w:pPr>
    </w:p>
    <w:p>
      <w:pPr>
        <w:ind w:left="180" w:right="120" w:hanging="178"/>
        <w:spacing w:after="0" w:line="263"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 compensation and benefit levels that will attract, retain, motivate and reward a highly talented management team within the context of responsible cost management;</w:t>
      </w:r>
    </w:p>
    <w:p>
      <w:pPr>
        <w:spacing w:after="0" w:line="75" w:lineRule="exact"/>
        <w:rPr>
          <w:rFonts w:ascii="Arial" w:cs="Arial" w:eastAsia="Arial" w:hAnsi="Arial"/>
          <w:sz w:val="16"/>
          <w:szCs w:val="16"/>
          <w:color w:val="auto"/>
        </w:rPr>
      </w:pPr>
    </w:p>
    <w:p>
      <w:pPr>
        <w:ind w:left="180" w:right="40" w:hanging="178"/>
        <w:spacing w:after="0" w:line="263"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Establish a direct link between our financial and operational results and achievement of strategic objectives and the compensation of our executive officers; and</w:t>
      </w:r>
    </w:p>
    <w:p>
      <w:pPr>
        <w:spacing w:after="0" w:line="75" w:lineRule="exact"/>
        <w:rPr>
          <w:rFonts w:ascii="Arial" w:cs="Arial" w:eastAsia="Arial" w:hAnsi="Arial"/>
          <w:sz w:val="16"/>
          <w:szCs w:val="16"/>
          <w:color w:val="auto"/>
        </w:rPr>
      </w:pPr>
    </w:p>
    <w:p>
      <w:pPr>
        <w:ind w:left="180" w:right="780" w:hanging="178"/>
        <w:spacing w:after="0" w:line="335" w:lineRule="auto"/>
        <w:tabs>
          <w:tab w:leader="none" w:pos="1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Align the interests and objectives of our executive officers with those of our stockholders by linking the long-term incentive compensation opportunities to stockholder value creation and their cash incentives to our annual performance.</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51</w:t>
      </w:r>
    </w:p>
    <w:p>
      <w:pPr>
        <w:sectPr>
          <w:pgSz w:w="11900" w:h="16838" w:orient="portrait"/>
          <w:cols w:equalWidth="0" w:num="1">
            <w:col w:w="9320"/>
          </w:cols>
          <w:pgMar w:left="1280" w:top="305" w:right="1299" w:bottom="1440" w:gutter="0" w:footer="0" w:header="0"/>
        </w:sectPr>
      </w:pPr>
    </w:p>
    <w:bookmarkStart w:id="57" w:name="page58"/>
    <w:bookmarkEnd w:id="57"/>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Compensation Design</w:t>
      </w:r>
    </w:p>
    <w:p>
      <w:pPr>
        <w:spacing w:after="0" w:line="123"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Our executive compensation consists of three principal elements: base salary, an annual incentive compensation opportunity under the ACI STIP and long-term compensation opportunities under the LTIP in the form of equity awards that include service-based RSUs and performance-based RSUs measured on relative total shareholder return. In alignment with our pay-for-performance philosophy, a significant portion of our executive officers’ target total direct compensation is “at-risk” and variable in the amount ultimately paid.</w:t>
      </w:r>
    </w:p>
    <w:p>
      <w:pPr>
        <w:spacing w:after="0" w:line="152"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We believe that linking a significant portion of our executive officers’ target total direct compensation to challenging performance objectives creates strong incentives for them to achieve our short-term profitability and growth objectives as well as to create sustainable long-term value for our stockholders. We believe that this approach also assists us in attracting talented individuals who are committed to achieving challenging goals with the opportunity to earn superior compensation if they and the Company demonstrate superior results.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Compensation-Setting Process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Role of Compensation Committee</w:t>
      </w:r>
    </w:p>
    <w:p>
      <w:pPr>
        <w:spacing w:after="0" w:line="107"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The Compensation Committee discharges the responsibilities of our Board relating to the compensation of our executive officers with input from all our independent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is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5937885" cy="16040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37885" cy="1604010"/>
                    </a:xfrm>
                    <a:prstGeom prst="rect">
                      <a:avLst/>
                    </a:prstGeom>
                    <a:noFill/>
                  </pic:spPr>
                </pic:pic>
              </a:graphicData>
            </a:graphic>
          </wp:anchor>
        </w:drawing>
      </w:r>
    </w:p>
    <w:p>
      <w:pPr>
        <w:spacing w:after="0" w:line="379" w:lineRule="exact"/>
        <w:rPr>
          <w:sz w:val="20"/>
          <w:szCs w:val="20"/>
          <w:color w:val="auto"/>
        </w:rPr>
      </w:pPr>
    </w:p>
    <w:p>
      <w:pPr>
        <w:ind w:left="300" w:hanging="190"/>
        <w:spacing w:after="0"/>
        <w:tabs>
          <w:tab w:leader="none" w:pos="300" w:val="left"/>
        </w:tabs>
        <w:numPr>
          <w:ilvl w:val="0"/>
          <w:numId w:val="33"/>
        </w:numPr>
        <w:rPr>
          <w:rFonts w:ascii="Arial" w:cs="Arial" w:eastAsia="Arial" w:hAnsi="Arial"/>
          <w:sz w:val="16"/>
          <w:szCs w:val="16"/>
          <w:color w:val="284993"/>
        </w:rPr>
      </w:pPr>
      <w:r>
        <w:rPr>
          <w:rFonts w:ascii="Arial" w:cs="Arial" w:eastAsia="Arial" w:hAnsi="Arial"/>
          <w:sz w:val="16"/>
          <w:szCs w:val="16"/>
          <w:color w:val="284993"/>
        </w:rPr>
        <w:t>Overseeing our compensation and benefit plans, policies and programs generally;</w:t>
      </w:r>
    </w:p>
    <w:p>
      <w:pPr>
        <w:spacing w:after="0" w:line="113" w:lineRule="exact"/>
        <w:rPr>
          <w:rFonts w:ascii="Arial" w:cs="Arial" w:eastAsia="Arial" w:hAnsi="Arial"/>
          <w:sz w:val="16"/>
          <w:szCs w:val="16"/>
          <w:color w:val="284993"/>
        </w:rPr>
      </w:pPr>
    </w:p>
    <w:p>
      <w:pPr>
        <w:ind w:left="300" w:hanging="190"/>
        <w:spacing w:after="0"/>
        <w:tabs>
          <w:tab w:leader="none" w:pos="300" w:val="left"/>
        </w:tabs>
        <w:numPr>
          <w:ilvl w:val="0"/>
          <w:numId w:val="33"/>
        </w:numPr>
        <w:rPr>
          <w:rFonts w:ascii="Arial" w:cs="Arial" w:eastAsia="Arial" w:hAnsi="Arial"/>
          <w:sz w:val="16"/>
          <w:szCs w:val="16"/>
          <w:color w:val="284993"/>
        </w:rPr>
      </w:pPr>
      <w:r>
        <w:rPr>
          <w:rFonts w:ascii="Arial" w:cs="Arial" w:eastAsia="Arial" w:hAnsi="Arial"/>
          <w:sz w:val="16"/>
          <w:szCs w:val="16"/>
          <w:color w:val="284993"/>
        </w:rPr>
        <w:t>Managing the process for the annual evaluation of our CEO’s performance on behalf of the Board;</w:t>
      </w:r>
    </w:p>
    <w:p>
      <w:pPr>
        <w:spacing w:after="0" w:line="113" w:lineRule="exact"/>
        <w:rPr>
          <w:rFonts w:ascii="Arial" w:cs="Arial" w:eastAsia="Arial" w:hAnsi="Arial"/>
          <w:sz w:val="16"/>
          <w:szCs w:val="16"/>
          <w:color w:val="284993"/>
        </w:rPr>
      </w:pPr>
    </w:p>
    <w:p>
      <w:pPr>
        <w:ind w:left="300" w:hanging="190"/>
        <w:spacing w:after="0"/>
        <w:tabs>
          <w:tab w:leader="none" w:pos="300" w:val="left"/>
        </w:tabs>
        <w:numPr>
          <w:ilvl w:val="0"/>
          <w:numId w:val="33"/>
        </w:numPr>
        <w:rPr>
          <w:rFonts w:ascii="Arial" w:cs="Arial" w:eastAsia="Arial" w:hAnsi="Arial"/>
          <w:sz w:val="16"/>
          <w:szCs w:val="16"/>
          <w:color w:val="284993"/>
        </w:rPr>
      </w:pPr>
      <w:r>
        <w:rPr>
          <w:rFonts w:ascii="Arial" w:cs="Arial" w:eastAsia="Arial" w:hAnsi="Arial"/>
          <w:sz w:val="16"/>
          <w:szCs w:val="16"/>
          <w:color w:val="284993"/>
        </w:rPr>
        <w:t>Reviewing and proposing the compensation of our CEO to the Board for approval;</w:t>
      </w:r>
    </w:p>
    <w:p>
      <w:pPr>
        <w:spacing w:after="0" w:line="113" w:lineRule="exact"/>
        <w:rPr>
          <w:rFonts w:ascii="Arial" w:cs="Arial" w:eastAsia="Arial" w:hAnsi="Arial"/>
          <w:sz w:val="16"/>
          <w:szCs w:val="16"/>
          <w:color w:val="284993"/>
        </w:rPr>
      </w:pPr>
    </w:p>
    <w:p>
      <w:pPr>
        <w:ind w:left="300" w:hanging="190"/>
        <w:spacing w:after="0"/>
        <w:tabs>
          <w:tab w:leader="none" w:pos="300" w:val="left"/>
        </w:tabs>
        <w:numPr>
          <w:ilvl w:val="0"/>
          <w:numId w:val="33"/>
        </w:numPr>
        <w:rPr>
          <w:rFonts w:ascii="Arial" w:cs="Arial" w:eastAsia="Arial" w:hAnsi="Arial"/>
          <w:sz w:val="16"/>
          <w:szCs w:val="16"/>
          <w:color w:val="284993"/>
        </w:rPr>
      </w:pPr>
      <w:r>
        <w:rPr>
          <w:rFonts w:ascii="Arial" w:cs="Arial" w:eastAsia="Arial" w:hAnsi="Arial"/>
          <w:sz w:val="16"/>
          <w:szCs w:val="16"/>
          <w:color w:val="284993"/>
        </w:rPr>
        <w:t>Reviewing and approving all compensation for our other executive officers, including our other Named Executive Officers;</w:t>
      </w:r>
    </w:p>
    <w:p>
      <w:pPr>
        <w:spacing w:after="0" w:line="113" w:lineRule="exact"/>
        <w:rPr>
          <w:rFonts w:ascii="Arial" w:cs="Arial" w:eastAsia="Arial" w:hAnsi="Arial"/>
          <w:sz w:val="16"/>
          <w:szCs w:val="16"/>
          <w:color w:val="284993"/>
        </w:rPr>
      </w:pPr>
    </w:p>
    <w:p>
      <w:pPr>
        <w:ind w:left="300" w:hanging="190"/>
        <w:spacing w:after="0"/>
        <w:tabs>
          <w:tab w:leader="none" w:pos="300" w:val="left"/>
        </w:tabs>
        <w:numPr>
          <w:ilvl w:val="0"/>
          <w:numId w:val="33"/>
        </w:numPr>
        <w:rPr>
          <w:rFonts w:ascii="Arial" w:cs="Arial" w:eastAsia="Arial" w:hAnsi="Arial"/>
          <w:sz w:val="16"/>
          <w:szCs w:val="16"/>
          <w:color w:val="284993"/>
        </w:rPr>
      </w:pPr>
      <w:r>
        <w:rPr>
          <w:rFonts w:ascii="Arial" w:cs="Arial" w:eastAsia="Arial" w:hAnsi="Arial"/>
          <w:sz w:val="16"/>
          <w:szCs w:val="16"/>
          <w:color w:val="284993"/>
        </w:rPr>
        <w:t>Overseeing and administering our cash and equity compensation plans;</w:t>
      </w:r>
    </w:p>
    <w:p>
      <w:pPr>
        <w:spacing w:after="0" w:line="113" w:lineRule="exact"/>
        <w:rPr>
          <w:rFonts w:ascii="Arial" w:cs="Arial" w:eastAsia="Arial" w:hAnsi="Arial"/>
          <w:sz w:val="16"/>
          <w:szCs w:val="16"/>
          <w:color w:val="284993"/>
        </w:rPr>
      </w:pPr>
    </w:p>
    <w:p>
      <w:pPr>
        <w:ind w:left="300" w:hanging="190"/>
        <w:spacing w:after="0"/>
        <w:tabs>
          <w:tab w:leader="none" w:pos="300" w:val="left"/>
        </w:tabs>
        <w:numPr>
          <w:ilvl w:val="0"/>
          <w:numId w:val="33"/>
        </w:numPr>
        <w:rPr>
          <w:rFonts w:ascii="Arial" w:cs="Arial" w:eastAsia="Arial" w:hAnsi="Arial"/>
          <w:sz w:val="16"/>
          <w:szCs w:val="16"/>
          <w:color w:val="284993"/>
        </w:rPr>
      </w:pPr>
      <w:r>
        <w:rPr>
          <w:rFonts w:ascii="Arial" w:cs="Arial" w:eastAsia="Arial" w:hAnsi="Arial"/>
          <w:sz w:val="16"/>
          <w:szCs w:val="16"/>
          <w:color w:val="284993"/>
        </w:rPr>
        <w:t>Reviewing and overseeing our leadership development and succession plans;</w:t>
      </w:r>
    </w:p>
    <w:p>
      <w:pPr>
        <w:spacing w:after="0" w:line="113" w:lineRule="exact"/>
        <w:rPr>
          <w:rFonts w:ascii="Arial" w:cs="Arial" w:eastAsia="Arial" w:hAnsi="Arial"/>
          <w:sz w:val="16"/>
          <w:szCs w:val="16"/>
          <w:color w:val="284993"/>
        </w:rPr>
      </w:pPr>
    </w:p>
    <w:p>
      <w:pPr>
        <w:ind w:left="300" w:hanging="190"/>
        <w:spacing w:after="0"/>
        <w:tabs>
          <w:tab w:leader="none" w:pos="300" w:val="left"/>
        </w:tabs>
        <w:numPr>
          <w:ilvl w:val="0"/>
          <w:numId w:val="33"/>
        </w:numPr>
        <w:rPr>
          <w:rFonts w:ascii="Arial" w:cs="Arial" w:eastAsia="Arial" w:hAnsi="Arial"/>
          <w:sz w:val="16"/>
          <w:szCs w:val="16"/>
          <w:color w:val="284993"/>
        </w:rPr>
      </w:pPr>
      <w:r>
        <w:rPr>
          <w:rFonts w:ascii="Arial" w:cs="Arial" w:eastAsia="Arial" w:hAnsi="Arial"/>
          <w:sz w:val="16"/>
          <w:szCs w:val="16"/>
          <w:color w:val="284993"/>
        </w:rPr>
        <w:t>Reviewing and approving our post-employment compensation arrangements; and</w:t>
      </w:r>
    </w:p>
    <w:p>
      <w:pPr>
        <w:spacing w:after="0" w:line="113" w:lineRule="exact"/>
        <w:rPr>
          <w:rFonts w:ascii="Arial" w:cs="Arial" w:eastAsia="Arial" w:hAnsi="Arial"/>
          <w:sz w:val="16"/>
          <w:szCs w:val="16"/>
          <w:color w:val="284993"/>
        </w:rPr>
      </w:pPr>
    </w:p>
    <w:p>
      <w:pPr>
        <w:ind w:left="300" w:hanging="190"/>
        <w:spacing w:after="0"/>
        <w:tabs>
          <w:tab w:leader="none" w:pos="300" w:val="left"/>
        </w:tabs>
        <w:numPr>
          <w:ilvl w:val="0"/>
          <w:numId w:val="33"/>
        </w:numPr>
        <w:rPr>
          <w:rFonts w:ascii="Arial" w:cs="Arial" w:eastAsia="Arial" w:hAnsi="Arial"/>
          <w:sz w:val="16"/>
          <w:szCs w:val="16"/>
          <w:color w:val="284993"/>
        </w:rPr>
      </w:pPr>
      <w:r>
        <w:rPr>
          <w:rFonts w:ascii="Arial" w:cs="Arial" w:eastAsia="Arial" w:hAnsi="Arial"/>
          <w:sz w:val="16"/>
          <w:szCs w:val="16"/>
          <w:color w:val="284993"/>
        </w:rPr>
        <w:t>Reviewing and approving this Compensation Discussion and Analysis and our say-on-pay proposals.</w:t>
      </w:r>
    </w:p>
    <w:p>
      <w:pPr>
        <w:spacing w:after="0" w:line="26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Compensation Committee is also responsible for the periodic review and evaluation of (i) the design and administration of our annual and long-term incentive compensation plans to ensure that they are structured and administered in a manner consistent with our goals and objectives, (ii) our policies and practices relating to the grant of equity awards, (iii) our employee benefits plans and arrangements and (iv), if applicable, our perquisite programs.</w:t>
      </w:r>
    </w:p>
    <w:p>
      <w:pPr>
        <w:spacing w:after="0" w:line="181" w:lineRule="exact"/>
        <w:rPr>
          <w:sz w:val="20"/>
          <w:szCs w:val="20"/>
          <w:color w:val="auto"/>
        </w:rPr>
      </w:pPr>
    </w:p>
    <w:p>
      <w:pPr>
        <w:ind w:right="160"/>
        <w:spacing w:after="0" w:line="245" w:lineRule="auto"/>
        <w:rPr>
          <w:sz w:val="20"/>
          <w:szCs w:val="20"/>
          <w:color w:val="auto"/>
        </w:rPr>
      </w:pPr>
      <w:r>
        <w:rPr>
          <w:rFonts w:ascii="Arial" w:cs="Arial" w:eastAsia="Arial" w:hAnsi="Arial"/>
          <w:sz w:val="16"/>
          <w:szCs w:val="16"/>
          <w:color w:val="auto"/>
        </w:rPr>
        <w:t>The Compensation Committee’s practice of developing and maintaining compensation arrangements that are competitive includes a balance between hiring and retaining the best possible talent and maintaining a reasonable and responsible cost structure. We compete for talent in a highly competitive environment, and our future success and our ability to remain competitive are dependent on our continuing efforts to attract, retain and motivate highly qualified executives in this environment.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Role of Our CEO and Management Team</w:t>
      </w:r>
    </w:p>
    <w:p>
      <w:pPr>
        <w:spacing w:after="0" w:line="107"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In discharging its responsibilities, the Compensation Committee works with members of our management team, including our CEO. Our CEO evaluates the performance and development of each executive officer (other than himself) and uses these evaluations to provide recommendations to the Compensation Committee for any compensation adjustments for the executive officers (other than himself) to base salaries, target annual incentive compensation opportunities, long-term incentive compensation opportunities in the form of equity awards and other compensation-related matters (such as discretionary cash bonuses and supplemental equity awards). Our management team assists the Compensation Committee by providing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85090</wp:posOffset>
            </wp:positionV>
            <wp:extent cx="699135" cy="1314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52</w:t>
      </w:r>
    </w:p>
    <w:p>
      <w:pPr>
        <w:sectPr>
          <w:pgSz w:w="11900" w:h="16838" w:orient="portrait"/>
          <w:cols w:equalWidth="0" w:num="1">
            <w:col w:w="9320"/>
          </w:cols>
          <w:pgMar w:left="1280" w:top="285" w:right="1299" w:bottom="1440" w:gutter="0" w:footer="0" w:header="0"/>
        </w:sectPr>
      </w:pPr>
    </w:p>
    <w:bookmarkStart w:id="58" w:name="page59"/>
    <w:bookmarkEnd w:id="58"/>
    <w:p>
      <w:pPr>
        <w:ind w:right="120"/>
        <w:spacing w:after="0" w:line="24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information on corporate and individual performance as well as our CEO’s perspective and recommendations on compensation matters. In addition, our management team recommends to the Compensation Committee the performance measures and related target levels for the STIP program (which are typically based on our annual operating plan). The management team also recommends the forms of equity awards for our long-term incentive compensation program.</w:t>
      </w:r>
    </w:p>
    <w:p>
      <w:pPr>
        <w:spacing w:after="0" w:line="181"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The Compensation Committee reviews and discusses the CEO’s recommendations as the first step of its process when approving the compensation for our executive officers, including our Named Executive Officers. In addition to our CEO’s recommendations, the Compensation Committee considers a range of other factors, as noted below in the section “Factors Considered in Compensation Deliberations.” Our CEO is not present for any Compensation Committee discussions, and does not make any recommendations, regarding his own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Compensation Review Cycle</w:t>
      </w:r>
    </w:p>
    <w:p>
      <w:pPr>
        <w:spacing w:after="0" w:line="107" w:lineRule="exact"/>
        <w:rPr>
          <w:sz w:val="20"/>
          <w:szCs w:val="20"/>
          <w:color w:val="auto"/>
        </w:rPr>
      </w:pPr>
    </w:p>
    <w:p>
      <w:pPr>
        <w:ind w:right="100"/>
        <w:spacing w:after="0" w:line="279" w:lineRule="auto"/>
        <w:rPr>
          <w:sz w:val="20"/>
          <w:szCs w:val="20"/>
          <w:color w:val="auto"/>
        </w:rPr>
      </w:pPr>
      <w:r>
        <w:rPr>
          <w:rFonts w:ascii="Arial" w:cs="Arial" w:eastAsia="Arial" w:hAnsi="Arial"/>
          <w:sz w:val="14"/>
          <w:szCs w:val="14"/>
          <w:color w:val="auto"/>
        </w:rPr>
        <w:t>The Compensation Committee conducts an annual review of our executive compensation program, as well as a review of the compensation arrangements for each of our executive officers, including each of our Named Executive Officers, during the fourth quarter of the previous year and the first quarter of each year. During this review, the Compensation Committee evaluates each executive officer’s base salary level, target annual incentive compensation opportunity, target total cash compensation opportunity, long-term incentive compensation opportunity, target total direct compensation and any other compensation-related items. Generally, cash compensation adjustments are effective at the beginning of the year, with equity grants generally made in March after the announcement of the prior year’s financial results. Each fiscal quarter, the Compensation Committee tracks our financial and operational performance and the corresponding projected payments under the STIP program, and the then-current performance of the rTSR Performance Share Awards equity awards previously granted to our CEO and our other executive officers.</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Factors Considered in Compensation Deliberations</w:t>
      </w:r>
    </w:p>
    <w:p>
      <w:pPr>
        <w:spacing w:after="0" w:line="107" w:lineRule="exact"/>
        <w:rPr>
          <w:sz w:val="20"/>
          <w:szCs w:val="20"/>
          <w:color w:val="auto"/>
        </w:rPr>
      </w:pPr>
    </w:p>
    <w:p>
      <w:pPr>
        <w:ind w:right="340"/>
        <w:spacing w:after="0"/>
        <w:rPr>
          <w:sz w:val="20"/>
          <w:szCs w:val="20"/>
          <w:color w:val="auto"/>
        </w:rPr>
      </w:pPr>
      <w:r>
        <w:rPr>
          <w:rFonts w:ascii="Arial" w:cs="Arial" w:eastAsia="Arial" w:hAnsi="Arial"/>
          <w:sz w:val="16"/>
          <w:szCs w:val="16"/>
          <w:color w:val="auto"/>
        </w:rPr>
        <w:t>The CEO, in providing his recommendations to the Compensation Committee on changes to our Named Executive Officer compensation, weighs the various factors noted below. Similarly, the Compensation Committee does not use a single method or measure in approving the target total direct compensation opportunities or each individual compensation element for our executive officers, nor is the weighting of any one factor on the determination of pay components and levels quantifiable in comparison to the other factors. The factors below, which the Compensation Committee considers when approving the amount of each compensation element for our executive officers, including our CEO and our other Named Executive Officers, provide a framework for its compensation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5937885" cy="29775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37885" cy="2977515"/>
                    </a:xfrm>
                    <a:prstGeom prst="rect">
                      <a:avLst/>
                    </a:prstGeom>
                    <a:noFill/>
                  </pic:spPr>
                </pic:pic>
              </a:graphicData>
            </a:graphic>
          </wp:anchor>
        </w:drawing>
      </w:r>
    </w:p>
    <w:p>
      <w:pPr>
        <w:spacing w:after="0" w:line="363" w:lineRule="exact"/>
        <w:rPr>
          <w:sz w:val="20"/>
          <w:szCs w:val="20"/>
          <w:color w:val="auto"/>
        </w:rPr>
      </w:pPr>
    </w:p>
    <w:p>
      <w:pPr>
        <w:ind w:left="300" w:hanging="190"/>
        <w:spacing w:after="0"/>
        <w:tabs>
          <w:tab w:leader="none" w:pos="300" w:val="left"/>
        </w:tabs>
        <w:numPr>
          <w:ilvl w:val="0"/>
          <w:numId w:val="34"/>
        </w:numPr>
        <w:rPr>
          <w:rFonts w:ascii="Arial" w:cs="Arial" w:eastAsia="Arial" w:hAnsi="Arial"/>
          <w:sz w:val="16"/>
          <w:szCs w:val="16"/>
          <w:color w:val="284993"/>
        </w:rPr>
      </w:pPr>
      <w:r>
        <w:rPr>
          <w:rFonts w:ascii="Arial" w:cs="Arial" w:eastAsia="Arial" w:hAnsi="Arial"/>
          <w:sz w:val="16"/>
          <w:szCs w:val="16"/>
          <w:color w:val="284993"/>
        </w:rPr>
        <w:t>Our executive compensation program objectives;</w:t>
      </w:r>
    </w:p>
    <w:p>
      <w:pPr>
        <w:spacing w:after="0" w:line="113" w:lineRule="exact"/>
        <w:rPr>
          <w:rFonts w:ascii="Arial" w:cs="Arial" w:eastAsia="Arial" w:hAnsi="Arial"/>
          <w:sz w:val="16"/>
          <w:szCs w:val="16"/>
          <w:color w:val="284993"/>
        </w:rPr>
      </w:pPr>
    </w:p>
    <w:p>
      <w:pPr>
        <w:ind w:left="300" w:right="160" w:hanging="190"/>
        <w:spacing w:after="0" w:line="263" w:lineRule="auto"/>
        <w:tabs>
          <w:tab w:leader="none" w:pos="300" w:val="left"/>
        </w:tabs>
        <w:numPr>
          <w:ilvl w:val="0"/>
          <w:numId w:val="34"/>
        </w:numPr>
        <w:rPr>
          <w:rFonts w:ascii="Arial" w:cs="Arial" w:eastAsia="Arial" w:hAnsi="Arial"/>
          <w:sz w:val="16"/>
          <w:szCs w:val="16"/>
          <w:color w:val="284993"/>
        </w:rPr>
      </w:pPr>
      <w:r>
        <w:rPr>
          <w:rFonts w:ascii="Arial" w:cs="Arial" w:eastAsia="Arial" w:hAnsi="Arial"/>
          <w:sz w:val="16"/>
          <w:szCs w:val="16"/>
          <w:color w:val="284993"/>
        </w:rPr>
        <w:t>Our performance against the financial and operational goals and objectives established by the Compensation Committee and our Board;</w:t>
      </w:r>
    </w:p>
    <w:p>
      <w:pPr>
        <w:spacing w:after="0" w:line="75" w:lineRule="exact"/>
        <w:rPr>
          <w:rFonts w:ascii="Arial" w:cs="Arial" w:eastAsia="Arial" w:hAnsi="Arial"/>
          <w:sz w:val="16"/>
          <w:szCs w:val="16"/>
          <w:color w:val="284993"/>
        </w:rPr>
      </w:pPr>
    </w:p>
    <w:p>
      <w:pPr>
        <w:ind w:left="300" w:right="580" w:hanging="190"/>
        <w:spacing w:after="0" w:line="263" w:lineRule="auto"/>
        <w:tabs>
          <w:tab w:leader="none" w:pos="300" w:val="left"/>
        </w:tabs>
        <w:numPr>
          <w:ilvl w:val="0"/>
          <w:numId w:val="34"/>
        </w:numPr>
        <w:rPr>
          <w:rFonts w:ascii="Arial" w:cs="Arial" w:eastAsia="Arial" w:hAnsi="Arial"/>
          <w:sz w:val="16"/>
          <w:szCs w:val="16"/>
          <w:color w:val="284993"/>
        </w:rPr>
      </w:pPr>
      <w:r>
        <w:rPr>
          <w:rFonts w:ascii="Arial" w:cs="Arial" w:eastAsia="Arial" w:hAnsi="Arial"/>
          <w:sz w:val="16"/>
          <w:szCs w:val="16"/>
          <w:color w:val="284993"/>
        </w:rPr>
        <w:t>Each individual executive officer’s qualifications, knowledge, skills, experience and tenure relative to other similarly situated executives at the companies in our compensation peer group;</w:t>
      </w:r>
    </w:p>
    <w:p>
      <w:pPr>
        <w:spacing w:after="0" w:line="75" w:lineRule="exact"/>
        <w:rPr>
          <w:rFonts w:ascii="Arial" w:cs="Arial" w:eastAsia="Arial" w:hAnsi="Arial"/>
          <w:sz w:val="16"/>
          <w:szCs w:val="16"/>
          <w:color w:val="284993"/>
        </w:rPr>
      </w:pPr>
    </w:p>
    <w:p>
      <w:pPr>
        <w:ind w:left="300" w:right="140" w:hanging="190"/>
        <w:spacing w:after="0" w:line="263" w:lineRule="auto"/>
        <w:tabs>
          <w:tab w:leader="none" w:pos="300" w:val="left"/>
        </w:tabs>
        <w:numPr>
          <w:ilvl w:val="0"/>
          <w:numId w:val="34"/>
        </w:numPr>
        <w:rPr>
          <w:rFonts w:ascii="Arial" w:cs="Arial" w:eastAsia="Arial" w:hAnsi="Arial"/>
          <w:sz w:val="16"/>
          <w:szCs w:val="16"/>
          <w:color w:val="284993"/>
        </w:rPr>
      </w:pPr>
      <w:r>
        <w:rPr>
          <w:rFonts w:ascii="Arial" w:cs="Arial" w:eastAsia="Arial" w:hAnsi="Arial"/>
          <w:sz w:val="16"/>
          <w:szCs w:val="16"/>
          <w:color w:val="284993"/>
        </w:rPr>
        <w:t>The scope of each executive officer’s role and responsibilities compared to other similarly situated executives at the companies in our compensation peer group;</w:t>
      </w:r>
    </w:p>
    <w:p>
      <w:pPr>
        <w:spacing w:after="0" w:line="75" w:lineRule="exact"/>
        <w:rPr>
          <w:rFonts w:ascii="Arial" w:cs="Arial" w:eastAsia="Arial" w:hAnsi="Arial"/>
          <w:sz w:val="16"/>
          <w:szCs w:val="16"/>
          <w:color w:val="284993"/>
        </w:rPr>
      </w:pPr>
    </w:p>
    <w:p>
      <w:pPr>
        <w:ind w:left="300" w:right="540" w:hanging="190"/>
        <w:spacing w:after="0" w:line="263" w:lineRule="auto"/>
        <w:tabs>
          <w:tab w:leader="none" w:pos="300" w:val="left"/>
        </w:tabs>
        <w:numPr>
          <w:ilvl w:val="0"/>
          <w:numId w:val="34"/>
        </w:numPr>
        <w:rPr>
          <w:rFonts w:ascii="Arial" w:cs="Arial" w:eastAsia="Arial" w:hAnsi="Arial"/>
          <w:sz w:val="16"/>
          <w:szCs w:val="16"/>
          <w:color w:val="284993"/>
        </w:rPr>
      </w:pPr>
      <w:r>
        <w:rPr>
          <w:rFonts w:ascii="Arial" w:cs="Arial" w:eastAsia="Arial" w:hAnsi="Arial"/>
          <w:sz w:val="16"/>
          <w:szCs w:val="16"/>
          <w:color w:val="284993"/>
        </w:rPr>
        <w:t>The prior performance of each individual executive officer, based on an assessment of his or her contributions to our overall performance and ability to lead his or her business unit or function and work as part of a team;</w:t>
      </w:r>
    </w:p>
    <w:p>
      <w:pPr>
        <w:spacing w:after="0" w:line="75" w:lineRule="exact"/>
        <w:rPr>
          <w:rFonts w:ascii="Arial" w:cs="Arial" w:eastAsia="Arial" w:hAnsi="Arial"/>
          <w:sz w:val="16"/>
          <w:szCs w:val="16"/>
          <w:color w:val="284993"/>
        </w:rPr>
      </w:pPr>
    </w:p>
    <w:p>
      <w:pPr>
        <w:ind w:left="300" w:hanging="190"/>
        <w:spacing w:after="0"/>
        <w:tabs>
          <w:tab w:leader="none" w:pos="300" w:val="left"/>
        </w:tabs>
        <w:numPr>
          <w:ilvl w:val="0"/>
          <w:numId w:val="34"/>
        </w:numPr>
        <w:rPr>
          <w:rFonts w:ascii="Arial" w:cs="Arial" w:eastAsia="Arial" w:hAnsi="Arial"/>
          <w:sz w:val="16"/>
          <w:szCs w:val="16"/>
          <w:color w:val="284993"/>
        </w:rPr>
      </w:pPr>
      <w:r>
        <w:rPr>
          <w:rFonts w:ascii="Arial" w:cs="Arial" w:eastAsia="Arial" w:hAnsi="Arial"/>
          <w:sz w:val="16"/>
          <w:szCs w:val="16"/>
          <w:color w:val="284993"/>
        </w:rPr>
        <w:t>The potential of each executive officer to contribute to our long-term financial, operational and strategic objectives;</w:t>
      </w:r>
    </w:p>
    <w:p>
      <w:pPr>
        <w:spacing w:after="0" w:line="113" w:lineRule="exact"/>
        <w:rPr>
          <w:rFonts w:ascii="Arial" w:cs="Arial" w:eastAsia="Arial" w:hAnsi="Arial"/>
          <w:sz w:val="16"/>
          <w:szCs w:val="16"/>
          <w:color w:val="284993"/>
        </w:rPr>
      </w:pPr>
    </w:p>
    <w:p>
      <w:pPr>
        <w:ind w:left="300" w:hanging="190"/>
        <w:spacing w:after="0"/>
        <w:tabs>
          <w:tab w:leader="none" w:pos="300" w:val="left"/>
        </w:tabs>
        <w:numPr>
          <w:ilvl w:val="0"/>
          <w:numId w:val="34"/>
        </w:numPr>
        <w:rPr>
          <w:rFonts w:ascii="Arial" w:cs="Arial" w:eastAsia="Arial" w:hAnsi="Arial"/>
          <w:sz w:val="16"/>
          <w:szCs w:val="16"/>
          <w:color w:val="284993"/>
        </w:rPr>
      </w:pPr>
      <w:r>
        <w:rPr>
          <w:rFonts w:ascii="Arial" w:cs="Arial" w:eastAsia="Arial" w:hAnsi="Arial"/>
          <w:sz w:val="16"/>
          <w:szCs w:val="16"/>
          <w:color w:val="284993"/>
        </w:rPr>
        <w:t>The CEO’s compensation relative to that of our executive officers and compensation parity among our executive officers;</w:t>
      </w:r>
    </w:p>
    <w:p>
      <w:pPr>
        <w:spacing w:after="0" w:line="113" w:lineRule="exact"/>
        <w:rPr>
          <w:rFonts w:ascii="Arial" w:cs="Arial" w:eastAsia="Arial" w:hAnsi="Arial"/>
          <w:sz w:val="16"/>
          <w:szCs w:val="16"/>
          <w:color w:val="284993"/>
        </w:rPr>
      </w:pPr>
    </w:p>
    <w:p>
      <w:pPr>
        <w:ind w:left="300" w:hanging="190"/>
        <w:spacing w:after="0"/>
        <w:tabs>
          <w:tab w:leader="none" w:pos="300" w:val="left"/>
        </w:tabs>
        <w:numPr>
          <w:ilvl w:val="0"/>
          <w:numId w:val="34"/>
        </w:numPr>
        <w:rPr>
          <w:rFonts w:ascii="Arial" w:cs="Arial" w:eastAsia="Arial" w:hAnsi="Arial"/>
          <w:sz w:val="16"/>
          <w:szCs w:val="16"/>
          <w:color w:val="284993"/>
        </w:rPr>
      </w:pPr>
      <w:r>
        <w:rPr>
          <w:rFonts w:ascii="Arial" w:cs="Arial" w:eastAsia="Arial" w:hAnsi="Arial"/>
          <w:sz w:val="16"/>
          <w:szCs w:val="16"/>
          <w:color w:val="284993"/>
        </w:rPr>
        <w:t>Our financial performance relative to our peers;</w:t>
      </w:r>
    </w:p>
    <w:p>
      <w:pPr>
        <w:spacing w:after="0" w:line="113" w:lineRule="exact"/>
        <w:rPr>
          <w:rFonts w:ascii="Arial" w:cs="Arial" w:eastAsia="Arial" w:hAnsi="Arial"/>
          <w:sz w:val="16"/>
          <w:szCs w:val="16"/>
          <w:color w:val="284993"/>
        </w:rPr>
      </w:pPr>
    </w:p>
    <w:p>
      <w:pPr>
        <w:ind w:left="300" w:right="360" w:hanging="190"/>
        <w:spacing w:after="0" w:line="263" w:lineRule="auto"/>
        <w:tabs>
          <w:tab w:leader="none" w:pos="300" w:val="left"/>
        </w:tabs>
        <w:numPr>
          <w:ilvl w:val="0"/>
          <w:numId w:val="34"/>
        </w:numPr>
        <w:rPr>
          <w:rFonts w:ascii="Arial" w:cs="Arial" w:eastAsia="Arial" w:hAnsi="Arial"/>
          <w:sz w:val="16"/>
          <w:szCs w:val="16"/>
          <w:color w:val="284993"/>
        </w:rPr>
      </w:pPr>
      <w:r>
        <w:rPr>
          <w:rFonts w:ascii="Arial" w:cs="Arial" w:eastAsia="Arial" w:hAnsi="Arial"/>
          <w:sz w:val="16"/>
          <w:szCs w:val="16"/>
          <w:color w:val="284993"/>
        </w:rPr>
        <w:t>The compensation practices of our compensation peer group and the positioning of each executive officer’s compensation in a ranking of peer company compensation levels based on an analysis of competitive market data;</w:t>
      </w:r>
    </w:p>
    <w:p>
      <w:pPr>
        <w:spacing w:after="0" w:line="75" w:lineRule="exact"/>
        <w:rPr>
          <w:rFonts w:ascii="Arial" w:cs="Arial" w:eastAsia="Arial" w:hAnsi="Arial"/>
          <w:sz w:val="16"/>
          <w:szCs w:val="16"/>
          <w:color w:val="284993"/>
        </w:rPr>
      </w:pPr>
    </w:p>
    <w:p>
      <w:pPr>
        <w:ind w:left="300" w:right="120" w:hanging="190"/>
        <w:spacing w:after="0" w:line="249" w:lineRule="auto"/>
        <w:tabs>
          <w:tab w:leader="none" w:pos="300" w:val="left"/>
        </w:tabs>
        <w:numPr>
          <w:ilvl w:val="0"/>
          <w:numId w:val="34"/>
        </w:numPr>
        <w:rPr>
          <w:rFonts w:ascii="Arial" w:cs="Arial" w:eastAsia="Arial" w:hAnsi="Arial"/>
          <w:sz w:val="16"/>
          <w:szCs w:val="16"/>
          <w:color w:val="284993"/>
        </w:rPr>
      </w:pPr>
      <w:r>
        <w:rPr>
          <w:rFonts w:ascii="Arial" w:cs="Arial" w:eastAsia="Arial" w:hAnsi="Arial"/>
          <w:sz w:val="16"/>
          <w:szCs w:val="16"/>
          <w:color w:val="284993"/>
        </w:rPr>
        <w:t>In the case of long-term incentive compensation, the value of any outstanding vested and unvested equity awards held by each of our executive officers, including the equity awards and other long-term compensation opportunities granted to each executive officer in prior years; and</w:t>
      </w:r>
    </w:p>
    <w:p>
      <w:pPr>
        <w:spacing w:after="0" w:line="87" w:lineRule="exact"/>
        <w:rPr>
          <w:rFonts w:ascii="Arial" w:cs="Arial" w:eastAsia="Arial" w:hAnsi="Arial"/>
          <w:sz w:val="16"/>
          <w:szCs w:val="16"/>
          <w:color w:val="284993"/>
        </w:rPr>
      </w:pPr>
    </w:p>
    <w:p>
      <w:pPr>
        <w:ind w:left="300" w:hanging="190"/>
        <w:spacing w:after="0"/>
        <w:tabs>
          <w:tab w:leader="none" w:pos="300" w:val="left"/>
        </w:tabs>
        <w:numPr>
          <w:ilvl w:val="0"/>
          <w:numId w:val="34"/>
        </w:numPr>
        <w:rPr>
          <w:rFonts w:ascii="Arial" w:cs="Arial" w:eastAsia="Arial" w:hAnsi="Arial"/>
          <w:sz w:val="16"/>
          <w:szCs w:val="16"/>
          <w:color w:val="284993"/>
        </w:rPr>
      </w:pPr>
      <w:r>
        <w:rPr>
          <w:rFonts w:ascii="Arial" w:cs="Arial" w:eastAsia="Arial" w:hAnsi="Arial"/>
          <w:sz w:val="16"/>
          <w:szCs w:val="16"/>
          <w:color w:val="284993"/>
        </w:rPr>
        <w:t>The recommendations provided by our CEO regarding the compensation of our executive officers, as described above.</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53</w:t>
      </w:r>
    </w:p>
    <w:p>
      <w:pPr>
        <w:sectPr>
          <w:pgSz w:w="11900" w:h="16838" w:orient="portrait"/>
          <w:cols w:equalWidth="0" w:num="1">
            <w:col w:w="9320"/>
          </w:cols>
          <w:pgMar w:left="1280" w:top="296" w:right="1299" w:bottom="1440" w:gutter="0" w:footer="0" w:header="0"/>
        </w:sectPr>
      </w:pPr>
    </w:p>
    <w:bookmarkStart w:id="59" w:name="page60"/>
    <w:bookmarkEnd w:id="59"/>
    <w:p>
      <w:pPr>
        <w:ind w:right="40"/>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These factors provide the framework for decision-making by the Compensation Committee with respect to the compensation of each of our 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Role of Compensation Consultant</w:t>
      </w:r>
    </w:p>
    <w:p>
      <w:pPr>
        <w:spacing w:after="0" w:line="107" w:lineRule="exact"/>
        <w:rPr>
          <w:sz w:val="20"/>
          <w:szCs w:val="20"/>
          <w:color w:val="auto"/>
        </w:rPr>
      </w:pPr>
    </w:p>
    <w:p>
      <w:pPr>
        <w:ind w:right="180"/>
        <w:spacing w:after="0" w:line="245" w:lineRule="auto"/>
        <w:rPr>
          <w:sz w:val="20"/>
          <w:szCs w:val="20"/>
          <w:color w:val="auto"/>
        </w:rPr>
      </w:pPr>
      <w:r>
        <w:rPr>
          <w:rFonts w:ascii="Arial" w:cs="Arial" w:eastAsia="Arial" w:hAnsi="Arial"/>
          <w:sz w:val="16"/>
          <w:szCs w:val="16"/>
          <w:color w:val="auto"/>
        </w:rPr>
        <w:t>As permitted under its charter, the Compensation Committee engages an external compensation consultant to assist it by providing information, analysis and other advice relating to our executive compensation program and the decisions resulting from its annual executive compensation review. It directly engages the compensation consultant, which serves at the discretion of the Compensation Committee, and which reviews the terms of the engagement annually.</w:t>
      </w:r>
    </w:p>
    <w:p>
      <w:pPr>
        <w:spacing w:after="0" w:line="18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For 2022, the Compensation Committee retained Compensia, Inc. (“Compensia”), a national independent compensation consulting firm, to serve as its compensation consultant. The Compensation Committee conducted a thorough review of proposals submitted by nationally recognized compensation consultants and through this process selected Compensia to be the consultant. The compensation consultant reported directly, and was directly accountable, to the Compensation Committee, and the Compensation Committee retained the sole authority to retain, terminate and obtain the advice of its compensation consultant at our expense.</w:t>
      </w:r>
    </w:p>
    <w:p>
      <w:pPr>
        <w:spacing w:after="0" w:line="182" w:lineRule="exact"/>
        <w:rPr>
          <w:sz w:val="20"/>
          <w:szCs w:val="20"/>
          <w:color w:val="auto"/>
        </w:rPr>
      </w:pPr>
    </w:p>
    <w:p>
      <w:pPr>
        <w:jc w:val="both"/>
        <w:ind w:right="60"/>
        <w:spacing w:after="0" w:line="302" w:lineRule="auto"/>
        <w:rPr>
          <w:sz w:val="20"/>
          <w:szCs w:val="20"/>
          <w:color w:val="auto"/>
        </w:rPr>
      </w:pPr>
      <w:r>
        <w:rPr>
          <w:rFonts w:ascii="Arial" w:cs="Arial" w:eastAsia="Arial" w:hAnsi="Arial"/>
          <w:sz w:val="14"/>
          <w:szCs w:val="14"/>
          <w:color w:val="auto"/>
        </w:rPr>
        <w:t>The Compensation Committee selected Compensia as its compensation consultant because of the firm’s expertise and reputation and the fact Compensia provided no services to us at the time of selection, had no ties to our management team that could jeopardize their independent status and had strong internal governance policies that help ensure that they would maintain their independence.</w:t>
      </w:r>
    </w:p>
    <w:p>
      <w:pPr>
        <w:spacing w:after="0" w:line="143" w:lineRule="exact"/>
        <w:rPr>
          <w:sz w:val="20"/>
          <w:szCs w:val="20"/>
          <w:color w:val="auto"/>
        </w:rPr>
      </w:pPr>
    </w:p>
    <w:p>
      <w:pPr>
        <w:ind w:right="340"/>
        <w:spacing w:after="0" w:line="263" w:lineRule="auto"/>
        <w:rPr>
          <w:sz w:val="20"/>
          <w:szCs w:val="20"/>
          <w:color w:val="auto"/>
        </w:rPr>
      </w:pPr>
      <w:r>
        <w:rPr>
          <w:rFonts w:ascii="Arial" w:cs="Arial" w:eastAsia="Arial" w:hAnsi="Arial"/>
          <w:sz w:val="16"/>
          <w:szCs w:val="16"/>
          <w:color w:val="auto"/>
        </w:rPr>
        <w:t>During 2022, the compensation consultant regularly attended the meetings of the Compensation Committee (both with and without management present) during the period of its engagement and provided the following services:</w:t>
      </w:r>
    </w:p>
    <w:p>
      <w:pPr>
        <w:spacing w:after="0" w:line="192" w:lineRule="exact"/>
        <w:rPr>
          <w:sz w:val="20"/>
          <w:szCs w:val="20"/>
          <w:color w:val="auto"/>
        </w:rPr>
      </w:pPr>
    </w:p>
    <w:p>
      <w:pPr>
        <w:ind w:left="180" w:right="840" w:hanging="178"/>
        <w:spacing w:after="0" w:line="263"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Consulting with the Compensation Committee chair and other members between Compensation Committee meetings on compensation matters;</w:t>
      </w:r>
    </w:p>
    <w:p>
      <w:pPr>
        <w:spacing w:after="0" w:line="192" w:lineRule="exact"/>
        <w:rPr>
          <w:rFonts w:ascii="Arial" w:cs="Arial" w:eastAsia="Arial" w:hAnsi="Arial"/>
          <w:sz w:val="16"/>
          <w:szCs w:val="16"/>
          <w:color w:val="auto"/>
        </w:rPr>
      </w:pPr>
    </w:p>
    <w:p>
      <w:pPr>
        <w:ind w:left="180" w:hanging="178"/>
        <w:spacing w:after="0"/>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Assisting on the design of the compensation for our Former CEO and our Interim CEO;</w:t>
      </w:r>
    </w:p>
    <w:p>
      <w:pPr>
        <w:spacing w:after="0" w:line="230" w:lineRule="exact"/>
        <w:rPr>
          <w:rFonts w:ascii="Arial" w:cs="Arial" w:eastAsia="Arial" w:hAnsi="Arial"/>
          <w:sz w:val="16"/>
          <w:szCs w:val="16"/>
          <w:color w:val="auto"/>
        </w:rPr>
      </w:pPr>
    </w:p>
    <w:p>
      <w:pPr>
        <w:ind w:left="180" w:right="60" w:hanging="178"/>
        <w:spacing w:after="0" w:line="249"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Reviewing and updating the compensation peer group used to assess the positioning and competitiveness of our executive and non-employee director compensation programs (non-employee director compensation recommendations are made to the Corporate Governance Committee);</w:t>
      </w:r>
    </w:p>
    <w:p>
      <w:pPr>
        <w:spacing w:after="0" w:line="204" w:lineRule="exact"/>
        <w:rPr>
          <w:rFonts w:ascii="Arial" w:cs="Arial" w:eastAsia="Arial" w:hAnsi="Arial"/>
          <w:sz w:val="16"/>
          <w:szCs w:val="16"/>
          <w:color w:val="auto"/>
        </w:rPr>
      </w:pPr>
    </w:p>
    <w:p>
      <w:pPr>
        <w:jc w:val="both"/>
        <w:ind w:left="180" w:right="20" w:hanging="178"/>
        <w:spacing w:after="0" w:line="249"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Providing competitive market data based on the compensation peer group for our executive officer positions and evaluating how the compensation we pay our executive officers compares both to our performance and to how the companies in our compensation peer group compensate their executives;</w:t>
      </w:r>
    </w:p>
    <w:p>
      <w:pPr>
        <w:spacing w:after="0" w:line="204" w:lineRule="exact"/>
        <w:rPr>
          <w:rFonts w:ascii="Arial" w:cs="Arial" w:eastAsia="Arial" w:hAnsi="Arial"/>
          <w:sz w:val="16"/>
          <w:szCs w:val="16"/>
          <w:color w:val="auto"/>
        </w:rPr>
      </w:pPr>
    </w:p>
    <w:p>
      <w:pPr>
        <w:ind w:left="180" w:right="60" w:hanging="178"/>
        <w:spacing w:after="0" w:line="249"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Reviewing and analyzing the base salary levels, target annual incentive compensation opportunities, target total cash compensation opportunities, long-term incentive compensation opportunities, and target total direct compensation of our executive officers and other executive positions;</w:t>
      </w:r>
    </w:p>
    <w:p>
      <w:pPr>
        <w:spacing w:after="0" w:line="204" w:lineRule="exact"/>
        <w:rPr>
          <w:rFonts w:ascii="Arial" w:cs="Arial" w:eastAsia="Arial" w:hAnsi="Arial"/>
          <w:sz w:val="16"/>
          <w:szCs w:val="16"/>
          <w:color w:val="auto"/>
        </w:rPr>
      </w:pPr>
    </w:p>
    <w:p>
      <w:pPr>
        <w:ind w:left="180" w:right="80" w:hanging="178"/>
        <w:spacing w:after="0" w:line="263"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Assessing executive compensation trends within our industry, and updating the Compensation Committee on corporate governance and regulatory developments;</w:t>
      </w:r>
    </w:p>
    <w:p>
      <w:pPr>
        <w:spacing w:after="0" w:line="192" w:lineRule="exact"/>
        <w:rPr>
          <w:rFonts w:ascii="Arial" w:cs="Arial" w:eastAsia="Arial" w:hAnsi="Arial"/>
          <w:sz w:val="16"/>
          <w:szCs w:val="16"/>
          <w:color w:val="auto"/>
        </w:rPr>
      </w:pPr>
    </w:p>
    <w:p>
      <w:pPr>
        <w:ind w:left="180" w:hanging="178"/>
        <w:spacing w:after="0"/>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Reviewing market equity compensation practices, including burn rate, stock compensation expense and overhang;</w:t>
      </w:r>
    </w:p>
    <w:p>
      <w:pPr>
        <w:spacing w:after="0" w:line="230" w:lineRule="exact"/>
        <w:rPr>
          <w:rFonts w:ascii="Arial" w:cs="Arial" w:eastAsia="Arial" w:hAnsi="Arial"/>
          <w:sz w:val="16"/>
          <w:szCs w:val="16"/>
          <w:color w:val="auto"/>
        </w:rPr>
      </w:pPr>
    </w:p>
    <w:p>
      <w:pPr>
        <w:ind w:left="180" w:right="600" w:hanging="178"/>
        <w:spacing w:after="0" w:line="245"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Providing competitive market data based on the compensation peer group regarding the compensation of the non-employee members of our Board, which the Corporate Governance Committee reviews on an annual basis, and evaluating how the compensation we pay to these individuals compares to how the companies in the compensation peer group compensate the members of their board of directors;</w:t>
      </w:r>
    </w:p>
    <w:p>
      <w:pPr>
        <w:spacing w:after="0" w:line="207" w:lineRule="exact"/>
        <w:rPr>
          <w:rFonts w:ascii="Arial" w:cs="Arial" w:eastAsia="Arial" w:hAnsi="Arial"/>
          <w:sz w:val="16"/>
          <w:szCs w:val="16"/>
          <w:color w:val="auto"/>
        </w:rPr>
      </w:pPr>
    </w:p>
    <w:p>
      <w:pPr>
        <w:ind w:left="180" w:hanging="178"/>
        <w:spacing w:after="0"/>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Provided advice to the Committee on executive severance and change in control benefits;</w:t>
      </w:r>
    </w:p>
    <w:p>
      <w:pPr>
        <w:spacing w:after="0" w:line="230" w:lineRule="exact"/>
        <w:rPr>
          <w:rFonts w:ascii="Arial" w:cs="Arial" w:eastAsia="Arial" w:hAnsi="Arial"/>
          <w:sz w:val="16"/>
          <w:szCs w:val="16"/>
          <w:color w:val="auto"/>
        </w:rPr>
      </w:pPr>
    </w:p>
    <w:p>
      <w:pPr>
        <w:ind w:left="180" w:right="60" w:hanging="178"/>
        <w:spacing w:after="0" w:line="263"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Assisting in the drafting of the Compensation Discussion and Analysis, and other executive compensation related parts of this Proxy Statement; and</w:t>
      </w:r>
    </w:p>
    <w:p>
      <w:pPr>
        <w:spacing w:after="0" w:line="192" w:lineRule="exact"/>
        <w:rPr>
          <w:rFonts w:ascii="Arial" w:cs="Arial" w:eastAsia="Arial" w:hAnsi="Arial"/>
          <w:sz w:val="16"/>
          <w:szCs w:val="16"/>
          <w:color w:val="auto"/>
        </w:rPr>
      </w:pPr>
    </w:p>
    <w:p>
      <w:pPr>
        <w:ind w:left="180" w:right="120" w:hanging="178"/>
        <w:spacing w:after="0" w:line="335" w:lineRule="auto"/>
        <w:tabs>
          <w:tab w:leader="none" w:pos="1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Assessing compensation-related risk to determine whether our executive compensation policies and practices are reasonably likely to have a material adverse impact on us. See above for a more complete discussion of the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43180</wp:posOffset>
            </wp:positionV>
            <wp:extent cx="699135" cy="1314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54</w:t>
      </w:r>
    </w:p>
    <w:p>
      <w:pPr>
        <w:sectPr>
          <w:pgSz w:w="11900" w:h="16838" w:orient="portrait"/>
          <w:cols w:equalWidth="0" w:num="1">
            <w:col w:w="9300"/>
          </w:cols>
          <w:pgMar w:left="1280" w:top="296" w:right="1319" w:bottom="1440" w:gutter="0" w:footer="0" w:header="0"/>
        </w:sectPr>
      </w:pPr>
    </w:p>
    <w:bookmarkStart w:id="60" w:name="page61"/>
    <w:bookmarkEnd w:id="60"/>
    <w:p>
      <w:pPr>
        <w:ind w:right="60"/>
        <w:spacing w:after="0" w:line="28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In 2022, Compensia did not provide any services to us except those listed above. The Compensation Committee regularly reviews the objectivity and independence of the advice provided by its compensation consultant on executive compensation matters. With respect to the 2022 period, the Compensation Committee considered the six specific independence factors adopted by the SEC and the NASDAQ Stock Market and determined that Compensia was independent and that their work did not raise any conflicts of interest. The Compensation Committee will continue to monitor the independence of its compensation consultant on an annual basis.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Market Data</w:t>
      </w:r>
    </w:p>
    <w:p>
      <w:pPr>
        <w:spacing w:after="0" w:line="107"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Each year, the Compensation Committee identifies a group of peer companies for purposes of comparing and analyzing our executive compensation levels, policies, and practices against the competitive market. The companies in this compensation peer group for 2022 were selected in June 2021 based on their similarity to us, as determined using the following criteria:</w:t>
      </w:r>
    </w:p>
    <w:p>
      <w:pPr>
        <w:spacing w:after="0" w:line="204" w:lineRule="exact"/>
        <w:rPr>
          <w:sz w:val="20"/>
          <w:szCs w:val="20"/>
          <w:color w:val="auto"/>
        </w:rPr>
      </w:pPr>
    </w:p>
    <w:p>
      <w:pPr>
        <w:ind w:left="180" w:hanging="178"/>
        <w:spacing w:after="0"/>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Companies in the software or information technology services industries;</w:t>
      </w:r>
    </w:p>
    <w:p>
      <w:pPr>
        <w:spacing w:after="0" w:line="230" w:lineRule="exact"/>
        <w:rPr>
          <w:rFonts w:ascii="Arial" w:cs="Arial" w:eastAsia="Arial" w:hAnsi="Arial"/>
          <w:sz w:val="16"/>
          <w:szCs w:val="16"/>
          <w:color w:val="auto"/>
        </w:rPr>
      </w:pPr>
    </w:p>
    <w:p>
      <w:pPr>
        <w:ind w:left="180" w:right="480" w:hanging="178"/>
        <w:spacing w:after="0" w:line="263"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Companies with a similar focus in terms of products or customers that would likely compete against us for financial capital and employees;</w:t>
      </w:r>
    </w:p>
    <w:p>
      <w:pPr>
        <w:spacing w:after="0" w:line="192" w:lineRule="exact"/>
        <w:rPr>
          <w:rFonts w:ascii="Arial" w:cs="Arial" w:eastAsia="Arial" w:hAnsi="Arial"/>
          <w:sz w:val="16"/>
          <w:szCs w:val="16"/>
          <w:color w:val="auto"/>
        </w:rPr>
      </w:pPr>
    </w:p>
    <w:p>
      <w:pPr>
        <w:ind w:left="180" w:right="40" w:hanging="178"/>
        <w:spacing w:after="0" w:line="249"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Companies of similar revenue size and market capitalization. Our selection criteria consider companies within a revenue range of 50% to 200% of our trailing twelve months’ revenue and a market capitalization range of between 25% and 400% of our then-current market capitalization; and</w:t>
      </w:r>
    </w:p>
    <w:p>
      <w:pPr>
        <w:spacing w:after="0" w:line="204" w:lineRule="exact"/>
        <w:rPr>
          <w:rFonts w:ascii="Arial" w:cs="Arial" w:eastAsia="Arial" w:hAnsi="Arial"/>
          <w:sz w:val="16"/>
          <w:szCs w:val="16"/>
          <w:color w:val="auto"/>
        </w:rPr>
      </w:pPr>
    </w:p>
    <w:p>
      <w:pPr>
        <w:ind w:left="180" w:hanging="178"/>
        <w:spacing w:after="0"/>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Companies headquartered in the U.S. with status as an independent publicly traded entity.</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After consultation with its compensation consultant, the Compensation Committee approved the following compensation peer group for use with respect to 2022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5937885" cy="13906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37885" cy="1390650"/>
                    </a:xfrm>
                    <a:prstGeom prst="rect">
                      <a:avLst/>
                    </a:prstGeom>
                    <a:noFill/>
                  </pic:spPr>
                </pic:pic>
              </a:graphicData>
            </a:graphic>
          </wp:anchor>
        </w:drawing>
      </w:r>
    </w:p>
    <w:p>
      <w:pPr>
        <w:sectPr>
          <w:pgSz w:w="11900" w:h="16838" w:orient="portrait"/>
          <w:cols w:equalWidth="0" w:num="1">
            <w:col w:w="9320"/>
          </w:cols>
          <w:pgMar w:left="1280" w:top="296" w:right="1299" w:bottom="1440" w:gutter="0" w:footer="0" w:header="0"/>
        </w:sect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6"/>
          <w:szCs w:val="16"/>
          <w:color w:val="284993"/>
        </w:rPr>
        <w:t>Blackbaud, Inc.</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6"/>
          <w:szCs w:val="16"/>
          <w:color w:val="284993"/>
        </w:rPr>
        <w:t>CDK Global, Inc.</w:t>
      </w:r>
    </w:p>
    <w:p>
      <w:pPr>
        <w:ind w:left="140"/>
        <w:spacing w:after="0" w:line="236" w:lineRule="auto"/>
        <w:rPr>
          <w:sz w:val="20"/>
          <w:szCs w:val="20"/>
          <w:color w:val="auto"/>
        </w:rPr>
      </w:pPr>
      <w:r>
        <w:rPr>
          <w:rFonts w:ascii="Arial" w:cs="Arial" w:eastAsia="Arial" w:hAnsi="Arial"/>
          <w:sz w:val="16"/>
          <w:szCs w:val="16"/>
          <w:color w:val="284993"/>
        </w:rPr>
        <w:t>CoreLogic, Inc.</w:t>
      </w:r>
    </w:p>
    <w:p>
      <w:pPr>
        <w:ind w:left="140"/>
        <w:spacing w:after="0" w:line="237" w:lineRule="auto"/>
        <w:rPr>
          <w:sz w:val="20"/>
          <w:szCs w:val="20"/>
          <w:color w:val="auto"/>
        </w:rPr>
      </w:pPr>
      <w:r>
        <w:rPr>
          <w:rFonts w:ascii="Arial" w:cs="Arial" w:eastAsia="Arial" w:hAnsi="Arial"/>
          <w:sz w:val="16"/>
          <w:szCs w:val="16"/>
          <w:color w:val="284993"/>
        </w:rPr>
        <w:t>CSG Systems International, Inc.</w:t>
      </w:r>
    </w:p>
    <w:p>
      <w:pPr>
        <w:ind w:left="140"/>
        <w:spacing w:after="0" w:line="236" w:lineRule="auto"/>
        <w:rPr>
          <w:sz w:val="20"/>
          <w:szCs w:val="20"/>
          <w:color w:val="auto"/>
        </w:rPr>
      </w:pPr>
      <w:r>
        <w:rPr>
          <w:rFonts w:ascii="Arial" w:cs="Arial" w:eastAsia="Arial" w:hAnsi="Arial"/>
          <w:sz w:val="16"/>
          <w:szCs w:val="16"/>
          <w:color w:val="284993"/>
        </w:rPr>
        <w:t>DocuSign, Inc.</w:t>
      </w:r>
    </w:p>
    <w:p>
      <w:pPr>
        <w:ind w:left="140"/>
        <w:spacing w:after="0" w:line="237" w:lineRule="auto"/>
        <w:rPr>
          <w:sz w:val="20"/>
          <w:szCs w:val="20"/>
          <w:color w:val="auto"/>
        </w:rPr>
      </w:pPr>
      <w:r>
        <w:rPr>
          <w:rFonts w:ascii="Arial" w:cs="Arial" w:eastAsia="Arial" w:hAnsi="Arial"/>
          <w:sz w:val="16"/>
          <w:szCs w:val="16"/>
          <w:color w:val="284993"/>
        </w:rPr>
        <w:t>Dropbox, Inc.</w:t>
      </w:r>
    </w:p>
    <w:p>
      <w:pPr>
        <w:ind w:left="140"/>
        <w:spacing w:after="0" w:line="236" w:lineRule="auto"/>
        <w:rPr>
          <w:sz w:val="20"/>
          <w:szCs w:val="20"/>
          <w:color w:val="auto"/>
        </w:rPr>
      </w:pPr>
      <w:r>
        <w:rPr>
          <w:rFonts w:ascii="Arial" w:cs="Arial" w:eastAsia="Arial" w:hAnsi="Arial"/>
          <w:sz w:val="16"/>
          <w:szCs w:val="16"/>
          <w:color w:val="284993"/>
        </w:rPr>
        <w:t>Envestnet, Inc.</w:t>
      </w:r>
    </w:p>
    <w:p>
      <w:pPr>
        <w:ind w:left="140"/>
        <w:spacing w:after="0" w:line="237" w:lineRule="auto"/>
        <w:rPr>
          <w:sz w:val="20"/>
          <w:szCs w:val="20"/>
          <w:color w:val="auto"/>
        </w:rPr>
      </w:pPr>
      <w:r>
        <w:rPr>
          <w:rFonts w:ascii="Arial" w:cs="Arial" w:eastAsia="Arial" w:hAnsi="Arial"/>
          <w:sz w:val="16"/>
          <w:szCs w:val="16"/>
          <w:color w:val="284993"/>
        </w:rPr>
        <w:t>Fair Isaac Corp.</w:t>
      </w:r>
    </w:p>
    <w:p>
      <w:pPr>
        <w:ind w:left="140"/>
        <w:spacing w:after="0"/>
        <w:rPr>
          <w:sz w:val="20"/>
          <w:szCs w:val="20"/>
          <w:color w:val="auto"/>
        </w:rPr>
      </w:pPr>
      <w:r>
        <w:rPr>
          <w:rFonts w:ascii="Arial" w:cs="Arial" w:eastAsia="Arial" w:hAnsi="Arial"/>
          <w:sz w:val="14"/>
          <w:szCs w:val="14"/>
          <w:color w:val="284993"/>
        </w:rPr>
        <w:t>Mandiant , Inc. (formerly FireEye, Inc.)</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284993"/>
        </w:rPr>
        <w:t>Green Dot Corp.</w:t>
      </w:r>
    </w:p>
    <w:p>
      <w:pPr>
        <w:ind w:left="140"/>
        <w:spacing w:after="0"/>
        <w:rPr>
          <w:sz w:val="20"/>
          <w:szCs w:val="20"/>
          <w:color w:val="auto"/>
        </w:rPr>
      </w:pPr>
      <w:r>
        <w:rPr>
          <w:rFonts w:ascii="Arial" w:cs="Arial" w:eastAsia="Arial" w:hAnsi="Arial"/>
          <w:sz w:val="16"/>
          <w:szCs w:val="16"/>
          <w:color w:val="284993"/>
        </w:rPr>
        <w:t>J2 Global, Inc.</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284993"/>
        </w:rPr>
        <w:t>Nuance Communications,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84993"/>
        </w:rPr>
        <w:t>Nutanix, Inc.</w:t>
      </w:r>
    </w:p>
    <w:p>
      <w:pPr>
        <w:spacing w:after="0" w:line="236" w:lineRule="auto"/>
        <w:rPr>
          <w:sz w:val="20"/>
          <w:szCs w:val="20"/>
          <w:color w:val="auto"/>
        </w:rPr>
      </w:pPr>
      <w:r>
        <w:rPr>
          <w:rFonts w:ascii="Arial" w:cs="Arial" w:eastAsia="Arial" w:hAnsi="Arial"/>
          <w:sz w:val="16"/>
          <w:szCs w:val="16"/>
          <w:color w:val="284993"/>
        </w:rPr>
        <w:t>Pegasystems Inc.</w:t>
      </w:r>
    </w:p>
    <w:p>
      <w:pPr>
        <w:spacing w:after="0" w:line="237" w:lineRule="auto"/>
        <w:rPr>
          <w:sz w:val="20"/>
          <w:szCs w:val="20"/>
          <w:color w:val="auto"/>
        </w:rPr>
      </w:pPr>
      <w:r>
        <w:rPr>
          <w:rFonts w:ascii="Arial" w:cs="Arial" w:eastAsia="Arial" w:hAnsi="Arial"/>
          <w:sz w:val="16"/>
          <w:szCs w:val="16"/>
          <w:color w:val="284993"/>
        </w:rPr>
        <w:t>Proofpoint, Inc.</w:t>
      </w:r>
    </w:p>
    <w:p>
      <w:pPr>
        <w:spacing w:after="0" w:line="236" w:lineRule="auto"/>
        <w:rPr>
          <w:sz w:val="20"/>
          <w:szCs w:val="20"/>
          <w:color w:val="auto"/>
        </w:rPr>
      </w:pPr>
      <w:r>
        <w:rPr>
          <w:rFonts w:ascii="Arial" w:cs="Arial" w:eastAsia="Arial" w:hAnsi="Arial"/>
          <w:sz w:val="16"/>
          <w:szCs w:val="16"/>
          <w:color w:val="284993"/>
        </w:rPr>
        <w:t>PTC Inc.</w:t>
      </w:r>
    </w:p>
    <w:p>
      <w:pPr>
        <w:spacing w:after="0" w:line="237" w:lineRule="auto"/>
        <w:rPr>
          <w:sz w:val="20"/>
          <w:szCs w:val="20"/>
          <w:color w:val="auto"/>
        </w:rPr>
      </w:pPr>
      <w:r>
        <w:rPr>
          <w:rFonts w:ascii="Arial" w:cs="Arial" w:eastAsia="Arial" w:hAnsi="Arial"/>
          <w:sz w:val="16"/>
          <w:szCs w:val="16"/>
          <w:color w:val="284993"/>
        </w:rPr>
        <w:t>RealPage, Inc.</w:t>
      </w:r>
    </w:p>
    <w:p>
      <w:pPr>
        <w:spacing w:after="0" w:line="236" w:lineRule="auto"/>
        <w:rPr>
          <w:sz w:val="20"/>
          <w:szCs w:val="20"/>
          <w:color w:val="auto"/>
        </w:rPr>
      </w:pPr>
      <w:r>
        <w:rPr>
          <w:rFonts w:ascii="Arial" w:cs="Arial" w:eastAsia="Arial" w:hAnsi="Arial"/>
          <w:sz w:val="16"/>
          <w:szCs w:val="16"/>
          <w:color w:val="284993"/>
        </w:rPr>
        <w:t>Teradata Corp.</w:t>
      </w:r>
    </w:p>
    <w:p>
      <w:pPr>
        <w:spacing w:after="0" w:line="237" w:lineRule="auto"/>
        <w:rPr>
          <w:sz w:val="20"/>
          <w:szCs w:val="20"/>
          <w:color w:val="auto"/>
        </w:rPr>
      </w:pPr>
      <w:r>
        <w:rPr>
          <w:rFonts w:ascii="Arial" w:cs="Arial" w:eastAsia="Arial" w:hAnsi="Arial"/>
          <w:sz w:val="16"/>
          <w:szCs w:val="16"/>
          <w:color w:val="284993"/>
        </w:rPr>
        <w:t>Tyler Technologies, Inc.</w:t>
      </w:r>
    </w:p>
    <w:p>
      <w:pPr>
        <w:spacing w:after="0" w:line="236" w:lineRule="auto"/>
        <w:rPr>
          <w:sz w:val="20"/>
          <w:szCs w:val="20"/>
          <w:color w:val="auto"/>
        </w:rPr>
      </w:pPr>
      <w:r>
        <w:rPr>
          <w:rFonts w:ascii="Arial" w:cs="Arial" w:eastAsia="Arial" w:hAnsi="Arial"/>
          <w:sz w:val="16"/>
          <w:szCs w:val="16"/>
          <w:color w:val="284993"/>
        </w:rPr>
        <w:t>Verint Systems Inc.</w:t>
      </w:r>
    </w:p>
    <w:p>
      <w:pPr>
        <w:spacing w:after="0"/>
        <w:rPr>
          <w:sz w:val="20"/>
          <w:szCs w:val="20"/>
          <w:color w:val="auto"/>
        </w:rPr>
      </w:pPr>
      <w:r>
        <w:rPr>
          <w:rFonts w:ascii="Arial" w:cs="Arial" w:eastAsia="Arial" w:hAnsi="Arial"/>
          <w:sz w:val="16"/>
          <w:szCs w:val="16"/>
          <w:color w:val="284993"/>
        </w:rPr>
        <w:t>Zendesk, Inc.</w:t>
      </w:r>
    </w:p>
    <w:p>
      <w:pPr>
        <w:spacing w:after="0" w:line="381" w:lineRule="exact"/>
        <w:rPr>
          <w:sz w:val="20"/>
          <w:szCs w:val="20"/>
          <w:color w:val="auto"/>
        </w:rPr>
      </w:pPr>
    </w:p>
    <w:p>
      <w:pPr>
        <w:sectPr>
          <w:pgSz w:w="11900" w:h="16838" w:orient="portrait"/>
          <w:cols w:equalWidth="0" w:num="2">
            <w:col w:w="4120" w:space="720"/>
            <w:col w:w="4480"/>
          </w:cols>
          <w:pgMar w:left="1280" w:top="296" w:right="1299" w:bottom="1440" w:gutter="0" w:footer="0" w:header="0"/>
          <w:type w:val="continuous"/>
        </w:sectPr>
      </w:pPr>
    </w:p>
    <w:p>
      <w:pPr>
        <w:spacing w:after="0" w:line="107"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To analyze the compensation practices of the companies in our compensation peer group, the compensation consultant gathered data from public filings (primarily proxy statements) and from a custom cut of companies that participate in the Radford Global Technology Survey. This market data was then used as a reference by the Compensation Committee to assess our current compensation levels during its deliberations on compensation forms and amounts.</w:t>
      </w:r>
    </w:p>
    <w:p>
      <w:pPr>
        <w:spacing w:after="0" w:line="18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Compensation Committee reviews our compensation peer group at least annually and adjusts its composition, considering changes in both our business and the businesses of the companies in the peer group. For the peer group described above, in comparison to the prior year’s peer group, we removed three companies, Box, Inc., Commvault Systems, Inc., and Guidewire Software, Inc., due to revenues falling below our then-current selection criteria range; we removed LogMeIn, Inc. due to the company being acquired. We also added CoreLogic, Inc., Dropbox, Inc., Green Dot Corp., Teradata Corp., and Zendesk, Inc. because they were within our revenue and market capitalization selection criteria ranges and were considered to be appropriate business fits.</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55</w:t>
      </w:r>
    </w:p>
    <w:p>
      <w:pPr>
        <w:sectPr>
          <w:pgSz w:w="11900" w:h="16838" w:orient="portrait"/>
          <w:cols w:equalWidth="0" w:num="1">
            <w:col w:w="9320"/>
          </w:cols>
          <w:pgMar w:left="1280" w:top="296" w:right="129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Compensation Elements</w:t>
      </w:r>
    </w:p>
    <w:p>
      <w:pPr>
        <w:spacing w:after="0" w:line="12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Our executive compensation program is primarily comprised of the elements set forth in the following table, each of which is described in more detail below. Although the focus of this Compensation Discussion and Analysis is on the compensation of our Named Executive Officers, our 2022 executive compensation program for all our executive officers, including those who are not Named Executive Officers, was primarily comprised of these same elements, and the compensation-setting process described above applies similarly with respect to the compensation of all our executive officers. The Compensation Committee considers the factors described under “Compensation-Setting Process – Factors Considered in Compensation Deliberations” above to determine the form and amount of each element of compensation similarly for our CEO and our other executive officers, including our other Named Executive Officers.</w:t>
      </w:r>
    </w:p>
    <w:p>
      <w:pPr>
        <w:spacing w:after="0" w:line="157"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The following table sets forth information regarding each individual compensation element for our Named Executive Officers other than the Interim CEO, including each element’s principal purpose and its link to our compensation philosophy and, where the element is performance based, the specific associated performance metrics. The disclosure that follows this table provides additional information regarding the compensation program for our Interim CEO.</w:t>
      </w:r>
    </w:p>
    <w:p>
      <w:pPr>
        <w:sectPr>
          <w:pgSz w:w="11900" w:h="16838" w:orient="portrait"/>
          <w:cols w:equalWidth="0" w:num="1">
            <w:col w:w="9320"/>
          </w:cols>
          <w:pgMar w:left="1280" w:top="285" w:right="1299" w:bottom="1440" w:gutter="0" w:footer="0" w:header="0"/>
        </w:sectPr>
      </w:pPr>
    </w:p>
    <w:p>
      <w:pPr>
        <w:spacing w:after="0" w:line="205" w:lineRule="exact"/>
        <w:rPr>
          <w:sz w:val="20"/>
          <w:szCs w:val="20"/>
          <w:color w:val="auto"/>
        </w:rPr>
      </w:pPr>
    </w:p>
    <w:p>
      <w:pPr>
        <w:ind w:left="180"/>
        <w:spacing w:after="0"/>
        <w:tabs>
          <w:tab w:leader="none" w:pos="3740" w:val="left"/>
        </w:tabs>
        <w:rPr>
          <w:sz w:val="20"/>
          <w:szCs w:val="20"/>
          <w:color w:val="auto"/>
        </w:rPr>
      </w:pPr>
      <w:r>
        <w:rPr>
          <w:rFonts w:ascii="Arial" w:cs="Arial" w:eastAsia="Arial" w:hAnsi="Arial"/>
          <w:sz w:val="16"/>
          <w:szCs w:val="16"/>
          <w:b w:val="1"/>
          <w:bCs w:val="1"/>
          <w:color w:val="FFFFFF"/>
        </w:rPr>
        <w:t>Compensation Element</w:t>
      </w:r>
      <w:r>
        <w:rPr>
          <w:sz w:val="20"/>
          <w:szCs w:val="20"/>
          <w:color w:val="auto"/>
        </w:rPr>
        <w:tab/>
      </w:r>
      <w:r>
        <w:rPr>
          <w:rFonts w:ascii="Arial" w:cs="Arial" w:eastAsia="Arial" w:hAnsi="Arial"/>
          <w:sz w:val="14"/>
          <w:szCs w:val="14"/>
          <w:b w:val="1"/>
          <w:bCs w:val="1"/>
          <w:color w:val="FFFFFF"/>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5920740" cy="1149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20740" cy="114935"/>
                    </a:xfrm>
                    <a:prstGeom prst="rect">
                      <a:avLst/>
                    </a:prstGeom>
                    <a:noFill/>
                  </pic:spPr>
                </pic:pic>
              </a:graphicData>
            </a:graphic>
          </wp:anchor>
        </w:drawing>
      </w:r>
    </w:p>
    <w:p>
      <w:pPr>
        <w:spacing w:after="0" w:line="11" w:lineRule="exact"/>
        <w:rPr>
          <w:sz w:val="20"/>
          <w:szCs w:val="20"/>
          <w:color w:val="auto"/>
        </w:rPr>
      </w:pPr>
    </w:p>
    <w:p>
      <w:pPr>
        <w:ind w:left="160"/>
        <w:spacing w:after="0"/>
        <w:tabs>
          <w:tab w:leader="none" w:pos="262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4"/>
          <w:szCs w:val="14"/>
          <w:color w:val="auto"/>
        </w:rPr>
        <w:t>•   Ongoing cash compensation based on</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executive officer’s role, responsibilities,</w:t>
      </w:r>
    </w:p>
    <w:p>
      <w:pPr>
        <w:spacing w:after="0" w:line="18"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competitive market positioning and</w:t>
      </w:r>
    </w:p>
    <w:p>
      <w:pPr>
        <w:ind w:left="2800"/>
        <w:spacing w:after="0"/>
        <w:rPr>
          <w:sz w:val="20"/>
          <w:szCs w:val="20"/>
          <w:color w:val="auto"/>
        </w:rPr>
      </w:pPr>
      <w:r>
        <w:rPr>
          <w:rFonts w:ascii="Arial" w:cs="Arial" w:eastAsia="Arial" w:hAnsi="Arial"/>
          <w:sz w:val="16"/>
          <w:szCs w:val="16"/>
          <w:color w:val="auto"/>
        </w:rPr>
        <w:t>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59207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FFFFFF"/>
        </w:rPr>
        <w:t>Element Objectives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•   Attract and retain key managerial talent</w:t>
      </w:r>
    </w:p>
    <w:p>
      <w:pPr>
        <w:spacing w:after="0" w:line="80" w:lineRule="exact"/>
        <w:rPr>
          <w:sz w:val="20"/>
          <w:szCs w:val="20"/>
          <w:color w:val="auto"/>
        </w:rPr>
      </w:pPr>
    </w:p>
    <w:p>
      <w:pPr>
        <w:ind w:left="160" w:right="300" w:hanging="154"/>
        <w:spacing w:after="0" w:line="263" w:lineRule="auto"/>
        <w:rPr>
          <w:sz w:val="20"/>
          <w:szCs w:val="20"/>
          <w:color w:val="auto"/>
        </w:rPr>
      </w:pPr>
      <w:r>
        <w:rPr>
          <w:rFonts w:ascii="Arial" w:cs="Arial" w:eastAsia="Arial" w:hAnsi="Arial"/>
          <w:sz w:val="16"/>
          <w:szCs w:val="16"/>
          <w:color w:val="auto"/>
        </w:rPr>
        <w:t>•  Provide a base level of compensation for our executives</w:t>
      </w:r>
    </w:p>
    <w:p>
      <w:pPr>
        <w:spacing w:after="0" w:line="101" w:lineRule="exact"/>
        <w:rPr>
          <w:sz w:val="20"/>
          <w:szCs w:val="20"/>
          <w:color w:val="auto"/>
        </w:rPr>
      </w:pPr>
    </w:p>
    <w:p>
      <w:pPr>
        <w:sectPr>
          <w:pgSz w:w="11900" w:h="16838" w:orient="portrait"/>
          <w:cols w:equalWidth="0" w:num="2">
            <w:col w:w="5480" w:space="600"/>
            <w:col w:w="3240"/>
          </w:cols>
          <w:pgMar w:left="1280" w:top="285" w:right="1299" w:bottom="1440" w:gutter="0" w:footer="0" w:header="0"/>
          <w:type w:val="continuous"/>
        </w:sectPr>
      </w:pPr>
    </w:p>
    <w:p>
      <w:pPr>
        <w:ind w:left="160"/>
        <w:spacing w:after="0"/>
        <w:tabs>
          <w:tab w:leader="none" w:pos="2620" w:val="left"/>
        </w:tabs>
        <w:rPr>
          <w:sz w:val="20"/>
          <w:szCs w:val="20"/>
          <w:color w:val="auto"/>
        </w:rPr>
      </w:pPr>
      <w:r>
        <w:rPr>
          <w:rFonts w:ascii="Arial" w:cs="Arial" w:eastAsia="Arial" w:hAnsi="Arial"/>
          <w:sz w:val="16"/>
          <w:szCs w:val="16"/>
          <w:color w:val="auto"/>
        </w:rPr>
        <w:t>Annual Cash Incentive</w:t>
      </w:r>
      <w:r>
        <w:rPr>
          <w:sz w:val="20"/>
          <w:szCs w:val="20"/>
          <w:color w:val="auto"/>
        </w:rPr>
        <w:tab/>
      </w:r>
      <w:r>
        <w:rPr>
          <w:rFonts w:ascii="Arial" w:cs="Arial" w:eastAsia="Arial" w:hAnsi="Arial"/>
          <w:sz w:val="14"/>
          <w:szCs w:val="14"/>
          <w:color w:val="auto"/>
        </w:rPr>
        <w:t>•   Annual cash incentive with target award</w:t>
      </w:r>
    </w:p>
    <w:p>
      <w:pPr>
        <w:spacing w:after="0" w:line="11" w:lineRule="exact"/>
        <w:rPr>
          <w:sz w:val="20"/>
          <w:szCs w:val="20"/>
          <w:color w:val="auto"/>
        </w:rPr>
      </w:pPr>
    </w:p>
    <w:p>
      <w:pPr>
        <w:ind w:left="160"/>
        <w:spacing w:after="0"/>
        <w:tabs>
          <w:tab w:leader="none" w:pos="2780" w:val="left"/>
        </w:tabs>
        <w:rPr>
          <w:sz w:val="20"/>
          <w:szCs w:val="20"/>
          <w:color w:val="auto"/>
        </w:rPr>
      </w:pPr>
      <w:r>
        <w:rPr>
          <w:rFonts w:ascii="Arial" w:cs="Arial" w:eastAsia="Arial" w:hAnsi="Arial"/>
          <w:sz w:val="14"/>
          <w:szCs w:val="14"/>
          <w:color w:val="auto"/>
        </w:rPr>
        <w:t>Awards</w:t>
      </w:r>
      <w:r>
        <w:rPr>
          <w:sz w:val="20"/>
          <w:szCs w:val="20"/>
          <w:color w:val="auto"/>
        </w:rPr>
        <w:tab/>
      </w:r>
      <w:r>
        <w:rPr>
          <w:rFonts w:ascii="Arial" w:cs="Arial" w:eastAsia="Arial" w:hAnsi="Arial"/>
          <w:sz w:val="14"/>
          <w:szCs w:val="14"/>
          <w:color w:val="auto"/>
        </w:rPr>
        <w:t>amounts for each executive officer; actual</w:t>
      </w:r>
    </w:p>
    <w:p>
      <w:pPr>
        <w:spacing w:after="0" w:line="20"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cash awards may be higher or lower than</w:t>
      </w:r>
    </w:p>
    <w:p>
      <w:pPr>
        <w:spacing w:after="0" w:line="18"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target based on business and individual</w:t>
      </w:r>
    </w:p>
    <w:p>
      <w:pPr>
        <w:ind w:left="2800"/>
        <w:spacing w:after="0" w:line="236" w:lineRule="auto"/>
        <w:rPr>
          <w:sz w:val="20"/>
          <w:szCs w:val="20"/>
          <w:color w:val="auto"/>
        </w:rPr>
      </w:pPr>
      <w:r>
        <w:rPr>
          <w:rFonts w:ascii="Arial" w:cs="Arial" w:eastAsia="Arial" w:hAnsi="Arial"/>
          <w:sz w:val="16"/>
          <w:szCs w:val="16"/>
          <w:color w:val="auto"/>
        </w:rPr>
        <w:t>performance</w:t>
      </w:r>
    </w:p>
    <w:p>
      <w:pPr>
        <w:ind w:left="2640"/>
        <w:spacing w:after="0" w:line="237" w:lineRule="auto"/>
        <w:rPr>
          <w:sz w:val="20"/>
          <w:szCs w:val="20"/>
          <w:color w:val="auto"/>
        </w:rPr>
      </w:pPr>
      <w:r>
        <w:rPr>
          <w:rFonts w:ascii="Arial" w:cs="Arial" w:eastAsia="Arial" w:hAnsi="Arial"/>
          <w:sz w:val="16"/>
          <w:szCs w:val="16"/>
          <w:color w:val="auto"/>
        </w:rPr>
        <w:t>•   Provided under our Executive</w:t>
      </w:r>
    </w:p>
    <w:p>
      <w:pPr>
        <w:ind w:left="2800"/>
        <w:spacing w:after="0" w:line="236" w:lineRule="auto"/>
        <w:rPr>
          <w:sz w:val="20"/>
          <w:szCs w:val="20"/>
          <w:color w:val="auto"/>
        </w:rPr>
      </w:pPr>
      <w:r>
        <w:rPr>
          <w:rFonts w:ascii="Arial" w:cs="Arial" w:eastAsia="Arial" w:hAnsi="Arial"/>
          <w:sz w:val="16"/>
          <w:szCs w:val="16"/>
          <w:color w:val="auto"/>
        </w:rPr>
        <w:t>Management Incentive Compensation</w:t>
      </w:r>
    </w:p>
    <w:p>
      <w:pPr>
        <w:ind w:left="2800"/>
        <w:spacing w:after="0"/>
        <w:rPr>
          <w:sz w:val="20"/>
          <w:szCs w:val="20"/>
          <w:color w:val="auto"/>
        </w:rPr>
      </w:pPr>
      <w:r>
        <w:rPr>
          <w:rFonts w:ascii="Arial" w:cs="Arial" w:eastAsia="Arial" w:hAnsi="Arial"/>
          <w:sz w:val="16"/>
          <w:szCs w:val="16"/>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59207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Attract and retain key managerial talent</w:t>
      </w:r>
    </w:p>
    <w:p>
      <w:pPr>
        <w:spacing w:after="0" w:line="85" w:lineRule="exact"/>
        <w:rPr>
          <w:sz w:val="20"/>
          <w:szCs w:val="20"/>
          <w:color w:val="auto"/>
        </w:rPr>
      </w:pPr>
    </w:p>
    <w:p>
      <w:pPr>
        <w:ind w:left="160" w:right="440" w:hanging="154"/>
        <w:spacing w:after="0" w:line="263" w:lineRule="auto"/>
        <w:rPr>
          <w:sz w:val="20"/>
          <w:szCs w:val="20"/>
          <w:color w:val="auto"/>
        </w:rPr>
      </w:pPr>
      <w:r>
        <w:rPr>
          <w:rFonts w:ascii="Arial" w:cs="Arial" w:eastAsia="Arial" w:hAnsi="Arial"/>
          <w:sz w:val="16"/>
          <w:szCs w:val="16"/>
          <w:color w:val="auto"/>
        </w:rPr>
        <w:t>•  Encourage and reward achievement of annual performance objectives</w:t>
      </w:r>
    </w:p>
    <w:p>
      <w:pPr>
        <w:spacing w:after="0" w:line="24" w:lineRule="exact"/>
        <w:rPr>
          <w:sz w:val="20"/>
          <w:szCs w:val="20"/>
          <w:color w:val="auto"/>
        </w:rPr>
      </w:pPr>
    </w:p>
    <w:p>
      <w:pPr>
        <w:ind w:left="160" w:right="700" w:hanging="154"/>
        <w:spacing w:after="0" w:line="263" w:lineRule="auto"/>
        <w:rPr>
          <w:sz w:val="20"/>
          <w:szCs w:val="20"/>
          <w:color w:val="auto"/>
        </w:rPr>
      </w:pPr>
      <w:r>
        <w:rPr>
          <w:rFonts w:ascii="Arial" w:cs="Arial" w:eastAsia="Arial" w:hAnsi="Arial"/>
          <w:sz w:val="16"/>
          <w:szCs w:val="16"/>
          <w:color w:val="auto"/>
        </w:rPr>
        <w:t>•   Drive top-tier performance through individual contributions</w:t>
      </w:r>
    </w:p>
    <w:p>
      <w:pPr>
        <w:spacing w:after="0" w:line="412" w:lineRule="exact"/>
        <w:rPr>
          <w:sz w:val="20"/>
          <w:szCs w:val="20"/>
          <w:color w:val="auto"/>
        </w:rPr>
      </w:pPr>
    </w:p>
    <w:p>
      <w:pPr>
        <w:sectPr>
          <w:pgSz w:w="11900" w:h="16838" w:orient="portrait"/>
          <w:cols w:equalWidth="0" w:num="2">
            <w:col w:w="5660" w:space="420"/>
            <w:col w:w="3240"/>
          </w:cols>
          <w:pgMar w:left="1280" w:top="285" w:right="1299" w:bottom="1440" w:gutter="0" w:footer="0" w:header="0"/>
          <w:type w:val="continuous"/>
        </w:sectPr>
      </w:pPr>
    </w:p>
    <w:p>
      <w:pPr>
        <w:ind w:left="160"/>
        <w:spacing w:after="0"/>
        <w:tabs>
          <w:tab w:leader="none" w:pos="2620" w:val="left"/>
        </w:tabs>
        <w:rPr>
          <w:sz w:val="20"/>
          <w:szCs w:val="20"/>
          <w:color w:val="auto"/>
        </w:rPr>
      </w:pPr>
      <w:r>
        <w:rPr>
          <w:rFonts w:ascii="Arial" w:cs="Arial" w:eastAsia="Arial" w:hAnsi="Arial"/>
          <w:sz w:val="16"/>
          <w:szCs w:val="16"/>
          <w:color w:val="auto"/>
        </w:rPr>
        <w:t>Long-Term Incentive</w:t>
      </w:r>
      <w:r>
        <w:rPr>
          <w:sz w:val="20"/>
          <w:szCs w:val="20"/>
          <w:color w:val="auto"/>
        </w:rPr>
        <w:tab/>
      </w:r>
      <w:r>
        <w:rPr>
          <w:rFonts w:ascii="Arial" w:cs="Arial" w:eastAsia="Arial" w:hAnsi="Arial"/>
          <w:sz w:val="14"/>
          <w:szCs w:val="14"/>
          <w:color w:val="auto"/>
        </w:rPr>
        <w:t>•   Long-term equity incentives granted in the</w:t>
      </w:r>
    </w:p>
    <w:p>
      <w:pPr>
        <w:spacing w:after="0" w:line="9" w:lineRule="exact"/>
        <w:rPr>
          <w:sz w:val="20"/>
          <w:szCs w:val="20"/>
          <w:color w:val="auto"/>
        </w:rPr>
      </w:pPr>
    </w:p>
    <w:p>
      <w:pPr>
        <w:ind w:left="160"/>
        <w:spacing w:after="0"/>
        <w:tabs>
          <w:tab w:leader="none" w:pos="2780" w:val="left"/>
        </w:tabs>
        <w:rPr>
          <w:sz w:val="20"/>
          <w:szCs w:val="20"/>
          <w:color w:val="auto"/>
        </w:rPr>
      </w:pPr>
      <w:r>
        <w:rPr>
          <w:rFonts w:ascii="Arial" w:cs="Arial" w:eastAsia="Arial" w:hAnsi="Arial"/>
          <w:sz w:val="16"/>
          <w:szCs w:val="16"/>
          <w:color w:val="auto"/>
        </w:rPr>
        <w:t>Compensation</w:t>
      </w:r>
      <w:r>
        <w:rPr>
          <w:sz w:val="20"/>
          <w:szCs w:val="20"/>
          <w:color w:val="auto"/>
        </w:rPr>
        <w:tab/>
      </w:r>
      <w:r>
        <w:rPr>
          <w:rFonts w:ascii="Arial" w:cs="Arial" w:eastAsia="Arial" w:hAnsi="Arial"/>
          <w:sz w:val="16"/>
          <w:szCs w:val="16"/>
          <w:color w:val="auto"/>
        </w:rPr>
        <w:t>form of service-based RSUs and</w:t>
      </w:r>
    </w:p>
    <w:p>
      <w:pPr>
        <w:ind w:left="2800"/>
        <w:spacing w:after="0" w:line="236" w:lineRule="auto"/>
        <w:rPr>
          <w:sz w:val="20"/>
          <w:szCs w:val="20"/>
          <w:color w:val="auto"/>
        </w:rPr>
      </w:pPr>
      <w:r>
        <w:rPr>
          <w:rFonts w:ascii="Arial" w:cs="Arial" w:eastAsia="Arial" w:hAnsi="Arial"/>
          <w:sz w:val="16"/>
          <w:szCs w:val="16"/>
          <w:color w:val="auto"/>
        </w:rPr>
        <w:t>performance share awards; performance</w:t>
      </w:r>
    </w:p>
    <w:p>
      <w:pPr>
        <w:ind w:left="2800"/>
        <w:spacing w:after="0" w:line="237" w:lineRule="auto"/>
        <w:rPr>
          <w:sz w:val="20"/>
          <w:szCs w:val="20"/>
          <w:color w:val="auto"/>
        </w:rPr>
      </w:pPr>
      <w:r>
        <w:rPr>
          <w:rFonts w:ascii="Arial" w:cs="Arial" w:eastAsia="Arial" w:hAnsi="Arial"/>
          <w:sz w:val="16"/>
          <w:szCs w:val="16"/>
          <w:color w:val="auto"/>
        </w:rPr>
        <w:t>share awards earned may be higher or</w:t>
      </w:r>
    </w:p>
    <w:p>
      <w:pPr>
        <w:ind w:left="2800"/>
        <w:spacing w:after="0" w:line="236" w:lineRule="auto"/>
        <w:rPr>
          <w:sz w:val="20"/>
          <w:szCs w:val="20"/>
          <w:color w:val="auto"/>
        </w:rPr>
      </w:pPr>
      <w:r>
        <w:rPr>
          <w:rFonts w:ascii="Arial" w:cs="Arial" w:eastAsia="Arial" w:hAnsi="Arial"/>
          <w:sz w:val="16"/>
          <w:szCs w:val="16"/>
          <w:color w:val="auto"/>
        </w:rPr>
        <w:t>lower than target, based on relative total</w:t>
      </w:r>
    </w:p>
    <w:p>
      <w:pPr>
        <w:ind w:left="2800"/>
        <w:spacing w:after="0" w:line="237" w:lineRule="auto"/>
        <w:rPr>
          <w:sz w:val="20"/>
          <w:szCs w:val="20"/>
          <w:color w:val="auto"/>
        </w:rPr>
      </w:pPr>
      <w:r>
        <w:rPr>
          <w:rFonts w:ascii="Arial" w:cs="Arial" w:eastAsia="Arial" w:hAnsi="Arial"/>
          <w:sz w:val="16"/>
          <w:szCs w:val="16"/>
          <w:color w:val="auto"/>
        </w:rPr>
        <w:t>shareholder return in comparison to an</w:t>
      </w:r>
    </w:p>
    <w:p>
      <w:pPr>
        <w:ind w:left="2800"/>
        <w:spacing w:after="0"/>
        <w:rPr>
          <w:sz w:val="20"/>
          <w:szCs w:val="20"/>
          <w:color w:val="auto"/>
        </w:rPr>
      </w:pPr>
      <w:r>
        <w:rPr>
          <w:rFonts w:ascii="Arial" w:cs="Arial" w:eastAsia="Arial" w:hAnsi="Arial"/>
          <w:sz w:val="16"/>
          <w:szCs w:val="16"/>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59207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Arial" w:cs="Arial" w:eastAsia="Arial" w:hAnsi="Arial"/>
          <w:sz w:val="14"/>
          <w:szCs w:val="14"/>
          <w:color w:val="auto"/>
        </w:rPr>
        <w:t>•   Attract and retain key managerial talent</w:t>
      </w:r>
    </w:p>
    <w:p>
      <w:pPr>
        <w:spacing w:after="0" w:line="85" w:lineRule="exact"/>
        <w:rPr>
          <w:sz w:val="20"/>
          <w:szCs w:val="20"/>
          <w:color w:val="auto"/>
        </w:rPr>
      </w:pPr>
    </w:p>
    <w:p>
      <w:pPr>
        <w:jc w:val="center"/>
        <w:ind w:right="340"/>
        <w:spacing w:after="0" w:line="318" w:lineRule="auto"/>
        <w:rPr>
          <w:sz w:val="20"/>
          <w:szCs w:val="20"/>
          <w:color w:val="auto"/>
        </w:rPr>
      </w:pPr>
      <w:r>
        <w:rPr>
          <w:rFonts w:ascii="Arial" w:cs="Arial" w:eastAsia="Arial" w:hAnsi="Arial"/>
          <w:sz w:val="14"/>
          <w:szCs w:val="14"/>
          <w:color w:val="auto"/>
        </w:rPr>
        <w:t>•  Drive top-tier performance through long-term and sustained company success</w:t>
      </w:r>
    </w:p>
    <w:p>
      <w:pPr>
        <w:spacing w:after="0" w:line="1" w:lineRule="exact"/>
        <w:rPr>
          <w:sz w:val="20"/>
          <w:szCs w:val="20"/>
          <w:color w:val="auto"/>
        </w:rPr>
      </w:pPr>
    </w:p>
    <w:p>
      <w:pPr>
        <w:ind w:left="160" w:right="620" w:hanging="154"/>
        <w:spacing w:after="0" w:line="263" w:lineRule="auto"/>
        <w:rPr>
          <w:sz w:val="20"/>
          <w:szCs w:val="20"/>
          <w:color w:val="auto"/>
        </w:rPr>
      </w:pPr>
      <w:r>
        <w:rPr>
          <w:rFonts w:ascii="Arial" w:cs="Arial" w:eastAsia="Arial" w:hAnsi="Arial"/>
          <w:sz w:val="16"/>
          <w:szCs w:val="16"/>
          <w:color w:val="auto"/>
        </w:rPr>
        <w:t>•   Enhance stock ownership/align with stockholders’ interests</w:t>
      </w:r>
    </w:p>
    <w:p>
      <w:pPr>
        <w:spacing w:after="0" w:line="218" w:lineRule="exact"/>
        <w:rPr>
          <w:sz w:val="20"/>
          <w:szCs w:val="20"/>
          <w:color w:val="auto"/>
        </w:rPr>
      </w:pPr>
    </w:p>
    <w:p>
      <w:pPr>
        <w:sectPr>
          <w:pgSz w:w="11900" w:h="16838" w:orient="portrait"/>
          <w:cols w:equalWidth="0" w:num="2">
            <w:col w:w="5700" w:space="380"/>
            <w:col w:w="3240"/>
          </w:cols>
          <w:pgMar w:left="1280" w:top="285" w:right="1299" w:bottom="1440" w:gutter="0" w:footer="0" w:header="0"/>
          <w:type w:val="continuous"/>
        </w:sectPr>
      </w:pPr>
    </w:p>
    <w:p>
      <w:pPr>
        <w:ind w:left="160"/>
        <w:spacing w:after="0"/>
        <w:tabs>
          <w:tab w:leader="none" w:pos="2620" w:val="left"/>
        </w:tabs>
        <w:rPr>
          <w:sz w:val="20"/>
          <w:szCs w:val="20"/>
          <w:color w:val="auto"/>
        </w:rPr>
      </w:pPr>
      <w:r>
        <w:rPr>
          <w:rFonts w:ascii="Arial" w:cs="Arial" w:eastAsia="Arial" w:hAnsi="Arial"/>
          <w:sz w:val="16"/>
          <w:szCs w:val="16"/>
          <w:color w:val="auto"/>
        </w:rPr>
        <w:t>Health, Welfare and Other</w:t>
      </w:r>
      <w:r>
        <w:rPr>
          <w:sz w:val="20"/>
          <w:szCs w:val="20"/>
          <w:color w:val="auto"/>
        </w:rPr>
        <w:tab/>
      </w:r>
      <w:r>
        <w:rPr>
          <w:rFonts w:ascii="Arial" w:cs="Arial" w:eastAsia="Arial" w:hAnsi="Arial"/>
          <w:sz w:val="14"/>
          <w:szCs w:val="14"/>
          <w:color w:val="auto"/>
        </w:rPr>
        <w:t>•   Provides broad-based market competitive</w:t>
      </w:r>
    </w:p>
    <w:p>
      <w:pPr>
        <w:spacing w:after="0" w:line="9" w:lineRule="exact"/>
        <w:rPr>
          <w:sz w:val="20"/>
          <w:szCs w:val="20"/>
          <w:color w:val="auto"/>
        </w:rPr>
      </w:pPr>
    </w:p>
    <w:p>
      <w:pPr>
        <w:ind w:left="160"/>
        <w:spacing w:after="0"/>
        <w:tabs>
          <w:tab w:leader="none" w:pos="2780" w:val="left"/>
        </w:tabs>
        <w:rPr>
          <w:sz w:val="20"/>
          <w:szCs w:val="20"/>
          <w:color w:val="auto"/>
        </w:rPr>
      </w:pPr>
      <w:r>
        <w:rPr>
          <w:rFonts w:ascii="Arial" w:cs="Arial" w:eastAsia="Arial" w:hAnsi="Arial"/>
          <w:sz w:val="16"/>
          <w:szCs w:val="16"/>
          <w:color w:val="auto"/>
        </w:rPr>
        <w:t>Benefits</w:t>
      </w:r>
      <w:r>
        <w:rPr>
          <w:sz w:val="20"/>
          <w:szCs w:val="20"/>
          <w:color w:val="auto"/>
        </w:rPr>
        <w:tab/>
      </w:r>
      <w:r>
        <w:rPr>
          <w:rFonts w:ascii="Arial" w:cs="Arial" w:eastAsia="Arial" w:hAnsi="Arial"/>
          <w:sz w:val="16"/>
          <w:szCs w:val="16"/>
          <w:color w:val="auto"/>
        </w:rPr>
        <w:t>employee benefits consistent with the</w:t>
      </w:r>
    </w:p>
    <w:p>
      <w:pPr>
        <w:ind w:left="2800"/>
        <w:spacing w:after="0" w:line="236" w:lineRule="auto"/>
        <w:rPr>
          <w:sz w:val="20"/>
          <w:szCs w:val="20"/>
          <w:color w:val="auto"/>
        </w:rPr>
      </w:pPr>
      <w:r>
        <w:rPr>
          <w:rFonts w:ascii="Arial" w:cs="Arial" w:eastAsia="Arial" w:hAnsi="Arial"/>
          <w:sz w:val="16"/>
          <w:szCs w:val="16"/>
          <w:color w:val="auto"/>
        </w:rPr>
        <w:t>benefits available to our employees</w:t>
      </w:r>
    </w:p>
    <w:p>
      <w:pPr>
        <w:ind w:left="2800"/>
        <w:spacing w:after="0" w:line="237" w:lineRule="auto"/>
        <w:rPr>
          <w:sz w:val="20"/>
          <w:szCs w:val="20"/>
          <w:color w:val="auto"/>
        </w:rPr>
      </w:pPr>
      <w:r>
        <w:rPr>
          <w:rFonts w:ascii="Arial" w:cs="Arial" w:eastAsia="Arial" w:hAnsi="Arial"/>
          <w:sz w:val="16"/>
          <w:szCs w:val="16"/>
          <w:color w:val="auto"/>
        </w:rPr>
        <w:t>generally, including our employee stock</w:t>
      </w:r>
    </w:p>
    <w:p>
      <w:pPr>
        <w:ind w:left="2800"/>
        <w:spacing w:after="0"/>
        <w:rPr>
          <w:sz w:val="20"/>
          <w:szCs w:val="20"/>
          <w:color w:val="auto"/>
        </w:rPr>
      </w:pPr>
      <w:r>
        <w:rPr>
          <w:rFonts w:ascii="Arial" w:cs="Arial" w:eastAsia="Arial" w:hAnsi="Arial"/>
          <w:sz w:val="14"/>
          <w:szCs w:val="14"/>
          <w:color w:val="auto"/>
        </w:rPr>
        <w:t>purchase plan, Section 401(k) retirement</w:t>
      </w:r>
    </w:p>
    <w:p>
      <w:pPr>
        <w:spacing w:after="0" w:line="20"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plan, life, health and dental insurance and</w:t>
      </w:r>
    </w:p>
    <w:p>
      <w:pPr>
        <w:spacing w:after="0" w:line="20"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short-term and long-term disability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59207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Attract and retain key managerial talent</w:t>
      </w:r>
    </w:p>
    <w:p>
      <w:pPr>
        <w:spacing w:after="0" w:line="85" w:lineRule="exact"/>
        <w:rPr>
          <w:sz w:val="20"/>
          <w:szCs w:val="20"/>
          <w:color w:val="auto"/>
        </w:rPr>
      </w:pPr>
    </w:p>
    <w:p>
      <w:pPr>
        <w:ind w:left="160" w:right="840" w:hanging="154"/>
        <w:spacing w:after="0" w:line="263" w:lineRule="auto"/>
        <w:rPr>
          <w:sz w:val="20"/>
          <w:szCs w:val="20"/>
          <w:color w:val="auto"/>
        </w:rPr>
      </w:pPr>
      <w:r>
        <w:rPr>
          <w:rFonts w:ascii="Arial" w:cs="Arial" w:eastAsia="Arial" w:hAnsi="Arial"/>
          <w:sz w:val="16"/>
          <w:szCs w:val="16"/>
          <w:color w:val="auto"/>
        </w:rPr>
        <w:t>•  Promote health and well-being of executive officers</w:t>
      </w:r>
    </w:p>
    <w:p>
      <w:pPr>
        <w:spacing w:after="0" w:line="24" w:lineRule="exact"/>
        <w:rPr>
          <w:sz w:val="20"/>
          <w:szCs w:val="20"/>
          <w:color w:val="auto"/>
        </w:rPr>
      </w:pPr>
    </w:p>
    <w:p>
      <w:pPr>
        <w:ind w:left="160" w:right="660" w:hanging="154"/>
        <w:spacing w:after="0" w:line="263" w:lineRule="auto"/>
        <w:rPr>
          <w:sz w:val="20"/>
          <w:szCs w:val="20"/>
          <w:color w:val="auto"/>
        </w:rPr>
      </w:pPr>
      <w:r>
        <w:rPr>
          <w:rFonts w:ascii="Arial" w:cs="Arial" w:eastAsia="Arial" w:hAnsi="Arial"/>
          <w:sz w:val="16"/>
          <w:szCs w:val="16"/>
          <w:color w:val="auto"/>
        </w:rPr>
        <w:t>•   Provide death benefits to executive officer beneficiaries</w:t>
      </w:r>
    </w:p>
    <w:p>
      <w:pPr>
        <w:spacing w:after="0" w:line="24" w:lineRule="exact"/>
        <w:rPr>
          <w:sz w:val="20"/>
          <w:szCs w:val="20"/>
          <w:color w:val="auto"/>
        </w:rPr>
      </w:pPr>
    </w:p>
    <w:p>
      <w:pPr>
        <w:ind w:left="160" w:right="500" w:hanging="154"/>
        <w:spacing w:after="0" w:line="261" w:lineRule="auto"/>
        <w:rPr>
          <w:sz w:val="20"/>
          <w:szCs w:val="20"/>
          <w:color w:val="auto"/>
        </w:rPr>
      </w:pPr>
      <w:r>
        <w:rPr>
          <w:rFonts w:ascii="Arial" w:cs="Arial" w:eastAsia="Arial" w:hAnsi="Arial"/>
          <w:sz w:val="16"/>
          <w:szCs w:val="16"/>
          <w:color w:val="auto"/>
        </w:rPr>
        <w:t>•  Provide opportunity for future financial security</w:t>
      </w:r>
    </w:p>
    <w:p>
      <w:pPr>
        <w:spacing w:after="0" w:line="1" w:lineRule="exact"/>
        <w:rPr>
          <w:sz w:val="20"/>
          <w:szCs w:val="20"/>
          <w:color w:val="auto"/>
        </w:rPr>
      </w:pPr>
    </w:p>
    <w:p>
      <w:pPr>
        <w:sectPr>
          <w:pgSz w:w="11900" w:h="16838" w:orient="portrait"/>
          <w:cols w:equalWidth="0" w:num="2">
            <w:col w:w="5680" w:space="400"/>
            <w:col w:w="3240"/>
          </w:cols>
          <w:pgMar w:left="1280" w:top="285" w:right="1299" w:bottom="1440" w:gutter="0" w:footer="0" w:header="0"/>
          <w:type w:val="continuous"/>
        </w:sectPr>
      </w:pPr>
    </w:p>
    <w:p>
      <w:pPr>
        <w:ind w:left="160"/>
        <w:spacing w:after="0"/>
        <w:tabs>
          <w:tab w:leader="none" w:pos="2620" w:val="left"/>
        </w:tabs>
        <w:rPr>
          <w:sz w:val="20"/>
          <w:szCs w:val="20"/>
          <w:color w:val="auto"/>
        </w:rPr>
      </w:pPr>
      <w:r>
        <w:rPr>
          <w:rFonts w:ascii="Arial" w:cs="Arial" w:eastAsia="Arial" w:hAnsi="Arial"/>
          <w:sz w:val="16"/>
          <w:szCs w:val="16"/>
          <w:color w:val="auto"/>
        </w:rPr>
        <w:t>Non-Qualified Deferred</w:t>
      </w:r>
      <w:r>
        <w:rPr>
          <w:sz w:val="20"/>
          <w:szCs w:val="20"/>
          <w:color w:val="auto"/>
        </w:rPr>
        <w:tab/>
      </w:r>
      <w:r>
        <w:rPr>
          <w:rFonts w:ascii="Arial" w:cs="Arial" w:eastAsia="Arial" w:hAnsi="Arial"/>
          <w:sz w:val="14"/>
          <w:szCs w:val="14"/>
          <w:color w:val="auto"/>
        </w:rPr>
        <w:t>•   Enables deferral of base salary and/or</w:t>
      </w:r>
    </w:p>
    <w:p>
      <w:pPr>
        <w:spacing w:after="0" w:line="11" w:lineRule="exact"/>
        <w:rPr>
          <w:sz w:val="20"/>
          <w:szCs w:val="20"/>
          <w:color w:val="auto"/>
        </w:rPr>
      </w:pPr>
    </w:p>
    <w:p>
      <w:pPr>
        <w:ind w:left="160"/>
        <w:spacing w:after="0"/>
        <w:tabs>
          <w:tab w:leader="none" w:pos="2780" w:val="left"/>
        </w:tabs>
        <w:rPr>
          <w:sz w:val="20"/>
          <w:szCs w:val="20"/>
          <w:color w:val="auto"/>
        </w:rPr>
      </w:pPr>
      <w:r>
        <w:rPr>
          <w:rFonts w:ascii="Arial" w:cs="Arial" w:eastAsia="Arial" w:hAnsi="Arial"/>
          <w:sz w:val="14"/>
          <w:szCs w:val="14"/>
          <w:color w:val="auto"/>
        </w:rPr>
        <w:t>Compensation</w:t>
      </w:r>
      <w:r>
        <w:rPr>
          <w:sz w:val="20"/>
          <w:szCs w:val="20"/>
          <w:color w:val="auto"/>
        </w:rPr>
        <w:tab/>
      </w:r>
      <w:r>
        <w:rPr>
          <w:rFonts w:ascii="Arial" w:cs="Arial" w:eastAsia="Arial" w:hAnsi="Arial"/>
          <w:sz w:val="14"/>
          <w:szCs w:val="14"/>
          <w:color w:val="auto"/>
        </w:rPr>
        <w:t>annual cash incentive awards on a tax-</w:t>
      </w:r>
    </w:p>
    <w:p>
      <w:pPr>
        <w:spacing w:after="0" w:line="18"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efficient basis to meet future financial</w:t>
      </w:r>
    </w:p>
    <w:p>
      <w:pPr>
        <w:ind w:left="2800"/>
        <w:spacing w:after="0"/>
        <w:rPr>
          <w:sz w:val="20"/>
          <w:szCs w:val="20"/>
          <w:color w:val="auto"/>
        </w:rPr>
      </w:pPr>
      <w:r>
        <w:rPr>
          <w:rFonts w:ascii="Arial" w:cs="Arial" w:eastAsia="Arial" w:hAnsi="Arial"/>
          <w:sz w:val="16"/>
          <w:szCs w:val="16"/>
          <w:color w:val="auto"/>
        </w:rPr>
        <w:t>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59207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Attract and retain key managerial talent</w:t>
      </w:r>
    </w:p>
    <w:p>
      <w:pPr>
        <w:spacing w:after="0" w:line="85" w:lineRule="exact"/>
        <w:rPr>
          <w:sz w:val="20"/>
          <w:szCs w:val="20"/>
          <w:color w:val="auto"/>
        </w:rPr>
      </w:pPr>
    </w:p>
    <w:p>
      <w:pPr>
        <w:ind w:left="160" w:right="500" w:hanging="154"/>
        <w:spacing w:after="0" w:line="263" w:lineRule="auto"/>
        <w:rPr>
          <w:sz w:val="20"/>
          <w:szCs w:val="20"/>
          <w:color w:val="auto"/>
        </w:rPr>
      </w:pPr>
      <w:r>
        <w:rPr>
          <w:rFonts w:ascii="Arial" w:cs="Arial" w:eastAsia="Arial" w:hAnsi="Arial"/>
          <w:sz w:val="16"/>
          <w:szCs w:val="16"/>
          <w:color w:val="auto"/>
        </w:rPr>
        <w:t>•  Provide opportunity for future financial security</w:t>
      </w:r>
    </w:p>
    <w:p>
      <w:pPr>
        <w:spacing w:after="0" w:line="101" w:lineRule="exact"/>
        <w:rPr>
          <w:sz w:val="20"/>
          <w:szCs w:val="20"/>
          <w:color w:val="auto"/>
        </w:rPr>
      </w:pPr>
    </w:p>
    <w:p>
      <w:pPr>
        <w:sectPr>
          <w:pgSz w:w="11900" w:h="16838" w:orient="portrait"/>
          <w:cols w:equalWidth="0" w:num="2">
            <w:col w:w="5480" w:space="600"/>
            <w:col w:w="3240"/>
          </w:cols>
          <w:pgMar w:left="1280" w:top="285" w:right="1299" w:bottom="1440" w:gutter="0" w:footer="0" w:header="0"/>
          <w:type w:val="continuous"/>
        </w:sectPr>
      </w:pPr>
    </w:p>
    <w:p>
      <w:pPr>
        <w:ind w:left="160"/>
        <w:spacing w:after="0"/>
        <w:tabs>
          <w:tab w:leader="none" w:pos="2620" w:val="left"/>
        </w:tabs>
        <w:rPr>
          <w:sz w:val="20"/>
          <w:szCs w:val="20"/>
          <w:color w:val="auto"/>
        </w:rPr>
      </w:pPr>
      <w:r>
        <w:rPr>
          <w:rFonts w:ascii="Arial" w:cs="Arial" w:eastAsia="Arial" w:hAnsi="Arial"/>
          <w:sz w:val="16"/>
          <w:szCs w:val="16"/>
          <w:color w:val="auto"/>
        </w:rPr>
        <w:t>Severance and Change in</w:t>
      </w:r>
      <w:r>
        <w:rPr>
          <w:sz w:val="20"/>
          <w:szCs w:val="20"/>
          <w:color w:val="auto"/>
        </w:rPr>
        <w:tab/>
      </w:r>
      <w:r>
        <w:rPr>
          <w:rFonts w:ascii="Arial" w:cs="Arial" w:eastAsia="Arial" w:hAnsi="Arial"/>
          <w:sz w:val="14"/>
          <w:szCs w:val="14"/>
          <w:color w:val="auto"/>
        </w:rPr>
        <w:t>•   Provides for payments and benefits in the</w:t>
      </w:r>
    </w:p>
    <w:p>
      <w:pPr>
        <w:spacing w:after="0" w:line="9" w:lineRule="exact"/>
        <w:rPr>
          <w:sz w:val="20"/>
          <w:szCs w:val="20"/>
          <w:color w:val="auto"/>
        </w:rPr>
      </w:pPr>
    </w:p>
    <w:p>
      <w:pPr>
        <w:ind w:left="160"/>
        <w:spacing w:after="0"/>
        <w:tabs>
          <w:tab w:leader="none" w:pos="2780" w:val="left"/>
        </w:tabs>
        <w:rPr>
          <w:sz w:val="20"/>
          <w:szCs w:val="20"/>
          <w:color w:val="auto"/>
        </w:rPr>
      </w:pPr>
      <w:r>
        <w:rPr>
          <w:rFonts w:ascii="Arial" w:cs="Arial" w:eastAsia="Arial" w:hAnsi="Arial"/>
          <w:sz w:val="16"/>
          <w:szCs w:val="16"/>
          <w:color w:val="auto"/>
        </w:rPr>
        <w:t>Control Benefits</w:t>
      </w:r>
      <w:r>
        <w:rPr>
          <w:sz w:val="20"/>
          <w:szCs w:val="20"/>
          <w:color w:val="auto"/>
        </w:rPr>
        <w:tab/>
      </w:r>
      <w:r>
        <w:rPr>
          <w:rFonts w:ascii="Arial" w:cs="Arial" w:eastAsia="Arial" w:hAnsi="Arial"/>
          <w:sz w:val="14"/>
          <w:szCs w:val="14"/>
          <w:color w:val="auto"/>
        </w:rPr>
        <w:t>event of a qualifying termination, including</w:t>
      </w:r>
    </w:p>
    <w:p>
      <w:pPr>
        <w:ind w:left="2800"/>
        <w:spacing w:after="0" w:line="236" w:lineRule="auto"/>
        <w:rPr>
          <w:sz w:val="20"/>
          <w:szCs w:val="20"/>
          <w:color w:val="auto"/>
        </w:rPr>
      </w:pPr>
      <w:r>
        <w:rPr>
          <w:rFonts w:ascii="Arial" w:cs="Arial" w:eastAsia="Arial" w:hAnsi="Arial"/>
          <w:sz w:val="16"/>
          <w:szCs w:val="16"/>
          <w:color w:val="auto"/>
        </w:rPr>
        <w:t>in connection with a change in control of</w:t>
      </w:r>
    </w:p>
    <w:p>
      <w:pPr>
        <w:ind w:left="2800"/>
        <w:spacing w:after="0"/>
        <w:rPr>
          <w:sz w:val="20"/>
          <w:szCs w:val="20"/>
          <w:color w:val="auto"/>
        </w:rPr>
      </w:pPr>
      <w:r>
        <w:rPr>
          <w:rFonts w:ascii="Arial" w:cs="Arial" w:eastAsia="Arial" w:hAnsi="Arial"/>
          <w:sz w:val="16"/>
          <w:szCs w:val="16"/>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87630</wp:posOffset>
            </wp:positionV>
            <wp:extent cx="59207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2074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186055</wp:posOffset>
            </wp:positionV>
            <wp:extent cx="699135" cy="1314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Arial" w:cs="Arial" w:eastAsia="Arial" w:hAnsi="Arial"/>
          <w:sz w:val="14"/>
          <w:szCs w:val="14"/>
          <w:color w:val="auto"/>
        </w:rPr>
        <w:t>•   Attract and retain key managerial talent</w:t>
      </w:r>
    </w:p>
    <w:p>
      <w:pPr>
        <w:spacing w:after="0" w:line="85" w:lineRule="exact"/>
        <w:rPr>
          <w:sz w:val="20"/>
          <w:szCs w:val="20"/>
          <w:color w:val="auto"/>
        </w:rPr>
      </w:pPr>
    </w:p>
    <w:p>
      <w:pPr>
        <w:ind w:left="160" w:right="400" w:hanging="154"/>
        <w:spacing w:after="0" w:line="318" w:lineRule="auto"/>
        <w:rPr>
          <w:sz w:val="20"/>
          <w:szCs w:val="20"/>
          <w:color w:val="auto"/>
        </w:rPr>
      </w:pPr>
      <w:r>
        <w:rPr>
          <w:rFonts w:ascii="Arial" w:cs="Arial" w:eastAsia="Arial" w:hAnsi="Arial"/>
          <w:sz w:val="14"/>
          <w:szCs w:val="14"/>
          <w:color w:val="auto"/>
        </w:rPr>
        <w:t>•  Focus on delivering top-tier stockholder value in periods of uncertainty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Support effective transition</w:t>
      </w:r>
    </w:p>
    <w:p>
      <w:pPr>
        <w:spacing w:after="0" w:line="200" w:lineRule="exact"/>
        <w:rPr>
          <w:sz w:val="20"/>
          <w:szCs w:val="20"/>
          <w:color w:val="auto"/>
        </w:rPr>
      </w:pPr>
    </w:p>
    <w:p>
      <w:pPr>
        <w:sectPr>
          <w:pgSz w:w="11900" w:h="16838" w:orient="portrait"/>
          <w:cols w:equalWidth="0" w:num="2">
            <w:col w:w="5700" w:space="380"/>
            <w:col w:w="3240"/>
          </w:cols>
          <w:pgMar w:left="1280" w:top="285" w:right="129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56</w:t>
      </w:r>
    </w:p>
    <w:p>
      <w:pPr>
        <w:sectPr>
          <w:pgSz w:w="11900" w:h="16838" w:orient="portrait"/>
          <w:cols w:equalWidth="0" w:num="1">
            <w:col w:w="9320"/>
          </w:cols>
          <w:pgMar w:left="1280" w:top="285" w:right="12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7"/>
          <w:szCs w:val="17"/>
          <w:b w:val="1"/>
          <w:bCs w:val="1"/>
          <w:i w:val="1"/>
          <w:i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Interim CEO Compensation</w:t>
      </w:r>
    </w:p>
    <w:p>
      <w:pPr>
        <w:spacing w:after="0" w:line="107"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Prior to Mr. Warsop’s appointment as Interim CEO, he was eligible for compensation as a non-employee member of the Board, including a $68,000 base annual retainer fee and a $100,000 annual premium for his service as non-executive Chair, each of which was pro-rated based on his service prior to being appointed Interim CEO. In addition, Mr. Warsop received an annual equity award of RSUs for such service with a target value of $250,000, which RSUs generally vest on the earlier to occur of (i) the date that is one year following the grant date and (ii) the day immediately prior to the date of the next annual meeting of our stockholders occurring following the grant date.</w:t>
      </w:r>
    </w:p>
    <w:p>
      <w:pPr>
        <w:spacing w:after="0" w:line="187"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connection with his appointment as Interim CEO, we entered into an employment letter with Mr. Warsop. Given the temporary and transitional nature of Mr. Warsop’s role as Interim CEO, the Compensation Committee determined that Mr. Warsop should receive compensation of $325,000 per month (prorated for November 2022), be eligible for a bonus of up to $325,000 at the end of his interim service, as determined by the Board based upon performance measures to be agreed upon, and not be eligible for any equity grants during his interim service. Mr. Warsop will not receive compensation for his role as a director while serving as Interim CEO. The Compensation Committee determined this was appropriate given the temporary and transitional nature of Mr. Warsop’s role as Interim CEO using an analysis by its independent compensation advisor on the market compensation for CEOs of similarly sized companies and the general market practices for interim and temporary CEO roles. During his term as Interim CEO, (i) Mr. Warsop is not entitled to receive any equity awards, (ii) his equity awards previously granted to him in connection with his services as a member of our Board will continue to vest, and (iii) he will not receive any other compensation for his services as a member of our Board. Because Mr. Warsop receives this particular compensation arrangement, the discussion below of the key compensation elements for our other Named Executive Officers does not apply with respect to Mr. Warsop.</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Base Salary</w:t>
      </w:r>
    </w:p>
    <w:p>
      <w:pPr>
        <w:spacing w:after="0" w:line="107"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Base salary represents the fixed portion of the target total direct compensation of our executive officers, including our Named Executive Officers, and is intended to attract and retain highly talented individuals.</w:t>
      </w:r>
    </w:p>
    <w:p>
      <w:pPr>
        <w:spacing w:after="0" w:line="167"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Each executive officer’s base salary, except our CEO’s, is based on the recommendation of our CEO to the Compensation Committee. These recommendations consider competitive market data assessments prepared by our independent compensation consultant, the Company’s operating budget, a desire to phase in compensation changes over more than one fiscal year, relative levels of cash incentive and long-term equity compensation among executives, long-term potential of the executive officer to contribute to our financial position, retention concerns, if any, and the assessment of the executive’s performance in the executive’s annual performance appraisal. The Compensation Committee, in consultation with its compensation consultant, reviews the base salaries of our executive officers, including our Named Executive Officers (other than our CEO) annually based on the CEO’s recommendation and considers these factors as well as those described under “Compensation-Setting Process – Factors Considered in Compensation Deliberations” above. Following this review, the Compensation Committee adjusts the base salaries of our executive officers as it determines to be necessary or appropriate.</w:t>
      </w:r>
    </w:p>
    <w:p>
      <w:pPr>
        <w:spacing w:after="0" w:line="188"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In December 2021 and January 2022, the Compensation Committee reviewed the base salaries of our executive officers, including our Named Executive Officers, using our Former CEO’s recommendations (for executive officers other than the Former CEO) and taking into consideration our overall financial performance, our progress on our operational and strategic objectives and the factors described under “Compensation-Setting Process – Factors Considered in Compensation Deliberations” above.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57</w:t>
      </w:r>
    </w:p>
    <w:p>
      <w:pPr>
        <w:sectPr>
          <w:pgSz w:w="11900" w:h="16838" w:orient="portrait"/>
          <w:cols w:equalWidth="0" w:num="1">
            <w:col w:w="9320"/>
          </w:cols>
          <w:pgMar w:left="1280" w:top="291" w:right="1299" w:bottom="1440" w:gutter="0" w:footer="0" w:header="0"/>
        </w:sectPr>
      </w:pPr>
    </w:p>
    <w:bookmarkStart w:id="63" w:name="page64"/>
    <w:bookmarkEnd w:id="63"/>
    <w:p>
      <w:pPr>
        <w:ind w:right="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Following this review, the Compensation Committee provided an increase to our Former CEO (effective January 1, 2022) to better align him with market. In addition, the Compensation Committee approved an increase to our CFO (effective January 1, 2022), to address the competitiveness of his base salary after taking into account our Former CEO’s recommendations, Mr. Behrens’ performance, current position and the factors noted above in “Factors Considered in Compensation Deliberations.” In addition, the base salaries of our CRO and our CPO were increased both as part of our normal annual review and to recognize their appointments to their positions. The base salaries of our Named Executive Officers for 2021 and 2022 (after the effectiveness of the adjustments described above) were as follows:</w:t>
      </w: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2460" w:type="dxa"/>
            <w:vAlign w:val="bottom"/>
            <w:shd w:val="clear" w:color="auto" w:fill="284993"/>
          </w:tcPr>
          <w:p>
            <w:pPr>
              <w:spacing w:after="0"/>
              <w:rPr>
                <w:sz w:val="16"/>
                <w:szCs w:val="16"/>
                <w:color w:val="auto"/>
              </w:rPr>
            </w:pPr>
          </w:p>
        </w:tc>
        <w:tc>
          <w:tcPr>
            <w:tcW w:w="2020" w:type="dxa"/>
            <w:vAlign w:val="bottom"/>
            <w:shd w:val="clear" w:color="auto" w:fill="284993"/>
          </w:tcPr>
          <w:p>
            <w:pPr>
              <w:jc w:val="right"/>
              <w:ind w:right="214"/>
              <w:spacing w:after="0"/>
              <w:rPr>
                <w:sz w:val="20"/>
                <w:szCs w:val="20"/>
                <w:color w:val="auto"/>
              </w:rPr>
            </w:pPr>
            <w:r>
              <w:rPr>
                <w:rFonts w:ascii="Arial" w:cs="Arial" w:eastAsia="Arial" w:hAnsi="Arial"/>
                <w:sz w:val="17"/>
                <w:szCs w:val="17"/>
                <w:b w:val="1"/>
                <w:bCs w:val="1"/>
                <w:color w:val="FFFFFF"/>
              </w:rPr>
              <w:t>2021 Base Salary</w:t>
            </w:r>
          </w:p>
        </w:tc>
        <w:tc>
          <w:tcPr>
            <w:tcW w:w="2000" w:type="dxa"/>
            <w:vAlign w:val="bottom"/>
            <w:shd w:val="clear" w:color="auto" w:fill="284993"/>
          </w:tcPr>
          <w:p>
            <w:pPr>
              <w:jc w:val="right"/>
              <w:ind w:right="214"/>
              <w:spacing w:after="0"/>
              <w:rPr>
                <w:sz w:val="20"/>
                <w:szCs w:val="20"/>
                <w:color w:val="auto"/>
              </w:rPr>
            </w:pPr>
            <w:r>
              <w:rPr>
                <w:rFonts w:ascii="Arial" w:cs="Arial" w:eastAsia="Arial" w:hAnsi="Arial"/>
                <w:sz w:val="17"/>
                <w:szCs w:val="17"/>
                <w:b w:val="1"/>
                <w:bCs w:val="1"/>
                <w:color w:val="FFFFFF"/>
              </w:rPr>
              <w:t>2022 Base Salary</w:t>
            </w:r>
          </w:p>
        </w:tc>
        <w:tc>
          <w:tcPr>
            <w:tcW w:w="2280" w:type="dxa"/>
            <w:vAlign w:val="bottom"/>
            <w:shd w:val="clear" w:color="auto" w:fill="284993"/>
          </w:tcPr>
          <w:p>
            <w:pPr>
              <w:spacing w:after="0"/>
              <w:rPr>
                <w:sz w:val="16"/>
                <w:szCs w:val="16"/>
                <w:color w:val="auto"/>
              </w:rPr>
            </w:pPr>
          </w:p>
        </w:tc>
      </w:tr>
      <w:tr>
        <w:trPr>
          <w:trHeight w:val="213"/>
        </w:trPr>
        <w:tc>
          <w:tcPr>
            <w:tcW w:w="2460" w:type="dxa"/>
            <w:vAlign w:val="bottom"/>
            <w:shd w:val="clear" w:color="auto" w:fill="284993"/>
          </w:tcPr>
          <w:p>
            <w:pPr>
              <w:ind w:left="100"/>
              <w:spacing w:after="0"/>
              <w:rPr>
                <w:sz w:val="20"/>
                <w:szCs w:val="20"/>
                <w:color w:val="auto"/>
              </w:rPr>
            </w:pPr>
            <w:r>
              <w:rPr>
                <w:rFonts w:ascii="Arial" w:cs="Arial" w:eastAsia="Arial" w:hAnsi="Arial"/>
                <w:sz w:val="17"/>
                <w:szCs w:val="17"/>
                <w:b w:val="1"/>
                <w:bCs w:val="1"/>
                <w:color w:val="FFFFFF"/>
              </w:rPr>
              <w:t>Named Executive Officer</w:t>
            </w:r>
          </w:p>
        </w:tc>
        <w:tc>
          <w:tcPr>
            <w:tcW w:w="2020" w:type="dxa"/>
            <w:vAlign w:val="bottom"/>
            <w:shd w:val="clear" w:color="auto" w:fill="284993"/>
          </w:tcPr>
          <w:p>
            <w:pPr>
              <w:jc w:val="right"/>
              <w:ind w:right="714"/>
              <w:spacing w:after="0"/>
              <w:rPr>
                <w:sz w:val="20"/>
                <w:szCs w:val="20"/>
                <w:color w:val="auto"/>
              </w:rPr>
            </w:pPr>
            <w:r>
              <w:rPr>
                <w:rFonts w:ascii="Arial" w:cs="Arial" w:eastAsia="Arial" w:hAnsi="Arial"/>
                <w:sz w:val="17"/>
                <w:szCs w:val="17"/>
                <w:b w:val="1"/>
                <w:bCs w:val="1"/>
                <w:color w:val="FFFFFF"/>
              </w:rPr>
              <w:t>Rate</w:t>
            </w:r>
          </w:p>
        </w:tc>
        <w:tc>
          <w:tcPr>
            <w:tcW w:w="2000" w:type="dxa"/>
            <w:vAlign w:val="bottom"/>
            <w:shd w:val="clear" w:color="auto" w:fill="284993"/>
          </w:tcPr>
          <w:p>
            <w:pPr>
              <w:jc w:val="right"/>
              <w:ind w:right="734"/>
              <w:spacing w:after="0"/>
              <w:rPr>
                <w:sz w:val="20"/>
                <w:szCs w:val="20"/>
                <w:color w:val="auto"/>
              </w:rPr>
            </w:pPr>
            <w:r>
              <w:rPr>
                <w:rFonts w:ascii="Arial" w:cs="Arial" w:eastAsia="Arial" w:hAnsi="Arial"/>
                <w:sz w:val="17"/>
                <w:szCs w:val="17"/>
                <w:b w:val="1"/>
                <w:bCs w:val="1"/>
                <w:color w:val="FFFFFF"/>
              </w:rPr>
              <w:t>Rate</w:t>
            </w:r>
          </w:p>
        </w:tc>
        <w:tc>
          <w:tcPr>
            <w:tcW w:w="2280" w:type="dxa"/>
            <w:vAlign w:val="bottom"/>
            <w:shd w:val="clear" w:color="auto" w:fill="284993"/>
          </w:tcPr>
          <w:p>
            <w:pPr>
              <w:jc w:val="right"/>
              <w:ind w:right="234"/>
              <w:spacing w:after="0"/>
              <w:rPr>
                <w:sz w:val="20"/>
                <w:szCs w:val="20"/>
                <w:color w:val="auto"/>
              </w:rPr>
            </w:pPr>
            <w:r>
              <w:rPr>
                <w:rFonts w:ascii="Arial" w:cs="Arial" w:eastAsia="Arial" w:hAnsi="Arial"/>
                <w:sz w:val="17"/>
                <w:szCs w:val="17"/>
                <w:b w:val="1"/>
                <w:bCs w:val="1"/>
                <w:color w:val="FFFFFF"/>
              </w:rPr>
              <w:t>Percentage Increase</w:t>
            </w:r>
          </w:p>
        </w:tc>
      </w:tr>
      <w:tr>
        <w:trPr>
          <w:trHeight w:val="194"/>
        </w:trPr>
        <w:tc>
          <w:tcPr>
            <w:tcW w:w="2460" w:type="dxa"/>
            <w:vAlign w:val="bottom"/>
          </w:tcPr>
          <w:p>
            <w:pPr>
              <w:ind w:left="120"/>
              <w:spacing w:after="0" w:line="194" w:lineRule="exact"/>
              <w:rPr>
                <w:sz w:val="20"/>
                <w:szCs w:val="20"/>
                <w:color w:val="auto"/>
              </w:rPr>
            </w:pPr>
            <w:r>
              <w:rPr>
                <w:rFonts w:ascii="Arial" w:cs="Arial" w:eastAsia="Arial" w:hAnsi="Arial"/>
                <w:sz w:val="17"/>
                <w:szCs w:val="17"/>
                <w:color w:val="auto"/>
              </w:rPr>
              <w:t>Odilon Almeida</w:t>
            </w:r>
          </w:p>
        </w:tc>
        <w:tc>
          <w:tcPr>
            <w:tcW w:w="2020" w:type="dxa"/>
            <w:vAlign w:val="bottom"/>
          </w:tcPr>
          <w:p>
            <w:pPr>
              <w:jc w:val="right"/>
              <w:ind w:right="214"/>
              <w:spacing w:after="0" w:line="194" w:lineRule="exact"/>
              <w:rPr>
                <w:sz w:val="20"/>
                <w:szCs w:val="20"/>
                <w:color w:val="auto"/>
              </w:rPr>
            </w:pPr>
            <w:r>
              <w:rPr>
                <w:rFonts w:ascii="Arial" w:cs="Arial" w:eastAsia="Arial" w:hAnsi="Arial"/>
                <w:sz w:val="17"/>
                <w:szCs w:val="17"/>
                <w:color w:val="auto"/>
              </w:rPr>
              <w:t>$675,000</w:t>
            </w:r>
          </w:p>
        </w:tc>
        <w:tc>
          <w:tcPr>
            <w:tcW w:w="2000" w:type="dxa"/>
            <w:vAlign w:val="bottom"/>
          </w:tcPr>
          <w:p>
            <w:pPr>
              <w:jc w:val="right"/>
              <w:ind w:right="214"/>
              <w:spacing w:after="0" w:line="194" w:lineRule="exact"/>
              <w:rPr>
                <w:sz w:val="20"/>
                <w:szCs w:val="20"/>
                <w:color w:val="auto"/>
              </w:rPr>
            </w:pPr>
            <w:r>
              <w:rPr>
                <w:rFonts w:ascii="Arial" w:cs="Arial" w:eastAsia="Arial" w:hAnsi="Arial"/>
                <w:sz w:val="17"/>
                <w:szCs w:val="17"/>
                <w:color w:val="auto"/>
              </w:rPr>
              <w:t>$700,000</w:t>
            </w:r>
          </w:p>
        </w:tc>
        <w:tc>
          <w:tcPr>
            <w:tcW w:w="2280" w:type="dxa"/>
            <w:vAlign w:val="bottom"/>
          </w:tcPr>
          <w:p>
            <w:pPr>
              <w:jc w:val="right"/>
              <w:ind w:right="214"/>
              <w:spacing w:after="0" w:line="194" w:lineRule="exact"/>
              <w:rPr>
                <w:sz w:val="20"/>
                <w:szCs w:val="20"/>
                <w:color w:val="auto"/>
              </w:rPr>
            </w:pPr>
            <w:r>
              <w:rPr>
                <w:rFonts w:ascii="Arial" w:cs="Arial" w:eastAsia="Arial" w:hAnsi="Arial"/>
                <w:sz w:val="17"/>
                <w:szCs w:val="17"/>
                <w:color w:val="auto"/>
              </w:rPr>
              <w:t>3.7%</w:t>
            </w:r>
          </w:p>
        </w:tc>
      </w:tr>
      <w:tr>
        <w:trPr>
          <w:trHeight w:val="194"/>
        </w:trPr>
        <w:tc>
          <w:tcPr>
            <w:tcW w:w="2460" w:type="dxa"/>
            <w:vAlign w:val="bottom"/>
            <w:shd w:val="clear" w:color="auto" w:fill="9DBDE4"/>
          </w:tcPr>
          <w:p>
            <w:pPr>
              <w:ind w:left="120"/>
              <w:spacing w:after="0" w:line="194" w:lineRule="exact"/>
              <w:rPr>
                <w:sz w:val="20"/>
                <w:szCs w:val="20"/>
                <w:color w:val="auto"/>
              </w:rPr>
            </w:pPr>
            <w:r>
              <w:rPr>
                <w:rFonts w:ascii="Arial" w:cs="Arial" w:eastAsia="Arial" w:hAnsi="Arial"/>
                <w:sz w:val="17"/>
                <w:szCs w:val="17"/>
                <w:color w:val="auto"/>
              </w:rPr>
              <w:t>Scott W. Behrens</w:t>
            </w:r>
          </w:p>
        </w:tc>
        <w:tc>
          <w:tcPr>
            <w:tcW w:w="2020" w:type="dxa"/>
            <w:vAlign w:val="bottom"/>
            <w:shd w:val="clear" w:color="auto" w:fill="9DBDE4"/>
          </w:tcPr>
          <w:p>
            <w:pPr>
              <w:jc w:val="right"/>
              <w:ind w:right="214"/>
              <w:spacing w:after="0" w:line="194" w:lineRule="exact"/>
              <w:rPr>
                <w:sz w:val="20"/>
                <w:szCs w:val="20"/>
                <w:color w:val="auto"/>
              </w:rPr>
            </w:pPr>
            <w:r>
              <w:rPr>
                <w:rFonts w:ascii="Arial" w:cs="Arial" w:eastAsia="Arial" w:hAnsi="Arial"/>
                <w:sz w:val="17"/>
                <w:szCs w:val="17"/>
                <w:color w:val="auto"/>
              </w:rPr>
              <w:t>$450,000</w:t>
            </w:r>
          </w:p>
        </w:tc>
        <w:tc>
          <w:tcPr>
            <w:tcW w:w="2000" w:type="dxa"/>
            <w:vAlign w:val="bottom"/>
            <w:shd w:val="clear" w:color="auto" w:fill="9DBDE4"/>
          </w:tcPr>
          <w:p>
            <w:pPr>
              <w:jc w:val="right"/>
              <w:ind w:right="214"/>
              <w:spacing w:after="0" w:line="194" w:lineRule="exact"/>
              <w:rPr>
                <w:sz w:val="20"/>
                <w:szCs w:val="20"/>
                <w:color w:val="auto"/>
              </w:rPr>
            </w:pPr>
            <w:r>
              <w:rPr>
                <w:rFonts w:ascii="Arial" w:cs="Arial" w:eastAsia="Arial" w:hAnsi="Arial"/>
                <w:sz w:val="17"/>
                <w:szCs w:val="17"/>
                <w:color w:val="auto"/>
              </w:rPr>
              <w:t>$475,000</w:t>
            </w:r>
          </w:p>
        </w:tc>
        <w:tc>
          <w:tcPr>
            <w:tcW w:w="2280" w:type="dxa"/>
            <w:vAlign w:val="bottom"/>
            <w:shd w:val="clear" w:color="auto" w:fill="9DBDE4"/>
          </w:tcPr>
          <w:p>
            <w:pPr>
              <w:jc w:val="right"/>
              <w:ind w:right="214"/>
              <w:spacing w:after="0" w:line="194" w:lineRule="exact"/>
              <w:rPr>
                <w:sz w:val="20"/>
                <w:szCs w:val="20"/>
                <w:color w:val="auto"/>
              </w:rPr>
            </w:pPr>
            <w:r>
              <w:rPr>
                <w:rFonts w:ascii="Arial" w:cs="Arial" w:eastAsia="Arial" w:hAnsi="Arial"/>
                <w:sz w:val="17"/>
                <w:szCs w:val="17"/>
                <w:color w:val="auto"/>
              </w:rPr>
              <w:t>5.6%</w:t>
            </w:r>
          </w:p>
        </w:tc>
      </w:tr>
      <w:tr>
        <w:trPr>
          <w:trHeight w:val="194"/>
        </w:trPr>
        <w:tc>
          <w:tcPr>
            <w:tcW w:w="2460" w:type="dxa"/>
            <w:vAlign w:val="bottom"/>
          </w:tcPr>
          <w:p>
            <w:pPr>
              <w:ind w:left="120"/>
              <w:spacing w:after="0" w:line="194" w:lineRule="exact"/>
              <w:rPr>
                <w:sz w:val="20"/>
                <w:szCs w:val="20"/>
                <w:color w:val="auto"/>
              </w:rPr>
            </w:pPr>
            <w:r>
              <w:rPr>
                <w:rFonts w:ascii="Arial" w:cs="Arial" w:eastAsia="Arial" w:hAnsi="Arial"/>
                <w:sz w:val="17"/>
                <w:szCs w:val="17"/>
                <w:color w:val="auto"/>
              </w:rPr>
              <w:t>Ram K. Puppala</w:t>
            </w:r>
          </w:p>
        </w:tc>
        <w:tc>
          <w:tcPr>
            <w:tcW w:w="2020" w:type="dxa"/>
            <w:vAlign w:val="bottom"/>
          </w:tcPr>
          <w:p>
            <w:pPr>
              <w:jc w:val="right"/>
              <w:ind w:right="214"/>
              <w:spacing w:after="0" w:line="194" w:lineRule="exact"/>
              <w:rPr>
                <w:sz w:val="20"/>
                <w:szCs w:val="20"/>
                <w:color w:val="auto"/>
              </w:rPr>
            </w:pPr>
            <w:r>
              <w:rPr>
                <w:rFonts w:ascii="Arial" w:cs="Arial" w:eastAsia="Arial" w:hAnsi="Arial"/>
                <w:sz w:val="17"/>
                <w:szCs w:val="17"/>
                <w:color w:val="auto"/>
              </w:rPr>
              <w:t>$410,000</w:t>
            </w:r>
          </w:p>
        </w:tc>
        <w:tc>
          <w:tcPr>
            <w:tcW w:w="2000" w:type="dxa"/>
            <w:vAlign w:val="bottom"/>
          </w:tcPr>
          <w:p>
            <w:pPr>
              <w:jc w:val="right"/>
              <w:ind w:right="214"/>
              <w:spacing w:after="0" w:line="194" w:lineRule="exact"/>
              <w:rPr>
                <w:sz w:val="20"/>
                <w:szCs w:val="20"/>
                <w:color w:val="auto"/>
              </w:rPr>
            </w:pPr>
            <w:r>
              <w:rPr>
                <w:rFonts w:ascii="Arial" w:cs="Arial" w:eastAsia="Arial" w:hAnsi="Arial"/>
                <w:sz w:val="17"/>
                <w:szCs w:val="17"/>
                <w:color w:val="auto"/>
              </w:rPr>
              <w:t>$410,000</w:t>
            </w:r>
          </w:p>
        </w:tc>
        <w:tc>
          <w:tcPr>
            <w:tcW w:w="2280" w:type="dxa"/>
            <w:vAlign w:val="bottom"/>
          </w:tcPr>
          <w:p>
            <w:pPr>
              <w:jc w:val="right"/>
              <w:ind w:right="214"/>
              <w:spacing w:after="0" w:line="194" w:lineRule="exact"/>
              <w:rPr>
                <w:sz w:val="20"/>
                <w:szCs w:val="20"/>
                <w:color w:val="auto"/>
              </w:rPr>
            </w:pPr>
            <w:r>
              <w:rPr>
                <w:rFonts w:ascii="Arial" w:cs="Arial" w:eastAsia="Arial" w:hAnsi="Arial"/>
                <w:sz w:val="17"/>
                <w:szCs w:val="17"/>
                <w:color w:val="auto"/>
              </w:rPr>
              <w:t>0%</w:t>
            </w:r>
          </w:p>
        </w:tc>
      </w:tr>
      <w:tr>
        <w:trPr>
          <w:trHeight w:val="194"/>
        </w:trPr>
        <w:tc>
          <w:tcPr>
            <w:tcW w:w="2460" w:type="dxa"/>
            <w:vAlign w:val="bottom"/>
            <w:shd w:val="clear" w:color="auto" w:fill="9DBDE4"/>
          </w:tcPr>
          <w:p>
            <w:pPr>
              <w:ind w:left="120"/>
              <w:spacing w:after="0" w:line="194" w:lineRule="exact"/>
              <w:rPr>
                <w:sz w:val="20"/>
                <w:szCs w:val="20"/>
                <w:color w:val="auto"/>
              </w:rPr>
            </w:pPr>
            <w:r>
              <w:rPr>
                <w:rFonts w:ascii="Arial" w:cs="Arial" w:eastAsia="Arial" w:hAnsi="Arial"/>
                <w:sz w:val="15"/>
                <w:szCs w:val="15"/>
                <w:color w:val="auto"/>
              </w:rPr>
              <w:t>Alessandro Silva</w:t>
            </w:r>
            <w:r>
              <w:rPr>
                <w:rFonts w:ascii="Arial" w:cs="Arial" w:eastAsia="Arial" w:hAnsi="Arial"/>
                <w:sz w:val="22"/>
                <w:szCs w:val="22"/>
                <w:color w:val="auto"/>
                <w:vertAlign w:val="superscript"/>
              </w:rPr>
              <w:t>(1)</w:t>
            </w:r>
          </w:p>
        </w:tc>
        <w:tc>
          <w:tcPr>
            <w:tcW w:w="2020" w:type="dxa"/>
            <w:vAlign w:val="bottom"/>
            <w:shd w:val="clear" w:color="auto" w:fill="9DBDE4"/>
          </w:tcPr>
          <w:p>
            <w:pPr>
              <w:jc w:val="right"/>
              <w:ind w:right="214"/>
              <w:spacing w:after="0" w:line="194" w:lineRule="exact"/>
              <w:rPr>
                <w:sz w:val="20"/>
                <w:szCs w:val="20"/>
                <w:color w:val="auto"/>
              </w:rPr>
            </w:pPr>
            <w:r>
              <w:rPr>
                <w:rFonts w:ascii="Arial" w:cs="Arial" w:eastAsia="Arial" w:hAnsi="Arial"/>
                <w:sz w:val="17"/>
                <w:szCs w:val="17"/>
                <w:color w:val="auto"/>
              </w:rPr>
              <w:t>$370,000</w:t>
            </w:r>
          </w:p>
        </w:tc>
        <w:tc>
          <w:tcPr>
            <w:tcW w:w="2000" w:type="dxa"/>
            <w:vAlign w:val="bottom"/>
            <w:shd w:val="clear" w:color="auto" w:fill="9DBDE4"/>
          </w:tcPr>
          <w:p>
            <w:pPr>
              <w:jc w:val="right"/>
              <w:ind w:right="214"/>
              <w:spacing w:after="0" w:line="194" w:lineRule="exact"/>
              <w:rPr>
                <w:sz w:val="20"/>
                <w:szCs w:val="20"/>
                <w:color w:val="auto"/>
              </w:rPr>
            </w:pPr>
            <w:r>
              <w:rPr>
                <w:rFonts w:ascii="Arial" w:cs="Arial" w:eastAsia="Arial" w:hAnsi="Arial"/>
                <w:sz w:val="17"/>
                <w:szCs w:val="17"/>
                <w:color w:val="auto"/>
              </w:rPr>
              <w:t>$420,000</w:t>
            </w:r>
          </w:p>
        </w:tc>
        <w:tc>
          <w:tcPr>
            <w:tcW w:w="2280" w:type="dxa"/>
            <w:vAlign w:val="bottom"/>
            <w:shd w:val="clear" w:color="auto" w:fill="9DBDE4"/>
          </w:tcPr>
          <w:p>
            <w:pPr>
              <w:jc w:val="right"/>
              <w:ind w:right="214"/>
              <w:spacing w:after="0" w:line="194" w:lineRule="exact"/>
              <w:rPr>
                <w:sz w:val="20"/>
                <w:szCs w:val="20"/>
                <w:color w:val="auto"/>
              </w:rPr>
            </w:pPr>
            <w:r>
              <w:rPr>
                <w:rFonts w:ascii="Arial" w:cs="Arial" w:eastAsia="Arial" w:hAnsi="Arial"/>
                <w:sz w:val="17"/>
                <w:szCs w:val="17"/>
                <w:color w:val="auto"/>
              </w:rPr>
              <w:t>13.5%</w:t>
            </w:r>
          </w:p>
        </w:tc>
      </w:tr>
      <w:tr>
        <w:trPr>
          <w:trHeight w:val="194"/>
        </w:trPr>
        <w:tc>
          <w:tcPr>
            <w:tcW w:w="2460" w:type="dxa"/>
            <w:vAlign w:val="bottom"/>
          </w:tcPr>
          <w:p>
            <w:pPr>
              <w:ind w:left="120"/>
              <w:spacing w:after="0" w:line="194" w:lineRule="exact"/>
              <w:rPr>
                <w:sz w:val="20"/>
                <w:szCs w:val="20"/>
                <w:color w:val="auto"/>
              </w:rPr>
            </w:pPr>
            <w:r>
              <w:rPr>
                <w:rFonts w:ascii="Arial" w:cs="Arial" w:eastAsia="Arial" w:hAnsi="Arial"/>
                <w:sz w:val="15"/>
                <w:szCs w:val="15"/>
                <w:color w:val="auto"/>
              </w:rPr>
              <w:t>Deborah L. Guerra</w:t>
            </w:r>
            <w:r>
              <w:rPr>
                <w:rFonts w:ascii="Arial" w:cs="Arial" w:eastAsia="Arial" w:hAnsi="Arial"/>
                <w:sz w:val="22"/>
                <w:szCs w:val="22"/>
                <w:color w:val="auto"/>
                <w:vertAlign w:val="superscript"/>
              </w:rPr>
              <w:t>(2)</w:t>
            </w:r>
          </w:p>
        </w:tc>
        <w:tc>
          <w:tcPr>
            <w:tcW w:w="2020" w:type="dxa"/>
            <w:vAlign w:val="bottom"/>
          </w:tcPr>
          <w:p>
            <w:pPr>
              <w:jc w:val="right"/>
              <w:ind w:right="214"/>
              <w:spacing w:after="0" w:line="194" w:lineRule="exact"/>
              <w:rPr>
                <w:sz w:val="20"/>
                <w:szCs w:val="20"/>
                <w:color w:val="auto"/>
              </w:rPr>
            </w:pPr>
            <w:r>
              <w:rPr>
                <w:rFonts w:ascii="Arial" w:cs="Arial" w:eastAsia="Arial" w:hAnsi="Arial"/>
                <w:sz w:val="17"/>
                <w:szCs w:val="17"/>
                <w:color w:val="auto"/>
              </w:rPr>
              <w:t>$359,450</w:t>
            </w:r>
          </w:p>
        </w:tc>
        <w:tc>
          <w:tcPr>
            <w:tcW w:w="2000" w:type="dxa"/>
            <w:vAlign w:val="bottom"/>
          </w:tcPr>
          <w:p>
            <w:pPr>
              <w:jc w:val="right"/>
              <w:ind w:right="214"/>
              <w:spacing w:after="0" w:line="194" w:lineRule="exact"/>
              <w:rPr>
                <w:sz w:val="20"/>
                <w:szCs w:val="20"/>
                <w:color w:val="auto"/>
              </w:rPr>
            </w:pPr>
            <w:r>
              <w:rPr>
                <w:rFonts w:ascii="Arial" w:cs="Arial" w:eastAsia="Arial" w:hAnsi="Arial"/>
                <w:sz w:val="17"/>
                <w:szCs w:val="17"/>
                <w:color w:val="auto"/>
              </w:rPr>
              <w:t>$383,000</w:t>
            </w:r>
          </w:p>
        </w:tc>
        <w:tc>
          <w:tcPr>
            <w:tcW w:w="2280" w:type="dxa"/>
            <w:vAlign w:val="bottom"/>
          </w:tcPr>
          <w:p>
            <w:pPr>
              <w:jc w:val="right"/>
              <w:ind w:right="214"/>
              <w:spacing w:after="0" w:line="194" w:lineRule="exact"/>
              <w:rPr>
                <w:sz w:val="20"/>
                <w:szCs w:val="20"/>
                <w:color w:val="auto"/>
              </w:rPr>
            </w:pPr>
            <w:r>
              <w:rPr>
                <w:rFonts w:ascii="Arial" w:cs="Arial" w:eastAsia="Arial" w:hAnsi="Arial"/>
                <w:sz w:val="17"/>
                <w:szCs w:val="17"/>
                <w:color w:val="auto"/>
              </w:rPr>
              <w:t>6.6%</w:t>
            </w:r>
          </w:p>
        </w:tc>
      </w:tr>
      <w:tr>
        <w:trPr>
          <w:trHeight w:val="194"/>
        </w:trPr>
        <w:tc>
          <w:tcPr>
            <w:tcW w:w="2460" w:type="dxa"/>
            <w:vAlign w:val="bottom"/>
            <w:shd w:val="clear" w:color="auto" w:fill="9DBDE4"/>
          </w:tcPr>
          <w:p>
            <w:pPr>
              <w:ind w:left="120"/>
              <w:spacing w:after="0" w:line="194" w:lineRule="exact"/>
              <w:rPr>
                <w:sz w:val="20"/>
                <w:szCs w:val="20"/>
                <w:color w:val="auto"/>
              </w:rPr>
            </w:pPr>
            <w:r>
              <w:rPr>
                <w:rFonts w:ascii="Arial" w:cs="Arial" w:eastAsia="Arial" w:hAnsi="Arial"/>
                <w:sz w:val="17"/>
                <w:szCs w:val="17"/>
                <w:color w:val="auto"/>
              </w:rPr>
              <w:t>Evanthia Aretakis</w:t>
            </w:r>
          </w:p>
        </w:tc>
        <w:tc>
          <w:tcPr>
            <w:tcW w:w="2020" w:type="dxa"/>
            <w:vAlign w:val="bottom"/>
            <w:shd w:val="clear" w:color="auto" w:fill="9DBDE4"/>
          </w:tcPr>
          <w:p>
            <w:pPr>
              <w:jc w:val="right"/>
              <w:ind w:right="214"/>
              <w:spacing w:after="0" w:line="194" w:lineRule="exact"/>
              <w:rPr>
                <w:sz w:val="20"/>
                <w:szCs w:val="20"/>
                <w:color w:val="auto"/>
              </w:rPr>
            </w:pPr>
            <w:r>
              <w:rPr>
                <w:rFonts w:ascii="Arial" w:cs="Arial" w:eastAsia="Arial" w:hAnsi="Arial"/>
                <w:sz w:val="17"/>
                <w:szCs w:val="17"/>
                <w:color w:val="auto"/>
              </w:rPr>
              <w:t>$435,000</w:t>
            </w:r>
          </w:p>
        </w:tc>
        <w:tc>
          <w:tcPr>
            <w:tcW w:w="2000" w:type="dxa"/>
            <w:vAlign w:val="bottom"/>
            <w:shd w:val="clear" w:color="auto" w:fill="9DBDE4"/>
          </w:tcPr>
          <w:p>
            <w:pPr>
              <w:jc w:val="right"/>
              <w:ind w:right="214"/>
              <w:spacing w:after="0" w:line="194" w:lineRule="exact"/>
              <w:rPr>
                <w:sz w:val="20"/>
                <w:szCs w:val="20"/>
                <w:color w:val="auto"/>
              </w:rPr>
            </w:pPr>
            <w:r>
              <w:rPr>
                <w:rFonts w:ascii="Arial" w:cs="Arial" w:eastAsia="Arial" w:hAnsi="Arial"/>
                <w:sz w:val="17"/>
                <w:szCs w:val="17"/>
                <w:color w:val="auto"/>
              </w:rPr>
              <w:t>$435,000</w:t>
            </w:r>
          </w:p>
        </w:tc>
        <w:tc>
          <w:tcPr>
            <w:tcW w:w="2280" w:type="dxa"/>
            <w:vAlign w:val="bottom"/>
            <w:shd w:val="clear" w:color="auto" w:fill="9DBDE4"/>
          </w:tcPr>
          <w:p>
            <w:pPr>
              <w:jc w:val="right"/>
              <w:ind w:right="214"/>
              <w:spacing w:after="0" w:line="194" w:lineRule="exact"/>
              <w:rPr>
                <w:sz w:val="20"/>
                <w:szCs w:val="20"/>
                <w:color w:val="auto"/>
              </w:rPr>
            </w:pPr>
            <w:r>
              <w:rPr>
                <w:rFonts w:ascii="Arial" w:cs="Arial" w:eastAsia="Arial" w:hAnsi="Arial"/>
                <w:sz w:val="17"/>
                <w:szCs w:val="17"/>
                <w:color w:val="auto"/>
              </w:rPr>
              <w:t>0%</w:t>
            </w:r>
          </w:p>
        </w:tc>
      </w:tr>
      <w:tr>
        <w:trPr>
          <w:trHeight w:val="194"/>
        </w:trPr>
        <w:tc>
          <w:tcPr>
            <w:tcW w:w="2460" w:type="dxa"/>
            <w:vAlign w:val="bottom"/>
            <w:tcBorders>
              <w:bottom w:val="single" w:sz="8" w:color="284993"/>
            </w:tcBorders>
          </w:tcPr>
          <w:p>
            <w:pPr>
              <w:ind w:left="120"/>
              <w:spacing w:after="0" w:line="194" w:lineRule="exact"/>
              <w:rPr>
                <w:sz w:val="20"/>
                <w:szCs w:val="20"/>
                <w:color w:val="auto"/>
              </w:rPr>
            </w:pPr>
            <w:r>
              <w:rPr>
                <w:rFonts w:ascii="Arial" w:cs="Arial" w:eastAsia="Arial" w:hAnsi="Arial"/>
                <w:sz w:val="15"/>
                <w:szCs w:val="15"/>
                <w:color w:val="auto"/>
              </w:rPr>
              <w:t>Jeremy M. Wilmot</w:t>
            </w:r>
            <w:r>
              <w:rPr>
                <w:rFonts w:ascii="Arial" w:cs="Arial" w:eastAsia="Arial" w:hAnsi="Arial"/>
                <w:sz w:val="22"/>
                <w:szCs w:val="22"/>
                <w:color w:val="auto"/>
                <w:vertAlign w:val="superscript"/>
              </w:rPr>
              <w:t>(3)</w:t>
            </w:r>
          </w:p>
        </w:tc>
        <w:tc>
          <w:tcPr>
            <w:tcW w:w="2020" w:type="dxa"/>
            <w:vAlign w:val="bottom"/>
            <w:tcBorders>
              <w:bottom w:val="single" w:sz="8" w:color="284993"/>
            </w:tcBorders>
          </w:tcPr>
          <w:p>
            <w:pPr>
              <w:jc w:val="right"/>
              <w:ind w:right="214"/>
              <w:spacing w:after="0" w:line="194" w:lineRule="exact"/>
              <w:rPr>
                <w:sz w:val="20"/>
                <w:szCs w:val="20"/>
                <w:color w:val="auto"/>
              </w:rPr>
            </w:pPr>
            <w:r>
              <w:rPr>
                <w:rFonts w:ascii="Arial" w:cs="Arial" w:eastAsia="Arial" w:hAnsi="Arial"/>
                <w:sz w:val="17"/>
                <w:szCs w:val="17"/>
                <w:color w:val="auto"/>
              </w:rPr>
              <w:t>$375,000</w:t>
            </w:r>
          </w:p>
        </w:tc>
        <w:tc>
          <w:tcPr>
            <w:tcW w:w="2000" w:type="dxa"/>
            <w:vAlign w:val="bottom"/>
            <w:tcBorders>
              <w:bottom w:val="single" w:sz="8" w:color="284993"/>
            </w:tcBorders>
          </w:tcPr>
          <w:p>
            <w:pPr>
              <w:jc w:val="right"/>
              <w:ind w:right="214"/>
              <w:spacing w:after="0" w:line="194" w:lineRule="exact"/>
              <w:rPr>
                <w:sz w:val="20"/>
                <w:szCs w:val="20"/>
                <w:color w:val="auto"/>
              </w:rPr>
            </w:pPr>
            <w:r>
              <w:rPr>
                <w:rFonts w:ascii="Arial" w:cs="Arial" w:eastAsia="Arial" w:hAnsi="Arial"/>
                <w:sz w:val="17"/>
                <w:szCs w:val="17"/>
                <w:color w:val="auto"/>
              </w:rPr>
              <w:t>$375,000</w:t>
            </w:r>
          </w:p>
        </w:tc>
        <w:tc>
          <w:tcPr>
            <w:tcW w:w="2280" w:type="dxa"/>
            <w:vAlign w:val="bottom"/>
            <w:tcBorders>
              <w:bottom w:val="single" w:sz="8" w:color="284993"/>
            </w:tcBorders>
          </w:tcPr>
          <w:p>
            <w:pPr>
              <w:jc w:val="right"/>
              <w:ind w:right="214"/>
              <w:spacing w:after="0" w:line="194" w:lineRule="exact"/>
              <w:rPr>
                <w:sz w:val="20"/>
                <w:szCs w:val="20"/>
                <w:color w:val="auto"/>
              </w:rPr>
            </w:pPr>
            <w:r>
              <w:rPr>
                <w:rFonts w:ascii="Arial" w:cs="Arial" w:eastAsia="Arial" w:hAnsi="Arial"/>
                <w:sz w:val="17"/>
                <w:szCs w:val="17"/>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-1117600</wp:posOffset>
            </wp:positionV>
            <wp:extent cx="8255" cy="11182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111823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-1117600</wp:posOffset>
            </wp:positionV>
            <wp:extent cx="8255" cy="11182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111823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-1117600</wp:posOffset>
            </wp:positionV>
            <wp:extent cx="8255" cy="11182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1118235"/>
                    </a:xfrm>
                    <a:prstGeom prst="rect">
                      <a:avLst/>
                    </a:prstGeom>
                    <a:noFill/>
                  </pic:spPr>
                </pic:pic>
              </a:graphicData>
            </a:graphic>
          </wp:anchor>
        </w:drawing>
      </w:r>
    </w:p>
    <w:p>
      <w:pPr>
        <w:spacing w:after="0" w:line="79" w:lineRule="exact"/>
        <w:rPr>
          <w:sz w:val="20"/>
          <w:szCs w:val="20"/>
          <w:color w:val="auto"/>
        </w:rPr>
      </w:pPr>
    </w:p>
    <w:p>
      <w:pPr>
        <w:ind w:left="640" w:right="20" w:hanging="172"/>
        <w:spacing w:after="0" w:line="188" w:lineRule="auto"/>
        <w:tabs>
          <w:tab w:leader="none" w:pos="640" w:val="left"/>
        </w:tabs>
        <w:numPr>
          <w:ilvl w:val="0"/>
          <w:numId w:val="37"/>
        </w:numPr>
        <w:rPr>
          <w:rFonts w:ascii="Arial" w:cs="Arial" w:eastAsia="Arial" w:hAnsi="Arial"/>
          <w:sz w:val="18"/>
          <w:szCs w:val="18"/>
          <w:color w:val="auto"/>
          <w:vertAlign w:val="superscript"/>
        </w:rPr>
      </w:pPr>
      <w:r>
        <w:rPr>
          <w:rFonts w:ascii="Arial" w:cs="Arial" w:eastAsia="Arial" w:hAnsi="Arial"/>
          <w:sz w:val="12"/>
          <w:szCs w:val="12"/>
          <w:color w:val="auto"/>
        </w:rPr>
        <w:t>Mr. Silva was promoted on May 6, 2022. His 2022 base salary rate reflects both an April 2022 merit increase to $378,025 and a May 2022 promotional increase to $420,000.</w:t>
      </w:r>
    </w:p>
    <w:p>
      <w:pPr>
        <w:ind w:left="640" w:hanging="172"/>
        <w:spacing w:after="0" w:line="180" w:lineRule="auto"/>
        <w:tabs>
          <w:tab w:leader="none" w:pos="640" w:val="left"/>
        </w:tabs>
        <w:numPr>
          <w:ilvl w:val="0"/>
          <w:numId w:val="37"/>
        </w:numPr>
        <w:rPr>
          <w:rFonts w:ascii="Arial" w:cs="Arial" w:eastAsia="Arial" w:hAnsi="Arial"/>
          <w:sz w:val="18"/>
          <w:szCs w:val="18"/>
          <w:color w:val="auto"/>
          <w:vertAlign w:val="superscript"/>
        </w:rPr>
      </w:pPr>
      <w:r>
        <w:rPr>
          <w:rFonts w:ascii="Arial" w:cs="Arial" w:eastAsia="Arial" w:hAnsi="Arial"/>
          <w:sz w:val="12"/>
          <w:szCs w:val="12"/>
          <w:color w:val="auto"/>
        </w:rPr>
        <w:t>Ms. Guerra was promoted on July 5, 2022. Her 2022 base salary rate reflects both an April 2022 merit increase to $370,234 and a May 2022 promotional increase to $383,000.</w:t>
      </w:r>
    </w:p>
    <w:p>
      <w:pPr>
        <w:ind w:left="640" w:hanging="172"/>
        <w:spacing w:after="0" w:line="180" w:lineRule="auto"/>
        <w:tabs>
          <w:tab w:leader="none" w:pos="640" w:val="left"/>
        </w:tabs>
        <w:numPr>
          <w:ilvl w:val="0"/>
          <w:numId w:val="37"/>
        </w:numPr>
        <w:rPr>
          <w:rFonts w:ascii="Arial" w:cs="Arial" w:eastAsia="Arial" w:hAnsi="Arial"/>
          <w:sz w:val="17"/>
          <w:szCs w:val="17"/>
          <w:color w:val="auto"/>
          <w:vertAlign w:val="superscript"/>
        </w:rPr>
      </w:pPr>
      <w:r>
        <w:rPr>
          <w:rFonts w:ascii="Arial" w:cs="Arial" w:eastAsia="Arial" w:hAnsi="Arial"/>
          <w:sz w:val="12"/>
          <w:szCs w:val="12"/>
          <w:color w:val="auto"/>
        </w:rPr>
        <w:t>Mr. Wilmot’s 2022 base salary rate was in effect until his transition to part-time service as Special Advisor to the CEO.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Annual Cash Incentive Awards</w:t>
      </w:r>
    </w:p>
    <w:p>
      <w:pPr>
        <w:spacing w:after="0" w:line="107"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Our annual cash incentive plan for our executive officers, including our Named Executive Officers, which is established each year as part of our STIP program, offers them the opportunity to earn cash awards based on our corporate and their individual performance as measured over a 12-month performance period. This annual cash incentive plan is designed to encourage each individual participant’s contribution to, and to reward them for, the achievement of specific pre-established corporate financial objectives. An executive officer’s payment under the 2022 STIP could range from 0% to 200% of his or her target annual cash incentive award opportunity (as described further below).</w:t>
      </w:r>
    </w:p>
    <w:p>
      <w:pPr>
        <w:spacing w:after="0" w:line="187" w:lineRule="exact"/>
        <w:rPr>
          <w:sz w:val="20"/>
          <w:szCs w:val="20"/>
          <w:color w:val="auto"/>
        </w:rPr>
      </w:pPr>
    </w:p>
    <w:p>
      <w:pPr>
        <w:ind w:right="360"/>
        <w:spacing w:after="0" w:line="243" w:lineRule="auto"/>
        <w:rPr>
          <w:sz w:val="20"/>
          <w:szCs w:val="20"/>
          <w:color w:val="auto"/>
        </w:rPr>
      </w:pPr>
      <w:r>
        <w:rPr>
          <w:rFonts w:ascii="Arial" w:cs="Arial" w:eastAsia="Arial" w:hAnsi="Arial"/>
          <w:sz w:val="16"/>
          <w:szCs w:val="16"/>
          <w:color w:val="auto"/>
        </w:rPr>
        <w:t>In March 2022, the Compensation Committee approved the 2022 STIP for our executive officers, including our Named Executive Officers. The 2022 STIP provided for payouts based on the achievement of Adjusted EBITDA (weighted 50%) and Gross Revenue (weighted 50%). Payouts for our executive officers can be increased or decreased 10% based on individual performance but the aggregate of all 2022 STIP payments could not exceed the aggregate funded payout for all participants based on corporate performance.</w:t>
      </w:r>
    </w:p>
    <w:p>
      <w:pPr>
        <w:spacing w:after="0" w:line="182"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Adjusted EBITDA is a non-GAAP financial measure. Adjusted EBITDA, as used in the consolidated financial statements in our Annual Report and in this Proxy Statement, is defined as net income plus income tax expense (benefit), net interest income (expense), net other income (expense), depreciation, amortization and stock-based compensation, as well as significant transaction-related expenses and one-time charges to implement cost reduction strategies. See Appendix A to this Proxy Statement for a reconciliation of our GAAP to non-GAAP financial results.</w:t>
      </w:r>
    </w:p>
    <w:p>
      <w:pPr>
        <w:spacing w:after="0" w:line="182"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In 2022, we did not make any adjustments to our STIP program for the COVID-19 pandemic or any other general economic headwinds to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Annual Cash Incentive Award Opportunity Targets</w:t>
      </w:r>
    </w:p>
    <w:p>
      <w:pPr>
        <w:spacing w:after="0" w:line="107"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At the beginning of each year, our executive officers, including our Named Executive Officers, are assigned a target annual cash incentive award opportunity, the amount of which is calculated as a percentage of their annual base salary. Generally, the Compensation Committee reviews the target annual cash incentive award opportunities of each of our executive officers considering our CEO’s recommendations (except with respect to his own target annual cash incentive award opportunity), as well as the factors described under “Compensation-Setting Process – Factors Considered in Compensation Deliberations” above. Following this review, the Compensation Committee approves adjustments to the target annual cash incentive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85090</wp:posOffset>
            </wp:positionV>
            <wp:extent cx="699135" cy="1314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58</w:t>
      </w:r>
    </w:p>
    <w:p>
      <w:pPr>
        <w:sectPr>
          <w:pgSz w:w="11900" w:h="16838" w:orient="portrait"/>
          <w:cols w:equalWidth="0" w:num="1">
            <w:col w:w="9320"/>
          </w:cols>
          <w:pgMar w:left="1280" w:top="296" w:right="1299" w:bottom="1440" w:gutter="0" w:footer="0" w:header="0"/>
        </w:sectPr>
      </w:pPr>
    </w:p>
    <w:bookmarkStart w:id="64" w:name="page65"/>
    <w:bookmarkEnd w:id="64"/>
    <w:p>
      <w:pPr>
        <w:ind w:right="120"/>
        <w:spacing w:after="0" w:line="24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opportunities of our executive officers as it determines to be necessary or appropriate. For our CEO, the Compensation Committee reviews his target annual cash incentive at the same time using the factors described under “Compensation-Setting Process – Factors Considered in Compensation Deliberations” above.</w:t>
      </w:r>
    </w:p>
    <w:p>
      <w:pPr>
        <w:spacing w:after="0" w:line="178"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In December 2021 and January 2022, the Compensation Committee reviewed the target annual cash incentive opportunities of our executive officers, including our Named Executive Officers. Following this review, and based on the recommendation of our Former CEO, the Compensation Committee decided to maintain the target annual cash incentive award opportunity as a percentage of base salary at the 2021 levels (which have been unchanged for over five years) for all Named Executive Officers, excluding the CPO, whose opportunity was increased in connection with her 2022 promotion, and our CRO, who was eligible for awards under both the 2022 STIP and other incentive programs for 2022. The target annual cash incentive award opportunities of our Named Executive Officers for purposes of the 2021 STIP and the 2022 STIP (and, for our CRO, certain other incentive programs)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shd w:val="clear" w:color="auto" w:fill="284993"/>
          </w:tcPr>
          <w:p>
            <w:pPr>
              <w:spacing w:after="0"/>
              <w:rPr>
                <w:sz w:val="16"/>
                <w:szCs w:val="16"/>
                <w:color w:val="auto"/>
              </w:rPr>
            </w:pPr>
          </w:p>
        </w:tc>
        <w:tc>
          <w:tcPr>
            <w:tcW w:w="1500" w:type="dxa"/>
            <w:vAlign w:val="bottom"/>
            <w:shd w:val="clear" w:color="auto" w:fill="284993"/>
          </w:tcPr>
          <w:p>
            <w:pPr>
              <w:spacing w:after="0"/>
              <w:rPr>
                <w:sz w:val="16"/>
                <w:szCs w:val="16"/>
                <w:color w:val="auto"/>
              </w:rPr>
            </w:pPr>
          </w:p>
        </w:tc>
        <w:tc>
          <w:tcPr>
            <w:tcW w:w="1380" w:type="dxa"/>
            <w:vAlign w:val="bottom"/>
            <w:shd w:val="clear" w:color="auto" w:fill="284993"/>
          </w:tcPr>
          <w:p>
            <w:pPr>
              <w:spacing w:after="0"/>
              <w:rPr>
                <w:sz w:val="16"/>
                <w:szCs w:val="16"/>
                <w:color w:val="auto"/>
              </w:rPr>
            </w:pPr>
          </w:p>
        </w:tc>
        <w:tc>
          <w:tcPr>
            <w:tcW w:w="1400" w:type="dxa"/>
            <w:vAlign w:val="bottom"/>
            <w:shd w:val="clear" w:color="auto" w:fill="284993"/>
          </w:tcPr>
          <w:p>
            <w:pPr>
              <w:spacing w:after="0"/>
              <w:rPr>
                <w:sz w:val="16"/>
                <w:szCs w:val="16"/>
                <w:color w:val="auto"/>
              </w:rPr>
            </w:pPr>
          </w:p>
        </w:tc>
        <w:tc>
          <w:tcPr>
            <w:tcW w:w="1540" w:type="dxa"/>
            <w:vAlign w:val="bottom"/>
            <w:shd w:val="clear" w:color="auto" w:fill="284993"/>
          </w:tcPr>
          <w:p>
            <w:pPr>
              <w:spacing w:after="0"/>
              <w:rPr>
                <w:sz w:val="16"/>
                <w:szCs w:val="16"/>
                <w:color w:val="auto"/>
              </w:rPr>
            </w:pPr>
          </w:p>
        </w:tc>
        <w:tc>
          <w:tcPr>
            <w:tcW w:w="120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5"/>
              </w:rPr>
              <w:t>Percentage</w:t>
            </w:r>
          </w:p>
        </w:tc>
      </w:tr>
      <w:tr>
        <w:trPr>
          <w:trHeight w:val="181"/>
        </w:trPr>
        <w:tc>
          <w:tcPr>
            <w:tcW w:w="2300" w:type="dxa"/>
            <w:vAlign w:val="bottom"/>
            <w:shd w:val="clear" w:color="auto" w:fill="284993"/>
          </w:tcPr>
          <w:p>
            <w:pPr>
              <w:spacing w:after="0"/>
              <w:rPr>
                <w:sz w:val="15"/>
                <w:szCs w:val="15"/>
                <w:color w:val="auto"/>
              </w:rPr>
            </w:pPr>
          </w:p>
        </w:tc>
        <w:tc>
          <w:tcPr>
            <w:tcW w:w="1500" w:type="dxa"/>
            <w:vAlign w:val="bottom"/>
            <w:shd w:val="clear" w:color="auto" w:fill="284993"/>
          </w:tcPr>
          <w:p>
            <w:pPr>
              <w:jc w:val="center"/>
              <w:ind w:left="38"/>
              <w:spacing w:after="0" w:line="181" w:lineRule="exact"/>
              <w:rPr>
                <w:sz w:val="20"/>
                <w:szCs w:val="20"/>
                <w:color w:val="auto"/>
              </w:rPr>
            </w:pPr>
            <w:r>
              <w:rPr>
                <w:rFonts w:ascii="Arial" w:cs="Arial" w:eastAsia="Arial" w:hAnsi="Arial"/>
                <w:sz w:val="16"/>
                <w:szCs w:val="16"/>
                <w:b w:val="1"/>
                <w:bCs w:val="1"/>
                <w:color w:val="FFFFFF"/>
                <w:w w:val="96"/>
              </w:rPr>
              <w:t>2021 Target</w:t>
            </w:r>
          </w:p>
        </w:tc>
        <w:tc>
          <w:tcPr>
            <w:tcW w:w="1380" w:type="dxa"/>
            <w:vAlign w:val="bottom"/>
            <w:shd w:val="clear" w:color="auto" w:fill="284993"/>
          </w:tcPr>
          <w:p>
            <w:pPr>
              <w:spacing w:after="0"/>
              <w:rPr>
                <w:sz w:val="15"/>
                <w:szCs w:val="15"/>
                <w:color w:val="auto"/>
              </w:rPr>
            </w:pPr>
          </w:p>
        </w:tc>
        <w:tc>
          <w:tcPr>
            <w:tcW w:w="14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4"/>
              </w:rPr>
              <w:t>2022 Target</w:t>
            </w:r>
          </w:p>
        </w:tc>
        <w:tc>
          <w:tcPr>
            <w:tcW w:w="1540" w:type="dxa"/>
            <w:vAlign w:val="bottom"/>
            <w:shd w:val="clear" w:color="auto" w:fill="284993"/>
          </w:tcPr>
          <w:p>
            <w:pPr>
              <w:spacing w:after="0"/>
              <w:rPr>
                <w:sz w:val="15"/>
                <w:szCs w:val="15"/>
                <w:color w:val="auto"/>
              </w:rPr>
            </w:pPr>
          </w:p>
        </w:tc>
        <w:tc>
          <w:tcPr>
            <w:tcW w:w="12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5"/>
              </w:rPr>
              <w:t>Increase</w:t>
            </w:r>
          </w:p>
        </w:tc>
      </w:tr>
      <w:tr>
        <w:trPr>
          <w:trHeight w:val="181"/>
        </w:trPr>
        <w:tc>
          <w:tcPr>
            <w:tcW w:w="2300" w:type="dxa"/>
            <w:vAlign w:val="bottom"/>
            <w:shd w:val="clear" w:color="auto" w:fill="284993"/>
          </w:tcPr>
          <w:p>
            <w:pPr>
              <w:spacing w:after="0"/>
              <w:rPr>
                <w:sz w:val="15"/>
                <w:szCs w:val="15"/>
                <w:color w:val="auto"/>
              </w:rPr>
            </w:pPr>
          </w:p>
        </w:tc>
        <w:tc>
          <w:tcPr>
            <w:tcW w:w="1500" w:type="dxa"/>
            <w:vAlign w:val="bottom"/>
            <w:shd w:val="clear" w:color="auto" w:fill="284993"/>
          </w:tcPr>
          <w:p>
            <w:pPr>
              <w:jc w:val="center"/>
              <w:ind w:left="38"/>
              <w:spacing w:after="0" w:line="181" w:lineRule="exact"/>
              <w:rPr>
                <w:sz w:val="20"/>
                <w:szCs w:val="20"/>
                <w:color w:val="auto"/>
              </w:rPr>
            </w:pPr>
            <w:r>
              <w:rPr>
                <w:rFonts w:ascii="Arial" w:cs="Arial" w:eastAsia="Arial" w:hAnsi="Arial"/>
                <w:sz w:val="16"/>
                <w:szCs w:val="16"/>
                <w:b w:val="1"/>
                <w:bCs w:val="1"/>
                <w:color w:val="FFFFFF"/>
                <w:w w:val="96"/>
              </w:rPr>
              <w:t>Annual Cash</w:t>
            </w:r>
          </w:p>
        </w:tc>
        <w:tc>
          <w:tcPr>
            <w:tcW w:w="138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6"/>
              </w:rPr>
              <w:t>2021 Target</w:t>
            </w:r>
          </w:p>
        </w:tc>
        <w:tc>
          <w:tcPr>
            <w:tcW w:w="14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8"/>
              </w:rPr>
              <w:t>Annual Cash</w:t>
            </w:r>
          </w:p>
        </w:tc>
        <w:tc>
          <w:tcPr>
            <w:tcW w:w="1540" w:type="dxa"/>
            <w:vAlign w:val="bottom"/>
            <w:shd w:val="clear" w:color="auto" w:fill="284993"/>
          </w:tcPr>
          <w:p>
            <w:pPr>
              <w:jc w:val="center"/>
              <w:ind w:right="38"/>
              <w:spacing w:after="0" w:line="181" w:lineRule="exact"/>
              <w:rPr>
                <w:sz w:val="20"/>
                <w:szCs w:val="20"/>
                <w:color w:val="auto"/>
              </w:rPr>
            </w:pPr>
            <w:r>
              <w:rPr>
                <w:rFonts w:ascii="Arial" w:cs="Arial" w:eastAsia="Arial" w:hAnsi="Arial"/>
                <w:sz w:val="16"/>
                <w:szCs w:val="16"/>
                <w:b w:val="1"/>
                <w:bCs w:val="1"/>
                <w:color w:val="FFFFFF"/>
                <w:w w:val="96"/>
              </w:rPr>
              <w:t>2022 Target</w:t>
            </w:r>
          </w:p>
        </w:tc>
        <w:tc>
          <w:tcPr>
            <w:tcW w:w="12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4"/>
              </w:rPr>
              <w:t>over 2021</w:t>
            </w:r>
          </w:p>
        </w:tc>
      </w:tr>
      <w:tr>
        <w:trPr>
          <w:trHeight w:val="181"/>
        </w:trPr>
        <w:tc>
          <w:tcPr>
            <w:tcW w:w="2300" w:type="dxa"/>
            <w:vAlign w:val="bottom"/>
            <w:shd w:val="clear" w:color="auto" w:fill="284993"/>
          </w:tcPr>
          <w:p>
            <w:pPr>
              <w:spacing w:after="0"/>
              <w:rPr>
                <w:sz w:val="15"/>
                <w:szCs w:val="15"/>
                <w:color w:val="auto"/>
              </w:rPr>
            </w:pPr>
          </w:p>
        </w:tc>
        <w:tc>
          <w:tcPr>
            <w:tcW w:w="1500" w:type="dxa"/>
            <w:vAlign w:val="bottom"/>
            <w:shd w:val="clear" w:color="auto" w:fill="284993"/>
          </w:tcPr>
          <w:p>
            <w:pPr>
              <w:jc w:val="center"/>
              <w:ind w:left="38"/>
              <w:spacing w:after="0" w:line="181" w:lineRule="exact"/>
              <w:rPr>
                <w:sz w:val="20"/>
                <w:szCs w:val="20"/>
                <w:color w:val="auto"/>
              </w:rPr>
            </w:pPr>
            <w:r>
              <w:rPr>
                <w:rFonts w:ascii="Arial" w:cs="Arial" w:eastAsia="Arial" w:hAnsi="Arial"/>
                <w:sz w:val="16"/>
                <w:szCs w:val="16"/>
                <w:b w:val="1"/>
                <w:bCs w:val="1"/>
                <w:color w:val="FFFFFF"/>
                <w:w w:val="95"/>
              </w:rPr>
              <w:t>Incentive</w:t>
            </w:r>
          </w:p>
        </w:tc>
        <w:tc>
          <w:tcPr>
            <w:tcW w:w="1380" w:type="dxa"/>
            <w:vAlign w:val="bottom"/>
            <w:shd w:val="clear" w:color="auto" w:fill="284993"/>
          </w:tcPr>
          <w:p>
            <w:pPr>
              <w:jc w:val="right"/>
              <w:ind w:right="158"/>
              <w:spacing w:after="0" w:line="181" w:lineRule="exact"/>
              <w:rPr>
                <w:sz w:val="20"/>
                <w:szCs w:val="20"/>
                <w:color w:val="auto"/>
              </w:rPr>
            </w:pPr>
            <w:r>
              <w:rPr>
                <w:rFonts w:ascii="Arial" w:cs="Arial" w:eastAsia="Arial" w:hAnsi="Arial"/>
                <w:sz w:val="16"/>
                <w:szCs w:val="16"/>
                <w:b w:val="1"/>
                <w:bCs w:val="1"/>
                <w:color w:val="FFFFFF"/>
              </w:rPr>
              <w:t>Annual Cash</w:t>
            </w:r>
          </w:p>
        </w:tc>
        <w:tc>
          <w:tcPr>
            <w:tcW w:w="14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Incentive</w:t>
            </w:r>
          </w:p>
        </w:tc>
        <w:tc>
          <w:tcPr>
            <w:tcW w:w="1540" w:type="dxa"/>
            <w:vAlign w:val="bottom"/>
            <w:shd w:val="clear" w:color="auto" w:fill="284993"/>
          </w:tcPr>
          <w:p>
            <w:pPr>
              <w:jc w:val="center"/>
              <w:ind w:right="38"/>
              <w:spacing w:after="0" w:line="181" w:lineRule="exact"/>
              <w:rPr>
                <w:sz w:val="20"/>
                <w:szCs w:val="20"/>
                <w:color w:val="auto"/>
              </w:rPr>
            </w:pPr>
            <w:r>
              <w:rPr>
                <w:rFonts w:ascii="Arial" w:cs="Arial" w:eastAsia="Arial" w:hAnsi="Arial"/>
                <w:sz w:val="16"/>
                <w:szCs w:val="16"/>
                <w:b w:val="1"/>
                <w:bCs w:val="1"/>
                <w:color w:val="FFFFFF"/>
                <w:w w:val="96"/>
              </w:rPr>
              <w:t>Annual Cash</w:t>
            </w:r>
          </w:p>
        </w:tc>
        <w:tc>
          <w:tcPr>
            <w:tcW w:w="12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8"/>
              </w:rPr>
              <w:t>(calculated</w:t>
            </w:r>
          </w:p>
        </w:tc>
      </w:tr>
      <w:tr>
        <w:trPr>
          <w:trHeight w:val="181"/>
        </w:trPr>
        <w:tc>
          <w:tcPr>
            <w:tcW w:w="2300" w:type="dxa"/>
            <w:vAlign w:val="bottom"/>
            <w:shd w:val="clear" w:color="auto" w:fill="284993"/>
          </w:tcPr>
          <w:p>
            <w:pPr>
              <w:spacing w:after="0"/>
              <w:rPr>
                <w:sz w:val="15"/>
                <w:szCs w:val="15"/>
                <w:color w:val="auto"/>
              </w:rPr>
            </w:pPr>
          </w:p>
        </w:tc>
        <w:tc>
          <w:tcPr>
            <w:tcW w:w="1500" w:type="dxa"/>
            <w:vAlign w:val="bottom"/>
            <w:shd w:val="clear" w:color="auto" w:fill="284993"/>
          </w:tcPr>
          <w:p>
            <w:pPr>
              <w:jc w:val="center"/>
              <w:ind w:left="38"/>
              <w:spacing w:after="0" w:line="181" w:lineRule="exact"/>
              <w:rPr>
                <w:sz w:val="20"/>
                <w:szCs w:val="20"/>
                <w:color w:val="auto"/>
              </w:rPr>
            </w:pPr>
            <w:r>
              <w:rPr>
                <w:rFonts w:ascii="Arial" w:cs="Arial" w:eastAsia="Arial" w:hAnsi="Arial"/>
                <w:sz w:val="16"/>
                <w:szCs w:val="16"/>
                <w:b w:val="1"/>
                <w:bCs w:val="1"/>
                <w:color w:val="FFFFFF"/>
                <w:w w:val="93"/>
              </w:rPr>
              <w:t>Award</w:t>
            </w:r>
          </w:p>
        </w:tc>
        <w:tc>
          <w:tcPr>
            <w:tcW w:w="138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5"/>
              </w:rPr>
              <w:t>Incentive</w:t>
            </w:r>
          </w:p>
        </w:tc>
        <w:tc>
          <w:tcPr>
            <w:tcW w:w="14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8"/>
              </w:rPr>
              <w:t>Award</w:t>
            </w:r>
          </w:p>
        </w:tc>
        <w:tc>
          <w:tcPr>
            <w:tcW w:w="1540" w:type="dxa"/>
            <w:vAlign w:val="bottom"/>
            <w:shd w:val="clear" w:color="auto" w:fill="284993"/>
          </w:tcPr>
          <w:p>
            <w:pPr>
              <w:jc w:val="center"/>
              <w:ind w:right="38"/>
              <w:spacing w:after="0" w:line="181" w:lineRule="exact"/>
              <w:rPr>
                <w:sz w:val="20"/>
                <w:szCs w:val="20"/>
                <w:color w:val="auto"/>
              </w:rPr>
            </w:pPr>
            <w:r>
              <w:rPr>
                <w:rFonts w:ascii="Arial" w:cs="Arial" w:eastAsia="Arial" w:hAnsi="Arial"/>
                <w:sz w:val="16"/>
                <w:szCs w:val="16"/>
                <w:b w:val="1"/>
                <w:bCs w:val="1"/>
                <w:color w:val="FFFFFF"/>
                <w:w w:val="95"/>
              </w:rPr>
              <w:t>Incentive</w:t>
            </w:r>
          </w:p>
        </w:tc>
        <w:tc>
          <w:tcPr>
            <w:tcW w:w="12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9"/>
              </w:rPr>
              <w:t>based on</w:t>
            </w:r>
          </w:p>
        </w:tc>
      </w:tr>
      <w:tr>
        <w:trPr>
          <w:trHeight w:val="181"/>
        </w:trPr>
        <w:tc>
          <w:tcPr>
            <w:tcW w:w="2300" w:type="dxa"/>
            <w:vAlign w:val="bottom"/>
            <w:shd w:val="clear" w:color="auto" w:fill="284993"/>
          </w:tcPr>
          <w:p>
            <w:pPr>
              <w:spacing w:after="0"/>
              <w:rPr>
                <w:sz w:val="15"/>
                <w:szCs w:val="15"/>
                <w:color w:val="auto"/>
              </w:rPr>
            </w:pPr>
          </w:p>
        </w:tc>
        <w:tc>
          <w:tcPr>
            <w:tcW w:w="1500" w:type="dxa"/>
            <w:vAlign w:val="bottom"/>
            <w:shd w:val="clear" w:color="auto" w:fill="284993"/>
          </w:tcPr>
          <w:p>
            <w:pPr>
              <w:jc w:val="center"/>
              <w:ind w:left="38"/>
              <w:spacing w:after="0" w:line="181" w:lineRule="exact"/>
              <w:rPr>
                <w:sz w:val="20"/>
                <w:szCs w:val="20"/>
                <w:color w:val="auto"/>
              </w:rPr>
            </w:pPr>
            <w:r>
              <w:rPr>
                <w:rFonts w:ascii="Arial" w:cs="Arial" w:eastAsia="Arial" w:hAnsi="Arial"/>
                <w:sz w:val="16"/>
                <w:szCs w:val="16"/>
                <w:b w:val="1"/>
                <w:bCs w:val="1"/>
                <w:color w:val="FFFFFF"/>
                <w:w w:val="98"/>
              </w:rPr>
              <w:t>Opportunity</w:t>
            </w:r>
          </w:p>
        </w:tc>
        <w:tc>
          <w:tcPr>
            <w:tcW w:w="138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3"/>
              </w:rPr>
              <w:t>Award</w:t>
            </w:r>
          </w:p>
        </w:tc>
        <w:tc>
          <w:tcPr>
            <w:tcW w:w="14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6"/>
              </w:rPr>
              <w:t>Opportunity</w:t>
            </w:r>
          </w:p>
        </w:tc>
        <w:tc>
          <w:tcPr>
            <w:tcW w:w="1540" w:type="dxa"/>
            <w:vAlign w:val="bottom"/>
            <w:shd w:val="clear" w:color="auto" w:fill="284993"/>
          </w:tcPr>
          <w:p>
            <w:pPr>
              <w:jc w:val="center"/>
              <w:ind w:right="38"/>
              <w:spacing w:after="0" w:line="181" w:lineRule="exact"/>
              <w:rPr>
                <w:sz w:val="20"/>
                <w:szCs w:val="20"/>
                <w:color w:val="auto"/>
              </w:rPr>
            </w:pPr>
            <w:r>
              <w:rPr>
                <w:rFonts w:ascii="Arial" w:cs="Arial" w:eastAsia="Arial" w:hAnsi="Arial"/>
                <w:sz w:val="16"/>
                <w:szCs w:val="16"/>
                <w:b w:val="1"/>
                <w:bCs w:val="1"/>
                <w:color w:val="FFFFFF"/>
                <w:w w:val="93"/>
              </w:rPr>
              <w:t>Award</w:t>
            </w:r>
          </w:p>
        </w:tc>
        <w:tc>
          <w:tcPr>
            <w:tcW w:w="12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the dollar</w:t>
            </w:r>
          </w:p>
        </w:tc>
      </w:tr>
      <w:tr>
        <w:trPr>
          <w:trHeight w:val="181"/>
        </w:trPr>
        <w:tc>
          <w:tcPr>
            <w:tcW w:w="2300" w:type="dxa"/>
            <w:vAlign w:val="bottom"/>
            <w:shd w:val="clear" w:color="auto" w:fill="284993"/>
          </w:tcPr>
          <w:p>
            <w:pPr>
              <w:spacing w:after="0"/>
              <w:rPr>
                <w:sz w:val="15"/>
                <w:szCs w:val="15"/>
                <w:color w:val="auto"/>
              </w:rPr>
            </w:pPr>
          </w:p>
        </w:tc>
        <w:tc>
          <w:tcPr>
            <w:tcW w:w="1500" w:type="dxa"/>
            <w:vAlign w:val="bottom"/>
            <w:shd w:val="clear" w:color="auto" w:fill="284993"/>
          </w:tcPr>
          <w:p>
            <w:pPr>
              <w:jc w:val="center"/>
              <w:ind w:left="38"/>
              <w:spacing w:after="0" w:line="181" w:lineRule="exact"/>
              <w:rPr>
                <w:sz w:val="20"/>
                <w:szCs w:val="20"/>
                <w:color w:val="auto"/>
              </w:rPr>
            </w:pPr>
            <w:r>
              <w:rPr>
                <w:rFonts w:ascii="Arial" w:cs="Arial" w:eastAsia="Arial" w:hAnsi="Arial"/>
                <w:sz w:val="16"/>
                <w:szCs w:val="16"/>
                <w:b w:val="1"/>
                <w:bCs w:val="1"/>
                <w:color w:val="FFFFFF"/>
                <w:w w:val="97"/>
              </w:rPr>
              <w:t>(% of</w:t>
            </w:r>
          </w:p>
        </w:tc>
        <w:tc>
          <w:tcPr>
            <w:tcW w:w="138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8"/>
              </w:rPr>
              <w:t>Opportunity</w:t>
            </w:r>
          </w:p>
        </w:tc>
        <w:tc>
          <w:tcPr>
            <w:tcW w:w="14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 of</w:t>
            </w:r>
          </w:p>
        </w:tc>
        <w:tc>
          <w:tcPr>
            <w:tcW w:w="1540" w:type="dxa"/>
            <w:vAlign w:val="bottom"/>
            <w:shd w:val="clear" w:color="auto" w:fill="284993"/>
          </w:tcPr>
          <w:p>
            <w:pPr>
              <w:jc w:val="center"/>
              <w:ind w:right="38"/>
              <w:spacing w:after="0" w:line="181" w:lineRule="exact"/>
              <w:rPr>
                <w:sz w:val="20"/>
                <w:szCs w:val="20"/>
                <w:color w:val="auto"/>
              </w:rPr>
            </w:pPr>
            <w:r>
              <w:rPr>
                <w:rFonts w:ascii="Arial" w:cs="Arial" w:eastAsia="Arial" w:hAnsi="Arial"/>
                <w:sz w:val="16"/>
                <w:szCs w:val="16"/>
                <w:b w:val="1"/>
                <w:bCs w:val="1"/>
                <w:color w:val="FFFFFF"/>
                <w:w w:val="98"/>
              </w:rPr>
              <w:t>Opportunity</w:t>
            </w:r>
          </w:p>
        </w:tc>
        <w:tc>
          <w:tcPr>
            <w:tcW w:w="12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6"/>
              </w:rPr>
              <w:t>amount</w:t>
            </w:r>
          </w:p>
        </w:tc>
      </w:tr>
      <w:tr>
        <w:trPr>
          <w:trHeight w:val="195"/>
        </w:trPr>
        <w:tc>
          <w:tcPr>
            <w:tcW w:w="2300" w:type="dxa"/>
            <w:vAlign w:val="bottom"/>
            <w:shd w:val="clear" w:color="auto" w:fill="284993"/>
          </w:tcPr>
          <w:p>
            <w:pPr>
              <w:ind w:left="140"/>
              <w:spacing w:after="0"/>
              <w:rPr>
                <w:sz w:val="20"/>
                <w:szCs w:val="20"/>
                <w:color w:val="auto"/>
              </w:rPr>
            </w:pPr>
            <w:r>
              <w:rPr>
                <w:rFonts w:ascii="Arial" w:cs="Arial" w:eastAsia="Arial" w:hAnsi="Arial"/>
                <w:sz w:val="16"/>
                <w:szCs w:val="16"/>
                <w:b w:val="1"/>
                <w:bCs w:val="1"/>
                <w:color w:val="FFFFFF"/>
              </w:rPr>
              <w:t>Named Executive Officer</w:t>
            </w:r>
          </w:p>
        </w:tc>
        <w:tc>
          <w:tcPr>
            <w:tcW w:w="1500" w:type="dxa"/>
            <w:vAlign w:val="bottom"/>
            <w:shd w:val="clear" w:color="auto" w:fill="284993"/>
          </w:tcPr>
          <w:p>
            <w:pPr>
              <w:jc w:val="center"/>
              <w:ind w:left="38"/>
              <w:spacing w:after="0"/>
              <w:rPr>
                <w:sz w:val="20"/>
                <w:szCs w:val="20"/>
                <w:color w:val="auto"/>
              </w:rPr>
            </w:pPr>
            <w:r>
              <w:rPr>
                <w:rFonts w:ascii="Arial" w:cs="Arial" w:eastAsia="Arial" w:hAnsi="Arial"/>
                <w:sz w:val="16"/>
                <w:szCs w:val="16"/>
                <w:b w:val="1"/>
                <w:bCs w:val="1"/>
                <w:color w:val="FFFFFF"/>
                <w:w w:val="97"/>
              </w:rPr>
              <w:t>base salary)</w:t>
            </w:r>
          </w:p>
        </w:tc>
        <w:tc>
          <w:tcPr>
            <w:tcW w:w="138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1"/>
              </w:rPr>
              <w:t>($)</w:t>
            </w:r>
          </w:p>
        </w:tc>
        <w:tc>
          <w:tcPr>
            <w:tcW w:w="140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base salary)</w:t>
            </w:r>
          </w:p>
        </w:tc>
        <w:tc>
          <w:tcPr>
            <w:tcW w:w="1540" w:type="dxa"/>
            <w:vAlign w:val="bottom"/>
            <w:shd w:val="clear" w:color="auto" w:fill="284993"/>
          </w:tcPr>
          <w:p>
            <w:pPr>
              <w:jc w:val="center"/>
              <w:ind w:right="38"/>
              <w:spacing w:after="0"/>
              <w:rPr>
                <w:sz w:val="20"/>
                <w:szCs w:val="20"/>
                <w:color w:val="auto"/>
              </w:rPr>
            </w:pPr>
            <w:r>
              <w:rPr>
                <w:rFonts w:ascii="Arial" w:cs="Arial" w:eastAsia="Arial" w:hAnsi="Arial"/>
                <w:sz w:val="16"/>
                <w:szCs w:val="16"/>
                <w:b w:val="1"/>
                <w:bCs w:val="1"/>
                <w:color w:val="FFFFFF"/>
                <w:w w:val="91"/>
              </w:rPr>
              <w:t>($)</w:t>
            </w:r>
          </w:p>
        </w:tc>
        <w:tc>
          <w:tcPr>
            <w:tcW w:w="120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9"/>
              </w:rPr>
              <w:t>increase)</w:t>
            </w:r>
          </w:p>
        </w:tc>
      </w:tr>
      <w:tr>
        <w:trPr>
          <w:trHeight w:val="194"/>
        </w:trPr>
        <w:tc>
          <w:tcPr>
            <w:tcW w:w="2300" w:type="dxa"/>
            <w:vAlign w:val="bottom"/>
          </w:tcPr>
          <w:p>
            <w:pPr>
              <w:ind w:left="100"/>
              <w:spacing w:after="0" w:line="194" w:lineRule="exact"/>
              <w:rPr>
                <w:sz w:val="20"/>
                <w:szCs w:val="20"/>
                <w:color w:val="auto"/>
              </w:rPr>
            </w:pPr>
            <w:r>
              <w:rPr>
                <w:rFonts w:ascii="Arial" w:cs="Arial" w:eastAsia="Arial" w:hAnsi="Arial"/>
                <w:sz w:val="17"/>
                <w:szCs w:val="17"/>
                <w:color w:val="auto"/>
              </w:rPr>
              <w:t>Odilon Almeida</w:t>
            </w:r>
          </w:p>
        </w:tc>
        <w:tc>
          <w:tcPr>
            <w:tcW w:w="1500" w:type="dxa"/>
            <w:vAlign w:val="bottom"/>
          </w:tcPr>
          <w:p>
            <w:pPr>
              <w:jc w:val="right"/>
              <w:ind w:right="138"/>
              <w:spacing w:after="0" w:line="194" w:lineRule="exact"/>
              <w:rPr>
                <w:sz w:val="20"/>
                <w:szCs w:val="20"/>
                <w:color w:val="auto"/>
              </w:rPr>
            </w:pPr>
            <w:r>
              <w:rPr>
                <w:rFonts w:ascii="Arial" w:cs="Arial" w:eastAsia="Arial" w:hAnsi="Arial"/>
                <w:sz w:val="17"/>
                <w:szCs w:val="17"/>
                <w:color w:val="auto"/>
              </w:rPr>
              <w:t>100%</w:t>
            </w:r>
          </w:p>
        </w:tc>
        <w:tc>
          <w:tcPr>
            <w:tcW w:w="1380" w:type="dxa"/>
            <w:vAlign w:val="bottom"/>
          </w:tcPr>
          <w:p>
            <w:pPr>
              <w:jc w:val="right"/>
              <w:ind w:right="158"/>
              <w:spacing w:after="0" w:line="194" w:lineRule="exact"/>
              <w:rPr>
                <w:sz w:val="20"/>
                <w:szCs w:val="20"/>
                <w:color w:val="auto"/>
              </w:rPr>
            </w:pPr>
            <w:r>
              <w:rPr>
                <w:rFonts w:ascii="Arial" w:cs="Arial" w:eastAsia="Arial" w:hAnsi="Arial"/>
                <w:sz w:val="17"/>
                <w:szCs w:val="17"/>
                <w:color w:val="auto"/>
              </w:rPr>
              <w:t>$675,000</w:t>
            </w:r>
          </w:p>
        </w:tc>
        <w:tc>
          <w:tcPr>
            <w:tcW w:w="1400" w:type="dxa"/>
            <w:vAlign w:val="bottom"/>
          </w:tcPr>
          <w:p>
            <w:pPr>
              <w:jc w:val="right"/>
              <w:ind w:right="138"/>
              <w:spacing w:after="0" w:line="194" w:lineRule="exact"/>
              <w:rPr>
                <w:sz w:val="20"/>
                <w:szCs w:val="20"/>
                <w:color w:val="auto"/>
              </w:rPr>
            </w:pPr>
            <w:r>
              <w:rPr>
                <w:rFonts w:ascii="Arial" w:cs="Arial" w:eastAsia="Arial" w:hAnsi="Arial"/>
                <w:sz w:val="17"/>
                <w:szCs w:val="17"/>
                <w:color w:val="auto"/>
              </w:rPr>
              <w:t>100%</w:t>
            </w:r>
          </w:p>
        </w:tc>
        <w:tc>
          <w:tcPr>
            <w:tcW w:w="1540" w:type="dxa"/>
            <w:vAlign w:val="bottom"/>
          </w:tcPr>
          <w:p>
            <w:pPr>
              <w:ind w:left="480"/>
              <w:spacing w:after="0" w:line="194" w:lineRule="exact"/>
              <w:rPr>
                <w:sz w:val="20"/>
                <w:szCs w:val="20"/>
                <w:color w:val="auto"/>
              </w:rPr>
            </w:pPr>
            <w:r>
              <w:rPr>
                <w:rFonts w:ascii="Arial" w:cs="Arial" w:eastAsia="Arial" w:hAnsi="Arial"/>
                <w:sz w:val="17"/>
                <w:szCs w:val="17"/>
                <w:color w:val="auto"/>
              </w:rPr>
              <w:t>$700,000</w:t>
            </w:r>
          </w:p>
        </w:tc>
        <w:tc>
          <w:tcPr>
            <w:tcW w:w="1200" w:type="dxa"/>
            <w:vAlign w:val="bottom"/>
          </w:tcPr>
          <w:p>
            <w:pPr>
              <w:jc w:val="right"/>
              <w:ind w:right="98"/>
              <w:spacing w:after="0" w:line="194" w:lineRule="exact"/>
              <w:rPr>
                <w:sz w:val="20"/>
                <w:szCs w:val="20"/>
                <w:color w:val="auto"/>
              </w:rPr>
            </w:pPr>
            <w:r>
              <w:rPr>
                <w:rFonts w:ascii="Arial" w:cs="Arial" w:eastAsia="Arial" w:hAnsi="Arial"/>
                <w:sz w:val="17"/>
                <w:szCs w:val="17"/>
                <w:color w:val="auto"/>
              </w:rPr>
              <w:t>3.7%</w:t>
            </w:r>
          </w:p>
        </w:tc>
      </w:tr>
      <w:tr>
        <w:trPr>
          <w:trHeight w:val="194"/>
        </w:trPr>
        <w:tc>
          <w:tcPr>
            <w:tcW w:w="2300" w:type="dxa"/>
            <w:vAlign w:val="bottom"/>
            <w:shd w:val="clear" w:color="auto" w:fill="9DBDE4"/>
          </w:tcPr>
          <w:p>
            <w:pPr>
              <w:ind w:left="100"/>
              <w:spacing w:after="0" w:line="194" w:lineRule="exact"/>
              <w:rPr>
                <w:sz w:val="20"/>
                <w:szCs w:val="20"/>
                <w:color w:val="auto"/>
              </w:rPr>
            </w:pPr>
            <w:r>
              <w:rPr>
                <w:rFonts w:ascii="Arial" w:cs="Arial" w:eastAsia="Arial" w:hAnsi="Arial"/>
                <w:sz w:val="17"/>
                <w:szCs w:val="17"/>
                <w:color w:val="auto"/>
              </w:rPr>
              <w:t>Scott W. Behrens</w:t>
            </w:r>
          </w:p>
        </w:tc>
        <w:tc>
          <w:tcPr>
            <w:tcW w:w="1500" w:type="dxa"/>
            <w:vAlign w:val="bottom"/>
            <w:shd w:val="clear" w:color="auto" w:fill="9DBDE4"/>
          </w:tcPr>
          <w:p>
            <w:pPr>
              <w:jc w:val="right"/>
              <w:ind w:right="138"/>
              <w:spacing w:after="0" w:line="194" w:lineRule="exact"/>
              <w:rPr>
                <w:sz w:val="20"/>
                <w:szCs w:val="20"/>
                <w:color w:val="auto"/>
              </w:rPr>
            </w:pPr>
            <w:r>
              <w:rPr>
                <w:rFonts w:ascii="Arial" w:cs="Arial" w:eastAsia="Arial" w:hAnsi="Arial"/>
                <w:sz w:val="17"/>
                <w:szCs w:val="17"/>
                <w:color w:val="auto"/>
              </w:rPr>
              <w:t>100%</w:t>
            </w:r>
          </w:p>
        </w:tc>
        <w:tc>
          <w:tcPr>
            <w:tcW w:w="1380" w:type="dxa"/>
            <w:vAlign w:val="bottom"/>
            <w:shd w:val="clear" w:color="auto" w:fill="9DBDE4"/>
          </w:tcPr>
          <w:p>
            <w:pPr>
              <w:jc w:val="right"/>
              <w:ind w:right="158"/>
              <w:spacing w:after="0" w:line="194" w:lineRule="exact"/>
              <w:rPr>
                <w:sz w:val="20"/>
                <w:szCs w:val="20"/>
                <w:color w:val="auto"/>
              </w:rPr>
            </w:pPr>
            <w:r>
              <w:rPr>
                <w:rFonts w:ascii="Arial" w:cs="Arial" w:eastAsia="Arial" w:hAnsi="Arial"/>
                <w:sz w:val="17"/>
                <w:szCs w:val="17"/>
                <w:color w:val="auto"/>
              </w:rPr>
              <w:t>$450,000</w:t>
            </w:r>
          </w:p>
        </w:tc>
        <w:tc>
          <w:tcPr>
            <w:tcW w:w="1400" w:type="dxa"/>
            <w:vAlign w:val="bottom"/>
            <w:shd w:val="clear" w:color="auto" w:fill="9DBDE4"/>
          </w:tcPr>
          <w:p>
            <w:pPr>
              <w:jc w:val="right"/>
              <w:ind w:right="138"/>
              <w:spacing w:after="0" w:line="194" w:lineRule="exact"/>
              <w:rPr>
                <w:sz w:val="20"/>
                <w:szCs w:val="20"/>
                <w:color w:val="auto"/>
              </w:rPr>
            </w:pPr>
            <w:r>
              <w:rPr>
                <w:rFonts w:ascii="Arial" w:cs="Arial" w:eastAsia="Arial" w:hAnsi="Arial"/>
                <w:sz w:val="17"/>
                <w:szCs w:val="17"/>
                <w:color w:val="auto"/>
              </w:rPr>
              <w:t>100%</w:t>
            </w:r>
          </w:p>
        </w:tc>
        <w:tc>
          <w:tcPr>
            <w:tcW w:w="1540" w:type="dxa"/>
            <w:vAlign w:val="bottom"/>
            <w:shd w:val="clear" w:color="auto" w:fill="9DBDE4"/>
          </w:tcPr>
          <w:p>
            <w:pPr>
              <w:ind w:left="480"/>
              <w:spacing w:after="0" w:line="194" w:lineRule="exact"/>
              <w:rPr>
                <w:sz w:val="20"/>
                <w:szCs w:val="20"/>
                <w:color w:val="auto"/>
              </w:rPr>
            </w:pPr>
            <w:r>
              <w:rPr>
                <w:rFonts w:ascii="Arial" w:cs="Arial" w:eastAsia="Arial" w:hAnsi="Arial"/>
                <w:sz w:val="17"/>
                <w:szCs w:val="17"/>
                <w:color w:val="auto"/>
              </w:rPr>
              <w:t>$475,000</w:t>
            </w:r>
          </w:p>
        </w:tc>
        <w:tc>
          <w:tcPr>
            <w:tcW w:w="1200" w:type="dxa"/>
            <w:vAlign w:val="bottom"/>
            <w:shd w:val="clear" w:color="auto" w:fill="9DBDE4"/>
          </w:tcPr>
          <w:p>
            <w:pPr>
              <w:jc w:val="right"/>
              <w:ind w:right="98"/>
              <w:spacing w:after="0" w:line="194" w:lineRule="exact"/>
              <w:rPr>
                <w:sz w:val="20"/>
                <w:szCs w:val="20"/>
                <w:color w:val="auto"/>
              </w:rPr>
            </w:pPr>
            <w:r>
              <w:rPr>
                <w:rFonts w:ascii="Arial" w:cs="Arial" w:eastAsia="Arial" w:hAnsi="Arial"/>
                <w:sz w:val="17"/>
                <w:szCs w:val="17"/>
                <w:color w:val="auto"/>
              </w:rPr>
              <w:t>5.6%</w:t>
            </w:r>
          </w:p>
        </w:tc>
      </w:tr>
      <w:tr>
        <w:trPr>
          <w:trHeight w:val="194"/>
        </w:trPr>
        <w:tc>
          <w:tcPr>
            <w:tcW w:w="2300" w:type="dxa"/>
            <w:vAlign w:val="bottom"/>
          </w:tcPr>
          <w:p>
            <w:pPr>
              <w:ind w:left="100"/>
              <w:spacing w:after="0" w:line="194" w:lineRule="exact"/>
              <w:rPr>
                <w:sz w:val="20"/>
                <w:szCs w:val="20"/>
                <w:color w:val="auto"/>
              </w:rPr>
            </w:pPr>
            <w:r>
              <w:rPr>
                <w:rFonts w:ascii="Arial" w:cs="Arial" w:eastAsia="Arial" w:hAnsi="Arial"/>
                <w:sz w:val="17"/>
                <w:szCs w:val="17"/>
                <w:color w:val="auto"/>
              </w:rPr>
              <w:t>Ram K. Puppala</w:t>
            </w:r>
          </w:p>
        </w:tc>
        <w:tc>
          <w:tcPr>
            <w:tcW w:w="1500" w:type="dxa"/>
            <w:vAlign w:val="bottom"/>
          </w:tcPr>
          <w:p>
            <w:pPr>
              <w:jc w:val="right"/>
              <w:ind w:right="138"/>
              <w:spacing w:after="0" w:line="194" w:lineRule="exact"/>
              <w:rPr>
                <w:sz w:val="20"/>
                <w:szCs w:val="20"/>
                <w:color w:val="auto"/>
              </w:rPr>
            </w:pPr>
            <w:r>
              <w:rPr>
                <w:rFonts w:ascii="Arial" w:cs="Arial" w:eastAsia="Arial" w:hAnsi="Arial"/>
                <w:sz w:val="17"/>
                <w:szCs w:val="17"/>
                <w:color w:val="auto"/>
              </w:rPr>
              <w:t>100%</w:t>
            </w:r>
          </w:p>
        </w:tc>
        <w:tc>
          <w:tcPr>
            <w:tcW w:w="1380" w:type="dxa"/>
            <w:vAlign w:val="bottom"/>
          </w:tcPr>
          <w:p>
            <w:pPr>
              <w:jc w:val="right"/>
              <w:ind w:right="158"/>
              <w:spacing w:after="0" w:line="194" w:lineRule="exact"/>
              <w:rPr>
                <w:sz w:val="20"/>
                <w:szCs w:val="20"/>
                <w:color w:val="auto"/>
              </w:rPr>
            </w:pPr>
            <w:r>
              <w:rPr>
                <w:rFonts w:ascii="Arial" w:cs="Arial" w:eastAsia="Arial" w:hAnsi="Arial"/>
                <w:sz w:val="17"/>
                <w:szCs w:val="17"/>
                <w:color w:val="auto"/>
              </w:rPr>
              <w:t>$410,000</w:t>
            </w:r>
          </w:p>
        </w:tc>
        <w:tc>
          <w:tcPr>
            <w:tcW w:w="1400" w:type="dxa"/>
            <w:vAlign w:val="bottom"/>
          </w:tcPr>
          <w:p>
            <w:pPr>
              <w:jc w:val="right"/>
              <w:ind w:right="138"/>
              <w:spacing w:after="0" w:line="194" w:lineRule="exact"/>
              <w:rPr>
                <w:sz w:val="20"/>
                <w:szCs w:val="20"/>
                <w:color w:val="auto"/>
              </w:rPr>
            </w:pPr>
            <w:r>
              <w:rPr>
                <w:rFonts w:ascii="Arial" w:cs="Arial" w:eastAsia="Arial" w:hAnsi="Arial"/>
                <w:sz w:val="17"/>
                <w:szCs w:val="17"/>
                <w:color w:val="auto"/>
              </w:rPr>
              <w:t>100%</w:t>
            </w:r>
          </w:p>
        </w:tc>
        <w:tc>
          <w:tcPr>
            <w:tcW w:w="1540" w:type="dxa"/>
            <w:vAlign w:val="bottom"/>
          </w:tcPr>
          <w:p>
            <w:pPr>
              <w:ind w:left="480"/>
              <w:spacing w:after="0" w:line="194" w:lineRule="exact"/>
              <w:rPr>
                <w:sz w:val="20"/>
                <w:szCs w:val="20"/>
                <w:color w:val="auto"/>
              </w:rPr>
            </w:pPr>
            <w:r>
              <w:rPr>
                <w:rFonts w:ascii="Arial" w:cs="Arial" w:eastAsia="Arial" w:hAnsi="Arial"/>
                <w:sz w:val="17"/>
                <w:szCs w:val="17"/>
                <w:color w:val="auto"/>
              </w:rPr>
              <w:t>$410,000</w:t>
            </w:r>
          </w:p>
        </w:tc>
        <w:tc>
          <w:tcPr>
            <w:tcW w:w="1200" w:type="dxa"/>
            <w:vAlign w:val="bottom"/>
          </w:tcPr>
          <w:p>
            <w:pPr>
              <w:jc w:val="right"/>
              <w:ind w:right="98"/>
              <w:spacing w:after="0" w:line="194" w:lineRule="exact"/>
              <w:rPr>
                <w:sz w:val="20"/>
                <w:szCs w:val="20"/>
                <w:color w:val="auto"/>
              </w:rPr>
            </w:pPr>
            <w:r>
              <w:rPr>
                <w:rFonts w:ascii="Arial" w:cs="Arial" w:eastAsia="Arial" w:hAnsi="Arial"/>
                <w:sz w:val="17"/>
                <w:szCs w:val="17"/>
                <w:color w:val="auto"/>
              </w:rPr>
              <w:t>0%</w:t>
            </w:r>
          </w:p>
        </w:tc>
      </w:tr>
      <w:tr>
        <w:trPr>
          <w:trHeight w:val="194"/>
        </w:trPr>
        <w:tc>
          <w:tcPr>
            <w:tcW w:w="2300" w:type="dxa"/>
            <w:vAlign w:val="bottom"/>
            <w:shd w:val="clear" w:color="auto" w:fill="9DBDE4"/>
          </w:tcPr>
          <w:p>
            <w:pPr>
              <w:ind w:left="100"/>
              <w:spacing w:after="0" w:line="194" w:lineRule="exact"/>
              <w:rPr>
                <w:sz w:val="20"/>
                <w:szCs w:val="20"/>
                <w:color w:val="auto"/>
              </w:rPr>
            </w:pPr>
            <w:r>
              <w:rPr>
                <w:rFonts w:ascii="Arial" w:cs="Arial" w:eastAsia="Arial" w:hAnsi="Arial"/>
                <w:sz w:val="15"/>
                <w:szCs w:val="15"/>
                <w:color w:val="auto"/>
              </w:rPr>
              <w:t>Alessandro Silva</w:t>
            </w:r>
            <w:r>
              <w:rPr>
                <w:rFonts w:ascii="Arial" w:cs="Arial" w:eastAsia="Arial" w:hAnsi="Arial"/>
                <w:sz w:val="22"/>
                <w:szCs w:val="22"/>
                <w:color w:val="auto"/>
                <w:vertAlign w:val="superscript"/>
              </w:rPr>
              <w:t>(1)</w:t>
            </w:r>
          </w:p>
        </w:tc>
        <w:tc>
          <w:tcPr>
            <w:tcW w:w="1500" w:type="dxa"/>
            <w:vAlign w:val="bottom"/>
            <w:shd w:val="clear" w:color="auto" w:fill="9DBDE4"/>
          </w:tcPr>
          <w:p>
            <w:pPr>
              <w:jc w:val="right"/>
              <w:ind w:right="138"/>
              <w:spacing w:after="0" w:line="194" w:lineRule="exact"/>
              <w:rPr>
                <w:sz w:val="20"/>
                <w:szCs w:val="20"/>
                <w:color w:val="auto"/>
              </w:rPr>
            </w:pPr>
            <w:r>
              <w:rPr>
                <w:rFonts w:ascii="Arial" w:cs="Arial" w:eastAsia="Arial" w:hAnsi="Arial"/>
                <w:sz w:val="17"/>
                <w:szCs w:val="17"/>
                <w:color w:val="auto"/>
              </w:rPr>
              <w:t>100%</w:t>
            </w:r>
          </w:p>
        </w:tc>
        <w:tc>
          <w:tcPr>
            <w:tcW w:w="1380" w:type="dxa"/>
            <w:vAlign w:val="bottom"/>
            <w:shd w:val="clear" w:color="auto" w:fill="9DBDE4"/>
          </w:tcPr>
          <w:p>
            <w:pPr>
              <w:jc w:val="right"/>
              <w:ind w:right="158"/>
              <w:spacing w:after="0" w:line="194" w:lineRule="exact"/>
              <w:rPr>
                <w:sz w:val="20"/>
                <w:szCs w:val="20"/>
                <w:color w:val="auto"/>
              </w:rPr>
            </w:pPr>
            <w:r>
              <w:rPr>
                <w:rFonts w:ascii="Arial" w:cs="Arial" w:eastAsia="Arial" w:hAnsi="Arial"/>
                <w:sz w:val="17"/>
                <w:szCs w:val="17"/>
                <w:color w:val="auto"/>
              </w:rPr>
              <w:t>$370,000</w:t>
            </w:r>
          </w:p>
        </w:tc>
        <w:tc>
          <w:tcPr>
            <w:tcW w:w="1400" w:type="dxa"/>
            <w:vAlign w:val="bottom"/>
            <w:shd w:val="clear" w:color="auto" w:fill="9DBDE4"/>
          </w:tcPr>
          <w:p>
            <w:pPr>
              <w:jc w:val="right"/>
              <w:ind w:right="138"/>
              <w:spacing w:after="0" w:line="194" w:lineRule="exact"/>
              <w:rPr>
                <w:sz w:val="20"/>
                <w:szCs w:val="20"/>
                <w:color w:val="auto"/>
              </w:rPr>
            </w:pPr>
            <w:r>
              <w:rPr>
                <w:rFonts w:ascii="Arial" w:cs="Arial" w:eastAsia="Arial" w:hAnsi="Arial"/>
                <w:sz w:val="17"/>
                <w:szCs w:val="17"/>
                <w:color w:val="auto"/>
              </w:rPr>
              <w:t>114%</w:t>
            </w:r>
          </w:p>
        </w:tc>
        <w:tc>
          <w:tcPr>
            <w:tcW w:w="1540" w:type="dxa"/>
            <w:vAlign w:val="bottom"/>
            <w:shd w:val="clear" w:color="auto" w:fill="9DBDE4"/>
          </w:tcPr>
          <w:p>
            <w:pPr>
              <w:ind w:left="480"/>
              <w:spacing w:after="0" w:line="194" w:lineRule="exact"/>
              <w:rPr>
                <w:sz w:val="20"/>
                <w:szCs w:val="20"/>
                <w:color w:val="auto"/>
              </w:rPr>
            </w:pPr>
            <w:r>
              <w:rPr>
                <w:rFonts w:ascii="Arial" w:cs="Arial" w:eastAsia="Arial" w:hAnsi="Arial"/>
                <w:sz w:val="17"/>
                <w:szCs w:val="17"/>
                <w:color w:val="auto"/>
              </w:rPr>
              <w:t>$478,750</w:t>
            </w:r>
          </w:p>
        </w:tc>
        <w:tc>
          <w:tcPr>
            <w:tcW w:w="1200" w:type="dxa"/>
            <w:vAlign w:val="bottom"/>
            <w:shd w:val="clear" w:color="auto" w:fill="9DBDE4"/>
          </w:tcPr>
          <w:p>
            <w:pPr>
              <w:jc w:val="right"/>
              <w:ind w:right="98"/>
              <w:spacing w:after="0" w:line="194" w:lineRule="exact"/>
              <w:rPr>
                <w:sz w:val="20"/>
                <w:szCs w:val="20"/>
                <w:color w:val="auto"/>
              </w:rPr>
            </w:pPr>
            <w:r>
              <w:rPr>
                <w:rFonts w:ascii="Arial" w:cs="Arial" w:eastAsia="Arial" w:hAnsi="Arial"/>
                <w:sz w:val="17"/>
                <w:szCs w:val="17"/>
                <w:color w:val="auto"/>
              </w:rPr>
              <w:t>29.4%</w:t>
            </w:r>
          </w:p>
        </w:tc>
      </w:tr>
      <w:tr>
        <w:trPr>
          <w:trHeight w:val="194"/>
        </w:trPr>
        <w:tc>
          <w:tcPr>
            <w:tcW w:w="2300" w:type="dxa"/>
            <w:vAlign w:val="bottom"/>
          </w:tcPr>
          <w:p>
            <w:pPr>
              <w:ind w:left="100"/>
              <w:spacing w:after="0" w:line="194" w:lineRule="exact"/>
              <w:rPr>
                <w:sz w:val="20"/>
                <w:szCs w:val="20"/>
                <w:color w:val="auto"/>
              </w:rPr>
            </w:pPr>
            <w:r>
              <w:rPr>
                <w:rFonts w:ascii="Arial" w:cs="Arial" w:eastAsia="Arial" w:hAnsi="Arial"/>
                <w:sz w:val="15"/>
                <w:szCs w:val="15"/>
                <w:color w:val="auto"/>
              </w:rPr>
              <w:t>Deborah L. Guerra</w:t>
            </w:r>
            <w:r>
              <w:rPr>
                <w:rFonts w:ascii="Arial" w:cs="Arial" w:eastAsia="Arial" w:hAnsi="Arial"/>
                <w:sz w:val="22"/>
                <w:szCs w:val="22"/>
                <w:color w:val="auto"/>
                <w:vertAlign w:val="superscript"/>
              </w:rPr>
              <w:t>(2)</w:t>
            </w:r>
          </w:p>
        </w:tc>
        <w:tc>
          <w:tcPr>
            <w:tcW w:w="1500" w:type="dxa"/>
            <w:vAlign w:val="bottom"/>
          </w:tcPr>
          <w:p>
            <w:pPr>
              <w:jc w:val="right"/>
              <w:ind w:right="138"/>
              <w:spacing w:after="0" w:line="194" w:lineRule="exact"/>
              <w:rPr>
                <w:sz w:val="20"/>
                <w:szCs w:val="20"/>
                <w:color w:val="auto"/>
              </w:rPr>
            </w:pPr>
            <w:r>
              <w:rPr>
                <w:rFonts w:ascii="Arial" w:cs="Arial" w:eastAsia="Arial" w:hAnsi="Arial"/>
                <w:sz w:val="17"/>
                <w:szCs w:val="17"/>
                <w:color w:val="auto"/>
              </w:rPr>
              <w:t>60%</w:t>
            </w:r>
          </w:p>
        </w:tc>
        <w:tc>
          <w:tcPr>
            <w:tcW w:w="1380" w:type="dxa"/>
            <w:vAlign w:val="bottom"/>
          </w:tcPr>
          <w:p>
            <w:pPr>
              <w:jc w:val="right"/>
              <w:ind w:right="158"/>
              <w:spacing w:after="0" w:line="194" w:lineRule="exact"/>
              <w:rPr>
                <w:sz w:val="20"/>
                <w:szCs w:val="20"/>
                <w:color w:val="auto"/>
              </w:rPr>
            </w:pPr>
            <w:r>
              <w:rPr>
                <w:rFonts w:ascii="Arial" w:cs="Arial" w:eastAsia="Arial" w:hAnsi="Arial"/>
                <w:sz w:val="17"/>
                <w:szCs w:val="17"/>
                <w:color w:val="auto"/>
              </w:rPr>
              <w:t>$215,670</w:t>
            </w:r>
          </w:p>
        </w:tc>
        <w:tc>
          <w:tcPr>
            <w:tcW w:w="1400" w:type="dxa"/>
            <w:vAlign w:val="bottom"/>
          </w:tcPr>
          <w:p>
            <w:pPr>
              <w:jc w:val="right"/>
              <w:ind w:right="138"/>
              <w:spacing w:after="0" w:line="194" w:lineRule="exact"/>
              <w:rPr>
                <w:sz w:val="20"/>
                <w:szCs w:val="20"/>
                <w:color w:val="auto"/>
              </w:rPr>
            </w:pPr>
            <w:r>
              <w:rPr>
                <w:rFonts w:ascii="Arial" w:cs="Arial" w:eastAsia="Arial" w:hAnsi="Arial"/>
                <w:sz w:val="17"/>
                <w:szCs w:val="17"/>
                <w:color w:val="auto"/>
              </w:rPr>
              <w:t>100%</w:t>
            </w:r>
          </w:p>
        </w:tc>
        <w:tc>
          <w:tcPr>
            <w:tcW w:w="1540" w:type="dxa"/>
            <w:vAlign w:val="bottom"/>
          </w:tcPr>
          <w:p>
            <w:pPr>
              <w:ind w:left="480"/>
              <w:spacing w:after="0" w:line="194" w:lineRule="exact"/>
              <w:rPr>
                <w:sz w:val="20"/>
                <w:szCs w:val="20"/>
                <w:color w:val="auto"/>
              </w:rPr>
            </w:pPr>
            <w:r>
              <w:rPr>
                <w:rFonts w:ascii="Arial" w:cs="Arial" w:eastAsia="Arial" w:hAnsi="Arial"/>
                <w:sz w:val="15"/>
                <w:szCs w:val="15"/>
                <w:color w:val="auto"/>
              </w:rPr>
              <w:t>$305,351</w:t>
            </w:r>
            <w:r>
              <w:rPr>
                <w:rFonts w:ascii="Arial" w:cs="Arial" w:eastAsia="Arial" w:hAnsi="Arial"/>
                <w:sz w:val="22"/>
                <w:szCs w:val="22"/>
                <w:color w:val="auto"/>
                <w:vertAlign w:val="superscript"/>
              </w:rPr>
              <w:t>(3)</w:t>
            </w:r>
          </w:p>
        </w:tc>
        <w:tc>
          <w:tcPr>
            <w:tcW w:w="1200" w:type="dxa"/>
            <w:vAlign w:val="bottom"/>
          </w:tcPr>
          <w:p>
            <w:pPr>
              <w:jc w:val="right"/>
              <w:ind w:right="98"/>
              <w:spacing w:after="0" w:line="194" w:lineRule="exact"/>
              <w:rPr>
                <w:sz w:val="20"/>
                <w:szCs w:val="20"/>
                <w:color w:val="auto"/>
              </w:rPr>
            </w:pPr>
            <w:r>
              <w:rPr>
                <w:rFonts w:ascii="Arial" w:cs="Arial" w:eastAsia="Arial" w:hAnsi="Arial"/>
                <w:sz w:val="17"/>
                <w:szCs w:val="17"/>
                <w:color w:val="auto"/>
              </w:rPr>
              <w:t>41.6%</w:t>
            </w:r>
          </w:p>
        </w:tc>
      </w:tr>
      <w:tr>
        <w:trPr>
          <w:trHeight w:val="194"/>
        </w:trPr>
        <w:tc>
          <w:tcPr>
            <w:tcW w:w="2300" w:type="dxa"/>
            <w:vAlign w:val="bottom"/>
            <w:shd w:val="clear" w:color="auto" w:fill="9DBDE4"/>
          </w:tcPr>
          <w:p>
            <w:pPr>
              <w:ind w:left="100"/>
              <w:spacing w:after="0" w:line="194" w:lineRule="exact"/>
              <w:rPr>
                <w:sz w:val="20"/>
                <w:szCs w:val="20"/>
                <w:color w:val="auto"/>
              </w:rPr>
            </w:pPr>
            <w:r>
              <w:rPr>
                <w:rFonts w:ascii="Arial" w:cs="Arial" w:eastAsia="Arial" w:hAnsi="Arial"/>
                <w:sz w:val="17"/>
                <w:szCs w:val="17"/>
                <w:color w:val="auto"/>
              </w:rPr>
              <w:t>Evanthia Aretakis</w:t>
            </w:r>
          </w:p>
        </w:tc>
        <w:tc>
          <w:tcPr>
            <w:tcW w:w="1500" w:type="dxa"/>
            <w:vAlign w:val="bottom"/>
            <w:shd w:val="clear" w:color="auto" w:fill="9DBDE4"/>
          </w:tcPr>
          <w:p>
            <w:pPr>
              <w:jc w:val="right"/>
              <w:ind w:right="138"/>
              <w:spacing w:after="0" w:line="194" w:lineRule="exact"/>
              <w:rPr>
                <w:sz w:val="20"/>
                <w:szCs w:val="20"/>
                <w:color w:val="auto"/>
              </w:rPr>
            </w:pPr>
            <w:r>
              <w:rPr>
                <w:rFonts w:ascii="Arial" w:cs="Arial" w:eastAsia="Arial" w:hAnsi="Arial"/>
                <w:sz w:val="17"/>
                <w:szCs w:val="17"/>
                <w:color w:val="auto"/>
              </w:rPr>
              <w:t>100%</w:t>
            </w:r>
          </w:p>
        </w:tc>
        <w:tc>
          <w:tcPr>
            <w:tcW w:w="1380" w:type="dxa"/>
            <w:vAlign w:val="bottom"/>
            <w:shd w:val="clear" w:color="auto" w:fill="9DBDE4"/>
          </w:tcPr>
          <w:p>
            <w:pPr>
              <w:jc w:val="right"/>
              <w:ind w:right="158"/>
              <w:spacing w:after="0" w:line="194" w:lineRule="exact"/>
              <w:rPr>
                <w:sz w:val="20"/>
                <w:szCs w:val="20"/>
                <w:color w:val="auto"/>
              </w:rPr>
            </w:pPr>
            <w:r>
              <w:rPr>
                <w:rFonts w:ascii="Arial" w:cs="Arial" w:eastAsia="Arial" w:hAnsi="Arial"/>
                <w:sz w:val="17"/>
                <w:szCs w:val="17"/>
                <w:color w:val="auto"/>
              </w:rPr>
              <w:t>$435,000</w:t>
            </w:r>
          </w:p>
        </w:tc>
        <w:tc>
          <w:tcPr>
            <w:tcW w:w="1400" w:type="dxa"/>
            <w:vAlign w:val="bottom"/>
            <w:shd w:val="clear" w:color="auto" w:fill="9DBDE4"/>
          </w:tcPr>
          <w:p>
            <w:pPr>
              <w:jc w:val="right"/>
              <w:ind w:right="138"/>
              <w:spacing w:after="0" w:line="194" w:lineRule="exact"/>
              <w:rPr>
                <w:sz w:val="20"/>
                <w:szCs w:val="20"/>
                <w:color w:val="auto"/>
              </w:rPr>
            </w:pPr>
            <w:r>
              <w:rPr>
                <w:rFonts w:ascii="Arial" w:cs="Arial" w:eastAsia="Arial" w:hAnsi="Arial"/>
                <w:sz w:val="17"/>
                <w:szCs w:val="17"/>
                <w:color w:val="auto"/>
              </w:rPr>
              <w:t>100%</w:t>
            </w:r>
          </w:p>
        </w:tc>
        <w:tc>
          <w:tcPr>
            <w:tcW w:w="1540" w:type="dxa"/>
            <w:vAlign w:val="bottom"/>
            <w:shd w:val="clear" w:color="auto" w:fill="9DBDE4"/>
          </w:tcPr>
          <w:p>
            <w:pPr>
              <w:ind w:left="480"/>
              <w:spacing w:after="0" w:line="194" w:lineRule="exact"/>
              <w:rPr>
                <w:sz w:val="20"/>
                <w:szCs w:val="20"/>
                <w:color w:val="auto"/>
              </w:rPr>
            </w:pPr>
            <w:r>
              <w:rPr>
                <w:rFonts w:ascii="Arial" w:cs="Arial" w:eastAsia="Arial" w:hAnsi="Arial"/>
                <w:sz w:val="17"/>
                <w:szCs w:val="17"/>
                <w:color w:val="auto"/>
              </w:rPr>
              <w:t>$435,000</w:t>
            </w:r>
          </w:p>
        </w:tc>
        <w:tc>
          <w:tcPr>
            <w:tcW w:w="1200" w:type="dxa"/>
            <w:vAlign w:val="bottom"/>
            <w:shd w:val="clear" w:color="auto" w:fill="9DBDE4"/>
          </w:tcPr>
          <w:p>
            <w:pPr>
              <w:jc w:val="right"/>
              <w:ind w:right="98"/>
              <w:spacing w:after="0" w:line="194" w:lineRule="exact"/>
              <w:rPr>
                <w:sz w:val="20"/>
                <w:szCs w:val="20"/>
                <w:color w:val="auto"/>
              </w:rPr>
            </w:pPr>
            <w:r>
              <w:rPr>
                <w:rFonts w:ascii="Arial" w:cs="Arial" w:eastAsia="Arial" w:hAnsi="Arial"/>
                <w:sz w:val="17"/>
                <w:szCs w:val="17"/>
                <w:color w:val="auto"/>
              </w:rPr>
              <w:t>0%</w:t>
            </w:r>
          </w:p>
        </w:tc>
      </w:tr>
      <w:tr>
        <w:trPr>
          <w:trHeight w:val="194"/>
        </w:trPr>
        <w:tc>
          <w:tcPr>
            <w:tcW w:w="2300" w:type="dxa"/>
            <w:vAlign w:val="bottom"/>
            <w:tcBorders>
              <w:bottom w:val="single" w:sz="8" w:color="284993"/>
            </w:tcBorders>
          </w:tcPr>
          <w:p>
            <w:pPr>
              <w:ind w:left="100"/>
              <w:spacing w:after="0" w:line="194" w:lineRule="exact"/>
              <w:rPr>
                <w:sz w:val="20"/>
                <w:szCs w:val="20"/>
                <w:color w:val="auto"/>
              </w:rPr>
            </w:pPr>
            <w:r>
              <w:rPr>
                <w:rFonts w:ascii="Arial" w:cs="Arial" w:eastAsia="Arial" w:hAnsi="Arial"/>
                <w:sz w:val="17"/>
                <w:szCs w:val="17"/>
                <w:color w:val="auto"/>
              </w:rPr>
              <w:t>Jeremy M. Wilmot</w:t>
            </w:r>
          </w:p>
        </w:tc>
        <w:tc>
          <w:tcPr>
            <w:tcW w:w="1500" w:type="dxa"/>
            <w:vAlign w:val="bottom"/>
            <w:tcBorders>
              <w:bottom w:val="single" w:sz="8" w:color="284993"/>
            </w:tcBorders>
          </w:tcPr>
          <w:p>
            <w:pPr>
              <w:jc w:val="right"/>
              <w:ind w:right="138"/>
              <w:spacing w:after="0" w:line="194" w:lineRule="exact"/>
              <w:rPr>
                <w:sz w:val="20"/>
                <w:szCs w:val="20"/>
                <w:color w:val="auto"/>
              </w:rPr>
            </w:pPr>
            <w:r>
              <w:rPr>
                <w:rFonts w:ascii="Arial" w:cs="Arial" w:eastAsia="Arial" w:hAnsi="Arial"/>
                <w:sz w:val="17"/>
                <w:szCs w:val="17"/>
                <w:color w:val="auto"/>
              </w:rPr>
              <w:t>100%</w:t>
            </w:r>
          </w:p>
        </w:tc>
        <w:tc>
          <w:tcPr>
            <w:tcW w:w="1380" w:type="dxa"/>
            <w:vAlign w:val="bottom"/>
            <w:tcBorders>
              <w:bottom w:val="single" w:sz="8" w:color="284993"/>
            </w:tcBorders>
          </w:tcPr>
          <w:p>
            <w:pPr>
              <w:jc w:val="right"/>
              <w:ind w:right="158"/>
              <w:spacing w:after="0" w:line="194" w:lineRule="exact"/>
              <w:rPr>
                <w:sz w:val="20"/>
                <w:szCs w:val="20"/>
                <w:color w:val="auto"/>
              </w:rPr>
            </w:pPr>
            <w:r>
              <w:rPr>
                <w:rFonts w:ascii="Arial" w:cs="Arial" w:eastAsia="Arial" w:hAnsi="Arial"/>
                <w:sz w:val="17"/>
                <w:szCs w:val="17"/>
                <w:color w:val="auto"/>
              </w:rPr>
              <w:t>$375,000</w:t>
            </w:r>
          </w:p>
        </w:tc>
        <w:tc>
          <w:tcPr>
            <w:tcW w:w="1400" w:type="dxa"/>
            <w:vAlign w:val="bottom"/>
            <w:tcBorders>
              <w:bottom w:val="single" w:sz="8" w:color="284993"/>
            </w:tcBorders>
          </w:tcPr>
          <w:p>
            <w:pPr>
              <w:jc w:val="right"/>
              <w:ind w:right="138"/>
              <w:spacing w:after="0" w:line="194" w:lineRule="exact"/>
              <w:rPr>
                <w:sz w:val="20"/>
                <w:szCs w:val="20"/>
                <w:color w:val="auto"/>
              </w:rPr>
            </w:pPr>
            <w:r>
              <w:rPr>
                <w:rFonts w:ascii="Arial" w:cs="Arial" w:eastAsia="Arial" w:hAnsi="Arial"/>
                <w:sz w:val="17"/>
                <w:szCs w:val="17"/>
                <w:color w:val="auto"/>
              </w:rPr>
              <w:t>100%</w:t>
            </w:r>
          </w:p>
        </w:tc>
        <w:tc>
          <w:tcPr>
            <w:tcW w:w="1540" w:type="dxa"/>
            <w:vAlign w:val="bottom"/>
            <w:tcBorders>
              <w:bottom w:val="single" w:sz="8" w:color="284993"/>
            </w:tcBorders>
          </w:tcPr>
          <w:p>
            <w:pPr>
              <w:ind w:left="480"/>
              <w:spacing w:after="0" w:line="194" w:lineRule="exact"/>
              <w:rPr>
                <w:sz w:val="20"/>
                <w:szCs w:val="20"/>
                <w:color w:val="auto"/>
              </w:rPr>
            </w:pPr>
            <w:r>
              <w:rPr>
                <w:rFonts w:ascii="Arial" w:cs="Arial" w:eastAsia="Arial" w:hAnsi="Arial"/>
                <w:sz w:val="17"/>
                <w:szCs w:val="17"/>
                <w:color w:val="auto"/>
              </w:rPr>
              <w:t>$375,000</w:t>
            </w:r>
          </w:p>
        </w:tc>
        <w:tc>
          <w:tcPr>
            <w:tcW w:w="1200" w:type="dxa"/>
            <w:vAlign w:val="bottom"/>
            <w:tcBorders>
              <w:bottom w:val="single" w:sz="8" w:color="284993"/>
            </w:tcBorders>
          </w:tcPr>
          <w:p>
            <w:pPr>
              <w:jc w:val="right"/>
              <w:ind w:right="98"/>
              <w:spacing w:after="0" w:line="194" w:lineRule="exact"/>
              <w:rPr>
                <w:sz w:val="20"/>
                <w:szCs w:val="20"/>
                <w:color w:val="auto"/>
              </w:rPr>
            </w:pPr>
            <w:r>
              <w:rPr>
                <w:rFonts w:ascii="Arial" w:cs="Arial" w:eastAsia="Arial" w:hAnsi="Arial"/>
                <w:sz w:val="17"/>
                <w:szCs w:val="17"/>
                <w:color w:val="auto"/>
              </w:rPr>
              <w:t>0%</w:t>
            </w:r>
          </w:p>
        </w:tc>
      </w:tr>
    </w:tbl>
    <w:p>
      <w:pPr>
        <w:spacing w:after="0" w:line="60" w:lineRule="exact"/>
        <w:rPr>
          <w:sz w:val="20"/>
          <w:szCs w:val="20"/>
          <w:color w:val="auto"/>
        </w:rPr>
      </w:pPr>
    </w:p>
    <w:p>
      <w:pPr>
        <w:ind w:left="280" w:right="460" w:hanging="278"/>
        <w:spacing w:after="0" w:line="188" w:lineRule="auto"/>
        <w:tabs>
          <w:tab w:leader="none" w:pos="280" w:val="left"/>
        </w:tabs>
        <w:numPr>
          <w:ilvl w:val="0"/>
          <w:numId w:val="38"/>
        </w:numPr>
        <w:rPr>
          <w:rFonts w:ascii="Arial" w:cs="Arial" w:eastAsia="Arial" w:hAnsi="Arial"/>
          <w:sz w:val="18"/>
          <w:szCs w:val="18"/>
          <w:color w:val="auto"/>
          <w:vertAlign w:val="superscript"/>
        </w:rPr>
      </w:pPr>
      <w:r>
        <w:rPr>
          <w:rFonts w:ascii="Arial" w:cs="Arial" w:eastAsia="Arial" w:hAnsi="Arial"/>
          <w:sz w:val="12"/>
          <w:szCs w:val="12"/>
          <w:color w:val="auto"/>
        </w:rPr>
        <w:t>Mr. Silva was promoted on May 6, 2022. The 2022 amount reflects his incentive opportunity after his promotion and includes a 2022 STIP opportunity targeted at $126,000 and 2022 sales incentive plan (SIP) opportunity targeted at $352,750.</w:t>
      </w:r>
    </w:p>
    <w:p>
      <w:pPr>
        <w:ind w:left="280" w:hanging="278"/>
        <w:spacing w:after="0" w:line="180" w:lineRule="auto"/>
        <w:tabs>
          <w:tab w:leader="none" w:pos="280" w:val="left"/>
        </w:tabs>
        <w:numPr>
          <w:ilvl w:val="0"/>
          <w:numId w:val="38"/>
        </w:numPr>
        <w:rPr>
          <w:rFonts w:ascii="Arial" w:cs="Arial" w:eastAsia="Arial" w:hAnsi="Arial"/>
          <w:sz w:val="15"/>
          <w:szCs w:val="15"/>
          <w:color w:val="auto"/>
          <w:vertAlign w:val="superscript"/>
        </w:rPr>
      </w:pPr>
      <w:r>
        <w:rPr>
          <w:rFonts w:ascii="Arial" w:cs="Arial" w:eastAsia="Arial" w:hAnsi="Arial"/>
          <w:sz w:val="10"/>
          <w:szCs w:val="10"/>
          <w:color w:val="auto"/>
        </w:rPr>
        <w:t>Ms. Guerra was promoted on July 5, 2022. The 2022 amount reflects her incentive opportunity after her promotion.</w:t>
      </w:r>
    </w:p>
    <w:p>
      <w:pPr>
        <w:ind w:left="280" w:hanging="278"/>
        <w:spacing w:after="0" w:line="192" w:lineRule="auto"/>
        <w:tabs>
          <w:tab w:leader="none" w:pos="280" w:val="left"/>
        </w:tabs>
        <w:numPr>
          <w:ilvl w:val="0"/>
          <w:numId w:val="38"/>
        </w:numPr>
        <w:rPr>
          <w:rFonts w:ascii="Arial" w:cs="Arial" w:eastAsia="Arial" w:hAnsi="Arial"/>
          <w:sz w:val="18"/>
          <w:szCs w:val="18"/>
          <w:color w:val="auto"/>
          <w:vertAlign w:val="superscript"/>
        </w:rPr>
      </w:pPr>
      <w:r>
        <w:rPr>
          <w:rFonts w:ascii="Arial" w:cs="Arial" w:eastAsia="Arial" w:hAnsi="Arial"/>
          <w:sz w:val="12"/>
          <w:szCs w:val="12"/>
          <w:color w:val="auto"/>
        </w:rPr>
        <w:t>Although Ms. Guerra’s target annual incentive opportunity was increased to 100% of base salary following her promotion, her 2022 STIP opportunity was pro-rated based on the target percentages that applied before and after her promotion.</w:t>
      </w:r>
    </w:p>
    <w:p>
      <w:pPr>
        <w:spacing w:after="0" w:line="18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Payments under the 2022 STIP and the SIP could be more or less than the target annual cash incentive award opportunity (up to a maximum of 200% of the target award opportunity) depending on the Company’s and an executive officer’s actual performance for the year.</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284993"/>
        </w:rPr>
        <w:t>Plan Terms – Eligibility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To be eligible for any payment under the 2022 STIP, an executive officer was required to:</w:t>
      </w:r>
    </w:p>
    <w:p>
      <w:pPr>
        <w:spacing w:after="0" w:line="230" w:lineRule="exact"/>
        <w:rPr>
          <w:sz w:val="20"/>
          <w:szCs w:val="20"/>
          <w:color w:val="auto"/>
        </w:rPr>
      </w:pPr>
    </w:p>
    <w:p>
      <w:pPr>
        <w:ind w:left="360" w:hanging="267"/>
        <w:spacing w:after="0"/>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Be an employee on the date of payment, except to the extent otherwise provided by us; and</w:t>
      </w:r>
    </w:p>
    <w:p>
      <w:pPr>
        <w:spacing w:after="0" w:line="230" w:lineRule="exact"/>
        <w:rPr>
          <w:rFonts w:ascii="Arial" w:cs="Arial" w:eastAsia="Arial" w:hAnsi="Arial"/>
          <w:sz w:val="16"/>
          <w:szCs w:val="16"/>
          <w:color w:val="auto"/>
        </w:rPr>
      </w:pPr>
    </w:p>
    <w:p>
      <w:pPr>
        <w:ind w:left="360" w:right="140" w:hanging="267"/>
        <w:spacing w:after="0" w:line="222" w:lineRule="auto"/>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Be an employee prior to October 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of the applicable fiscal year. Eligibility is prorated for less than full year employment (though employed prior to October 2</w:t>
      </w:r>
      <w:r>
        <w:rPr>
          <w:rFonts w:ascii="Arial" w:cs="Arial" w:eastAsia="Arial" w:hAnsi="Arial"/>
          <w:sz w:val="23"/>
          <w:szCs w:val="23"/>
          <w:color w:val="auto"/>
          <w:vertAlign w:val="superscript"/>
        </w:rPr>
        <w:t>nd</w:t>
      </w:r>
      <w:r>
        <w:rPr>
          <w:rFonts w:ascii="Arial" w:cs="Arial" w:eastAsia="Arial" w:hAnsi="Arial"/>
          <w:sz w:val="16"/>
          <w:szCs w:val="16"/>
          <w:color w:val="auto"/>
        </w:rPr>
        <w:t>).</w:t>
      </w:r>
    </w:p>
    <w:p>
      <w:pPr>
        <w:spacing w:after="0" w:line="8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If one of our executive officer’s employment is terminated for any reason prior to the payment date, he or she would not be eligible to receive an award, and he or she would forfeit all rights to such payment except to the extent otherwise provided by us. In addition, we reserve the right to require an executive officer to forfeit his or her right to payment or to reimburse us for any payments previously paid, along with any other action we deem necessary or appropriate, in the event it is determined that the individual participant engaged in misconduct in the course of his or her employment.</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59</w:t>
      </w:r>
    </w:p>
    <w:p>
      <w:pPr>
        <w:sectPr>
          <w:pgSz w:w="11900" w:h="16838" w:orient="portrait"/>
          <w:cols w:equalWidth="0" w:num="1">
            <w:col w:w="9320"/>
          </w:cols>
          <w:pgMar w:left="1280" w:top="296" w:right="1299" w:bottom="1440" w:gutter="0" w:footer="0" w:header="0"/>
        </w:sectPr>
      </w:pPr>
    </w:p>
    <w:bookmarkStart w:id="65" w:name="page66"/>
    <w:bookmarkEnd w:id="65"/>
    <w:p>
      <w:pPr>
        <w:ind w:left="180"/>
        <w:spacing w:after="0"/>
        <w:rPr>
          <w:sz w:val="20"/>
          <w:szCs w:val="20"/>
          <w:color w:val="auto"/>
        </w:rPr>
      </w:pPr>
      <w:r>
        <w:rPr>
          <w:rFonts w:ascii="Arial" w:cs="Arial" w:eastAsia="Arial" w:hAnsi="Arial"/>
          <w:sz w:val="17"/>
          <w:szCs w:val="17"/>
          <w:b w:val="1"/>
          <w:bCs w:val="1"/>
          <w:i w:val="1"/>
          <w:i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Plan Terms – Performance Metrics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For purposes of the 2022 STIP, our executive officers were eligible to earn annual cash incentive awards for the period beginning 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January 1, 2022 and ending on December 31, 2022 based on our actual performance as measured in two categories:</w:t>
      </w:r>
    </w:p>
    <w:p>
      <w:pPr>
        <w:spacing w:after="0" w:line="216" w:lineRule="exact"/>
        <w:rPr>
          <w:sz w:val="20"/>
          <w:szCs w:val="20"/>
          <w:color w:val="auto"/>
        </w:rPr>
      </w:pPr>
    </w:p>
    <w:p>
      <w:pPr>
        <w:ind w:left="360" w:hanging="267"/>
        <w:spacing w:after="0"/>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Adjusted EBITDA performance (50% weighting)</w:t>
      </w:r>
    </w:p>
    <w:p>
      <w:pPr>
        <w:spacing w:after="0" w:line="230" w:lineRule="exact"/>
        <w:rPr>
          <w:rFonts w:ascii="Arial" w:cs="Arial" w:eastAsia="Arial" w:hAnsi="Arial"/>
          <w:sz w:val="16"/>
          <w:szCs w:val="16"/>
          <w:color w:val="auto"/>
        </w:rPr>
      </w:pPr>
    </w:p>
    <w:p>
      <w:pPr>
        <w:ind w:left="360" w:hanging="267"/>
        <w:spacing w:after="0"/>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Gross Revenue Growth performance (50% weighting)</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payout from our Adjusted EBITDA and Gross Revenue Growth performance may be increased or decreased 10% for any individual based on their job performance.</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284993"/>
        </w:rPr>
        <w:t>Plan Terms – Adjusted EBITDA and Gross Revenue Growth Performance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As described above, Adjusted EBITDA and Gross Revenue Growth primarily determine the payouts under the 2022 STIP.</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80" w:type="dxa"/>
            <w:vAlign w:val="bottom"/>
            <w:shd w:val="clear" w:color="auto" w:fill="284993"/>
          </w:tcPr>
          <w:p>
            <w:pPr>
              <w:ind w:left="80"/>
              <w:spacing w:after="0"/>
              <w:rPr>
                <w:sz w:val="20"/>
                <w:szCs w:val="20"/>
                <w:color w:val="auto"/>
              </w:rPr>
            </w:pPr>
            <w:r>
              <w:rPr>
                <w:rFonts w:ascii="Arial" w:cs="Arial" w:eastAsia="Arial" w:hAnsi="Arial"/>
                <w:sz w:val="16"/>
                <w:szCs w:val="16"/>
                <w:b w:val="1"/>
                <w:bCs w:val="1"/>
                <w:color w:val="FFFFFF"/>
              </w:rPr>
              <w:t>Executive Adjusted EBITDA Performance Metrics</w:t>
            </w:r>
            <w:r>
              <w:rPr>
                <w:rFonts w:ascii="Arial" w:cs="Arial" w:eastAsia="Arial" w:hAnsi="Arial"/>
                <w:sz w:val="23"/>
                <w:szCs w:val="23"/>
                <w:b w:val="1"/>
                <w:bCs w:val="1"/>
                <w:color w:val="FFFFFF"/>
                <w:vertAlign w:val="superscript"/>
              </w:rPr>
              <w:t>(1)</w:t>
            </w:r>
          </w:p>
        </w:tc>
        <w:tc>
          <w:tcPr>
            <w:tcW w:w="2260" w:type="dxa"/>
            <w:vAlign w:val="bottom"/>
            <w:shd w:val="clear" w:color="auto" w:fill="284993"/>
          </w:tcPr>
          <w:p>
            <w:pPr>
              <w:ind w:left="920"/>
              <w:spacing w:after="0"/>
              <w:rPr>
                <w:sz w:val="20"/>
                <w:szCs w:val="20"/>
                <w:color w:val="auto"/>
              </w:rPr>
            </w:pPr>
            <w:r>
              <w:rPr>
                <w:rFonts w:ascii="Arial" w:cs="Arial" w:eastAsia="Arial" w:hAnsi="Arial"/>
                <w:sz w:val="16"/>
                <w:szCs w:val="16"/>
                <w:b w:val="1"/>
                <w:bCs w:val="1"/>
                <w:color w:val="FFFFFF"/>
              </w:rPr>
              <w:t>Below Threshold</w:t>
            </w:r>
          </w:p>
        </w:tc>
        <w:tc>
          <w:tcPr>
            <w:tcW w:w="940" w:type="dxa"/>
            <w:vAlign w:val="bottom"/>
            <w:shd w:val="clear" w:color="auto" w:fill="284993"/>
          </w:tcPr>
          <w:p>
            <w:pPr>
              <w:ind w:left="100"/>
              <w:spacing w:after="0"/>
              <w:rPr>
                <w:sz w:val="20"/>
                <w:szCs w:val="20"/>
                <w:color w:val="auto"/>
              </w:rPr>
            </w:pPr>
            <w:r>
              <w:rPr>
                <w:rFonts w:ascii="Arial" w:cs="Arial" w:eastAsia="Arial" w:hAnsi="Arial"/>
                <w:sz w:val="16"/>
                <w:szCs w:val="16"/>
                <w:b w:val="1"/>
                <w:bCs w:val="1"/>
                <w:color w:val="FFFFFF"/>
              </w:rPr>
              <w:t>Threshold</w:t>
            </w:r>
          </w:p>
        </w:tc>
        <w:tc>
          <w:tcPr>
            <w:tcW w:w="660" w:type="dxa"/>
            <w:vAlign w:val="bottom"/>
            <w:shd w:val="clear" w:color="auto" w:fill="284993"/>
          </w:tcPr>
          <w:p>
            <w:pPr>
              <w:ind w:left="100"/>
              <w:spacing w:after="0"/>
              <w:rPr>
                <w:sz w:val="20"/>
                <w:szCs w:val="20"/>
                <w:color w:val="auto"/>
              </w:rPr>
            </w:pPr>
            <w:r>
              <w:rPr>
                <w:rFonts w:ascii="Arial" w:cs="Arial" w:eastAsia="Arial" w:hAnsi="Arial"/>
                <w:sz w:val="16"/>
                <w:szCs w:val="16"/>
                <w:b w:val="1"/>
                <w:bCs w:val="1"/>
                <w:color w:val="FFFFFF"/>
              </w:rPr>
              <w:t>Target</w:t>
            </w:r>
          </w:p>
        </w:tc>
        <w:tc>
          <w:tcPr>
            <w:tcW w:w="680" w:type="dxa"/>
            <w:vAlign w:val="bottom"/>
            <w:shd w:val="clear" w:color="auto" w:fill="284993"/>
          </w:tcPr>
          <w:p>
            <w:pPr>
              <w:ind w:left="240"/>
              <w:spacing w:after="0"/>
              <w:rPr>
                <w:sz w:val="20"/>
                <w:szCs w:val="20"/>
                <w:color w:val="auto"/>
              </w:rPr>
            </w:pPr>
            <w:r>
              <w:rPr>
                <w:rFonts w:ascii="Arial" w:cs="Arial" w:eastAsia="Arial" w:hAnsi="Arial"/>
                <w:sz w:val="16"/>
                <w:szCs w:val="16"/>
                <w:b w:val="1"/>
                <w:bCs w:val="1"/>
                <w:color w:val="FFFFFF"/>
              </w:rPr>
              <w:t>Max</w:t>
            </w:r>
          </w:p>
        </w:tc>
      </w:tr>
      <w:tr>
        <w:trPr>
          <w:trHeight w:val="194"/>
        </w:trPr>
        <w:tc>
          <w:tcPr>
            <w:tcW w:w="4780" w:type="dxa"/>
            <w:vAlign w:val="bottom"/>
          </w:tcPr>
          <w:p>
            <w:pPr>
              <w:ind w:left="80"/>
              <w:spacing w:after="0" w:line="194" w:lineRule="exact"/>
              <w:rPr>
                <w:sz w:val="20"/>
                <w:szCs w:val="20"/>
                <w:color w:val="auto"/>
              </w:rPr>
            </w:pPr>
            <w:r>
              <w:rPr>
                <w:rFonts w:ascii="Arial" w:cs="Arial" w:eastAsia="Arial" w:hAnsi="Arial"/>
                <w:sz w:val="17"/>
                <w:szCs w:val="17"/>
                <w:color w:val="auto"/>
              </w:rPr>
              <w:t>Adjusted EBITDA Attainment %</w:t>
            </w:r>
          </w:p>
        </w:tc>
        <w:tc>
          <w:tcPr>
            <w:tcW w:w="2260" w:type="dxa"/>
            <w:vAlign w:val="bottom"/>
          </w:tcPr>
          <w:p>
            <w:pPr>
              <w:jc w:val="center"/>
              <w:ind w:left="756"/>
              <w:spacing w:after="0" w:line="194" w:lineRule="exact"/>
              <w:rPr>
                <w:sz w:val="20"/>
                <w:szCs w:val="20"/>
                <w:color w:val="auto"/>
              </w:rPr>
            </w:pPr>
            <w:r>
              <w:rPr>
                <w:rFonts w:ascii="Arial" w:cs="Arial" w:eastAsia="Arial" w:hAnsi="Arial"/>
                <w:sz w:val="17"/>
                <w:szCs w:val="17"/>
                <w:color w:val="auto"/>
                <w:w w:val="99"/>
              </w:rPr>
              <w:t>&lt;94.3%</w:t>
            </w:r>
          </w:p>
        </w:tc>
        <w:tc>
          <w:tcPr>
            <w:tcW w:w="940" w:type="dxa"/>
            <w:vAlign w:val="bottom"/>
          </w:tcPr>
          <w:p>
            <w:pPr>
              <w:jc w:val="center"/>
              <w:spacing w:after="0" w:line="194" w:lineRule="exact"/>
              <w:rPr>
                <w:sz w:val="20"/>
                <w:szCs w:val="20"/>
                <w:color w:val="auto"/>
              </w:rPr>
            </w:pPr>
            <w:r>
              <w:rPr>
                <w:rFonts w:ascii="Arial" w:cs="Arial" w:eastAsia="Arial" w:hAnsi="Arial"/>
                <w:sz w:val="17"/>
                <w:szCs w:val="17"/>
                <w:color w:val="auto"/>
                <w:w w:val="99"/>
              </w:rPr>
              <w:t>94.3%</w:t>
            </w:r>
          </w:p>
        </w:tc>
        <w:tc>
          <w:tcPr>
            <w:tcW w:w="660" w:type="dxa"/>
            <w:vAlign w:val="bottom"/>
          </w:tcPr>
          <w:p>
            <w:pPr>
              <w:ind w:left="120"/>
              <w:spacing w:after="0" w:line="194" w:lineRule="exact"/>
              <w:rPr>
                <w:sz w:val="20"/>
                <w:szCs w:val="20"/>
                <w:color w:val="auto"/>
              </w:rPr>
            </w:pPr>
            <w:r>
              <w:rPr>
                <w:rFonts w:ascii="Arial" w:cs="Arial" w:eastAsia="Arial" w:hAnsi="Arial"/>
                <w:sz w:val="17"/>
                <w:szCs w:val="17"/>
                <w:color w:val="auto"/>
              </w:rPr>
              <w:t>100%</w:t>
            </w:r>
          </w:p>
        </w:tc>
        <w:tc>
          <w:tcPr>
            <w:tcW w:w="680" w:type="dxa"/>
            <w:vAlign w:val="bottom"/>
          </w:tcPr>
          <w:p>
            <w:pPr>
              <w:jc w:val="center"/>
              <w:ind w:left="16"/>
              <w:spacing w:after="0" w:line="194" w:lineRule="exact"/>
              <w:rPr>
                <w:sz w:val="20"/>
                <w:szCs w:val="20"/>
                <w:color w:val="auto"/>
              </w:rPr>
            </w:pPr>
            <w:r>
              <w:rPr>
                <w:rFonts w:ascii="Arial" w:cs="Arial" w:eastAsia="Arial" w:hAnsi="Arial"/>
                <w:sz w:val="17"/>
                <w:szCs w:val="17"/>
                <w:color w:val="auto"/>
              </w:rPr>
              <w:t>105.0%</w:t>
            </w:r>
          </w:p>
        </w:tc>
      </w:tr>
      <w:tr>
        <w:trPr>
          <w:trHeight w:val="194"/>
        </w:trPr>
        <w:tc>
          <w:tcPr>
            <w:tcW w:w="4780" w:type="dxa"/>
            <w:vAlign w:val="bottom"/>
            <w:shd w:val="clear" w:color="auto" w:fill="9DBDE4"/>
          </w:tcPr>
          <w:p>
            <w:pPr>
              <w:ind w:left="80"/>
              <w:spacing w:after="0" w:line="194" w:lineRule="exact"/>
              <w:rPr>
                <w:sz w:val="20"/>
                <w:szCs w:val="20"/>
                <w:color w:val="auto"/>
              </w:rPr>
            </w:pPr>
            <w:r>
              <w:rPr>
                <w:rFonts w:ascii="Arial" w:cs="Arial" w:eastAsia="Arial" w:hAnsi="Arial"/>
                <w:sz w:val="17"/>
                <w:szCs w:val="17"/>
                <w:color w:val="auto"/>
              </w:rPr>
              <w:t>Adjusted EBITDA Target Amount $M</w:t>
            </w:r>
          </w:p>
        </w:tc>
        <w:tc>
          <w:tcPr>
            <w:tcW w:w="2260" w:type="dxa"/>
            <w:vAlign w:val="bottom"/>
            <w:shd w:val="clear" w:color="auto" w:fill="9DBDE4"/>
          </w:tcPr>
          <w:p>
            <w:pPr>
              <w:jc w:val="center"/>
              <w:ind w:left="756"/>
              <w:spacing w:after="0" w:line="194" w:lineRule="exact"/>
              <w:rPr>
                <w:sz w:val="20"/>
                <w:szCs w:val="20"/>
                <w:color w:val="auto"/>
              </w:rPr>
            </w:pPr>
            <w:r>
              <w:rPr>
                <w:rFonts w:ascii="Arial" w:cs="Arial" w:eastAsia="Arial" w:hAnsi="Arial"/>
                <w:sz w:val="17"/>
                <w:szCs w:val="17"/>
                <w:color w:val="auto"/>
              </w:rPr>
              <w:t>&lt;373.5</w:t>
            </w:r>
          </w:p>
        </w:tc>
        <w:tc>
          <w:tcPr>
            <w:tcW w:w="940" w:type="dxa"/>
            <w:vAlign w:val="bottom"/>
            <w:shd w:val="clear" w:color="auto" w:fill="9DBDE4"/>
          </w:tcPr>
          <w:p>
            <w:pPr>
              <w:jc w:val="center"/>
              <w:spacing w:after="0" w:line="194" w:lineRule="exact"/>
              <w:rPr>
                <w:sz w:val="20"/>
                <w:szCs w:val="20"/>
                <w:color w:val="auto"/>
              </w:rPr>
            </w:pPr>
            <w:r>
              <w:rPr>
                <w:rFonts w:ascii="Arial" w:cs="Arial" w:eastAsia="Arial" w:hAnsi="Arial"/>
                <w:sz w:val="17"/>
                <w:szCs w:val="17"/>
                <w:color w:val="auto"/>
              </w:rPr>
              <w:t>373.5</w:t>
            </w:r>
          </w:p>
        </w:tc>
        <w:tc>
          <w:tcPr>
            <w:tcW w:w="660" w:type="dxa"/>
            <w:vAlign w:val="bottom"/>
            <w:shd w:val="clear" w:color="auto" w:fill="9DBDE4"/>
          </w:tcPr>
          <w:p>
            <w:pPr>
              <w:ind w:left="120"/>
              <w:spacing w:after="0" w:line="194" w:lineRule="exact"/>
              <w:rPr>
                <w:sz w:val="20"/>
                <w:szCs w:val="20"/>
                <w:color w:val="auto"/>
              </w:rPr>
            </w:pPr>
            <w:r>
              <w:rPr>
                <w:rFonts w:ascii="Arial" w:cs="Arial" w:eastAsia="Arial" w:hAnsi="Arial"/>
                <w:sz w:val="17"/>
                <w:szCs w:val="17"/>
                <w:color w:val="auto"/>
              </w:rPr>
              <w:t>396.0</w:t>
            </w:r>
          </w:p>
        </w:tc>
        <w:tc>
          <w:tcPr>
            <w:tcW w:w="680" w:type="dxa"/>
            <w:vAlign w:val="bottom"/>
            <w:shd w:val="clear" w:color="auto" w:fill="9DBDE4"/>
          </w:tcPr>
          <w:p>
            <w:pPr>
              <w:jc w:val="center"/>
              <w:ind w:left="16"/>
              <w:spacing w:after="0" w:line="194" w:lineRule="exact"/>
              <w:rPr>
                <w:sz w:val="20"/>
                <w:szCs w:val="20"/>
                <w:color w:val="auto"/>
              </w:rPr>
            </w:pPr>
            <w:r>
              <w:rPr>
                <w:rFonts w:ascii="Arial" w:cs="Arial" w:eastAsia="Arial" w:hAnsi="Arial"/>
                <w:sz w:val="17"/>
                <w:szCs w:val="17"/>
                <w:color w:val="auto"/>
                <w:w w:val="98"/>
              </w:rPr>
              <w:t>415.8</w:t>
            </w:r>
          </w:p>
        </w:tc>
      </w:tr>
      <w:tr>
        <w:trPr>
          <w:trHeight w:val="194"/>
        </w:trPr>
        <w:tc>
          <w:tcPr>
            <w:tcW w:w="4780" w:type="dxa"/>
            <w:vAlign w:val="bottom"/>
            <w:tcBorders>
              <w:bottom w:val="single" w:sz="8" w:color="284993"/>
            </w:tcBorders>
          </w:tcPr>
          <w:p>
            <w:pPr>
              <w:ind w:left="80"/>
              <w:spacing w:after="0" w:line="194" w:lineRule="exact"/>
              <w:rPr>
                <w:sz w:val="20"/>
                <w:szCs w:val="20"/>
                <w:color w:val="auto"/>
              </w:rPr>
            </w:pPr>
            <w:r>
              <w:rPr>
                <w:rFonts w:ascii="Arial" w:cs="Arial" w:eastAsia="Arial" w:hAnsi="Arial"/>
                <w:sz w:val="17"/>
                <w:szCs w:val="17"/>
                <w:color w:val="auto"/>
              </w:rPr>
              <w:t>Executive Adjusted EBITDA Payout</w:t>
            </w:r>
          </w:p>
        </w:tc>
        <w:tc>
          <w:tcPr>
            <w:tcW w:w="2260" w:type="dxa"/>
            <w:vAlign w:val="bottom"/>
            <w:tcBorders>
              <w:bottom w:val="single" w:sz="8" w:color="284993"/>
            </w:tcBorders>
          </w:tcPr>
          <w:p>
            <w:pPr>
              <w:jc w:val="center"/>
              <w:ind w:left="756"/>
              <w:spacing w:after="0" w:line="194" w:lineRule="exact"/>
              <w:rPr>
                <w:sz w:val="20"/>
                <w:szCs w:val="20"/>
                <w:color w:val="auto"/>
              </w:rPr>
            </w:pPr>
            <w:r>
              <w:rPr>
                <w:rFonts w:ascii="Arial" w:cs="Arial" w:eastAsia="Arial" w:hAnsi="Arial"/>
                <w:sz w:val="17"/>
                <w:szCs w:val="17"/>
                <w:color w:val="auto"/>
              </w:rPr>
              <w:t>0%</w:t>
            </w:r>
          </w:p>
        </w:tc>
        <w:tc>
          <w:tcPr>
            <w:tcW w:w="940" w:type="dxa"/>
            <w:vAlign w:val="bottom"/>
            <w:tcBorders>
              <w:bottom w:val="single" w:sz="8" w:color="284993"/>
            </w:tcBorders>
          </w:tcPr>
          <w:p>
            <w:pPr>
              <w:jc w:val="center"/>
              <w:spacing w:after="0" w:line="194" w:lineRule="exact"/>
              <w:rPr>
                <w:sz w:val="20"/>
                <w:szCs w:val="20"/>
                <w:color w:val="auto"/>
              </w:rPr>
            </w:pPr>
            <w:r>
              <w:rPr>
                <w:rFonts w:ascii="Arial" w:cs="Arial" w:eastAsia="Arial" w:hAnsi="Arial"/>
                <w:sz w:val="17"/>
                <w:szCs w:val="17"/>
                <w:color w:val="auto"/>
              </w:rPr>
              <w:t>25%</w:t>
            </w:r>
          </w:p>
        </w:tc>
        <w:tc>
          <w:tcPr>
            <w:tcW w:w="660" w:type="dxa"/>
            <w:vAlign w:val="bottom"/>
            <w:tcBorders>
              <w:bottom w:val="single" w:sz="8" w:color="284993"/>
            </w:tcBorders>
          </w:tcPr>
          <w:p>
            <w:pPr>
              <w:ind w:left="120"/>
              <w:spacing w:after="0" w:line="194" w:lineRule="exact"/>
              <w:rPr>
                <w:sz w:val="20"/>
                <w:szCs w:val="20"/>
                <w:color w:val="auto"/>
              </w:rPr>
            </w:pPr>
            <w:r>
              <w:rPr>
                <w:rFonts w:ascii="Arial" w:cs="Arial" w:eastAsia="Arial" w:hAnsi="Arial"/>
                <w:sz w:val="17"/>
                <w:szCs w:val="17"/>
                <w:color w:val="auto"/>
              </w:rPr>
              <w:t>100%</w:t>
            </w:r>
          </w:p>
        </w:tc>
        <w:tc>
          <w:tcPr>
            <w:tcW w:w="680" w:type="dxa"/>
            <w:vAlign w:val="bottom"/>
            <w:tcBorders>
              <w:bottom w:val="single" w:sz="8" w:color="284993"/>
            </w:tcBorders>
          </w:tcPr>
          <w:p>
            <w:pPr>
              <w:jc w:val="center"/>
              <w:spacing w:after="0" w:line="194" w:lineRule="exact"/>
              <w:rPr>
                <w:sz w:val="20"/>
                <w:szCs w:val="20"/>
                <w:color w:val="auto"/>
              </w:rPr>
            </w:pPr>
            <w:r>
              <w:rPr>
                <w:rFonts w:ascii="Arial" w:cs="Arial" w:eastAsia="Arial" w:hAnsi="Arial"/>
                <w:sz w:val="17"/>
                <w:szCs w:val="17"/>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5428615</wp:posOffset>
            </wp:positionH>
            <wp:positionV relativeFrom="paragraph">
              <wp:posOffset>-492760</wp:posOffset>
            </wp:positionV>
            <wp:extent cx="8255" cy="4933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49339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-492760</wp:posOffset>
            </wp:positionV>
            <wp:extent cx="8255" cy="4933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49339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-492760</wp:posOffset>
            </wp:positionV>
            <wp:extent cx="8255" cy="4933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493395"/>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-492760</wp:posOffset>
            </wp:positionV>
            <wp:extent cx="8255" cy="4933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493395"/>
                    </a:xfrm>
                    <a:prstGeom prst="rect">
                      <a:avLst/>
                    </a:prstGeom>
                    <a:noFill/>
                  </pic:spPr>
                </pic:pic>
              </a:graphicData>
            </a:graphic>
          </wp:anchor>
        </w:drawing>
      </w:r>
    </w:p>
    <w:p>
      <w:pPr>
        <w:ind w:left="280" w:hanging="278"/>
        <w:spacing w:after="0"/>
        <w:tabs>
          <w:tab w:leader="none" w:pos="280" w:val="left"/>
        </w:tabs>
        <w:numPr>
          <w:ilvl w:val="0"/>
          <w:numId w:val="41"/>
        </w:numPr>
        <w:rPr>
          <w:rFonts w:ascii="Arial" w:cs="Arial" w:eastAsia="Arial" w:hAnsi="Arial"/>
          <w:sz w:val="18"/>
          <w:szCs w:val="18"/>
          <w:color w:val="auto"/>
          <w:vertAlign w:val="superscript"/>
        </w:rPr>
      </w:pPr>
      <w:r>
        <w:rPr>
          <w:rFonts w:ascii="Arial" w:cs="Arial" w:eastAsia="Arial" w:hAnsi="Arial"/>
          <w:sz w:val="12"/>
          <w:szCs w:val="12"/>
          <w:color w:val="auto"/>
        </w:rPr>
        <w:t>Performance between points is interpolated linearly for funding.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shd w:val="clear" w:color="auto" w:fill="284993"/>
          </w:tcPr>
          <w:p>
            <w:pPr>
              <w:ind w:left="80"/>
              <w:spacing w:after="0"/>
              <w:rPr>
                <w:sz w:val="20"/>
                <w:szCs w:val="20"/>
                <w:color w:val="auto"/>
              </w:rPr>
            </w:pPr>
            <w:r>
              <w:rPr>
                <w:rFonts w:ascii="Arial" w:cs="Arial" w:eastAsia="Arial" w:hAnsi="Arial"/>
                <w:sz w:val="16"/>
                <w:szCs w:val="16"/>
                <w:b w:val="1"/>
                <w:bCs w:val="1"/>
                <w:color w:val="FFFFFF"/>
              </w:rPr>
              <w:t xml:space="preserve">Executive Gross Revenue Growth Performance Metrics </w:t>
            </w:r>
            <w:r>
              <w:rPr>
                <w:rFonts w:ascii="Arial" w:cs="Arial" w:eastAsia="Arial" w:hAnsi="Arial"/>
                <w:sz w:val="23"/>
                <w:szCs w:val="23"/>
                <w:b w:val="1"/>
                <w:bCs w:val="1"/>
                <w:color w:val="FFFFFF"/>
                <w:vertAlign w:val="superscript"/>
              </w:rPr>
              <w:t>(1)</w:t>
            </w:r>
          </w:p>
        </w:tc>
        <w:tc>
          <w:tcPr>
            <w:tcW w:w="1960" w:type="dxa"/>
            <w:vAlign w:val="bottom"/>
            <w:shd w:val="clear" w:color="auto" w:fill="284993"/>
          </w:tcPr>
          <w:p>
            <w:pPr>
              <w:ind w:left="620"/>
              <w:spacing w:after="0"/>
              <w:rPr>
                <w:sz w:val="20"/>
                <w:szCs w:val="20"/>
                <w:color w:val="auto"/>
              </w:rPr>
            </w:pPr>
            <w:r>
              <w:rPr>
                <w:rFonts w:ascii="Arial" w:cs="Arial" w:eastAsia="Arial" w:hAnsi="Arial"/>
                <w:sz w:val="16"/>
                <w:szCs w:val="16"/>
                <w:b w:val="1"/>
                <w:bCs w:val="1"/>
                <w:color w:val="FFFFFF"/>
              </w:rPr>
              <w:t>Below Threshold</w:t>
            </w:r>
          </w:p>
        </w:tc>
        <w:tc>
          <w:tcPr>
            <w:tcW w:w="940" w:type="dxa"/>
            <w:vAlign w:val="bottom"/>
            <w:shd w:val="clear" w:color="auto" w:fill="284993"/>
          </w:tcPr>
          <w:p>
            <w:pPr>
              <w:ind w:left="100"/>
              <w:spacing w:after="0"/>
              <w:rPr>
                <w:sz w:val="20"/>
                <w:szCs w:val="20"/>
                <w:color w:val="auto"/>
              </w:rPr>
            </w:pPr>
            <w:r>
              <w:rPr>
                <w:rFonts w:ascii="Arial" w:cs="Arial" w:eastAsia="Arial" w:hAnsi="Arial"/>
                <w:sz w:val="16"/>
                <w:szCs w:val="16"/>
                <w:b w:val="1"/>
                <w:bCs w:val="1"/>
                <w:color w:val="FFFFFF"/>
              </w:rPr>
              <w:t>Threshold</w:t>
            </w:r>
          </w:p>
        </w:tc>
        <w:tc>
          <w:tcPr>
            <w:tcW w:w="780" w:type="dxa"/>
            <w:vAlign w:val="bottom"/>
            <w:shd w:val="clear" w:color="auto" w:fill="284993"/>
          </w:tcPr>
          <w:p>
            <w:pPr>
              <w:ind w:left="160"/>
              <w:spacing w:after="0"/>
              <w:rPr>
                <w:sz w:val="20"/>
                <w:szCs w:val="20"/>
                <w:color w:val="auto"/>
              </w:rPr>
            </w:pPr>
            <w:r>
              <w:rPr>
                <w:rFonts w:ascii="Arial" w:cs="Arial" w:eastAsia="Arial" w:hAnsi="Arial"/>
                <w:sz w:val="16"/>
                <w:szCs w:val="16"/>
                <w:b w:val="1"/>
                <w:bCs w:val="1"/>
                <w:color w:val="FFFFFF"/>
              </w:rPr>
              <w:t>Target</w:t>
            </w:r>
          </w:p>
        </w:tc>
        <w:tc>
          <w:tcPr>
            <w:tcW w:w="680" w:type="dxa"/>
            <w:vAlign w:val="bottom"/>
            <w:shd w:val="clear" w:color="auto" w:fill="284993"/>
          </w:tcPr>
          <w:p>
            <w:pPr>
              <w:ind w:left="240"/>
              <w:spacing w:after="0"/>
              <w:rPr>
                <w:sz w:val="20"/>
                <w:szCs w:val="20"/>
                <w:color w:val="auto"/>
              </w:rPr>
            </w:pPr>
            <w:r>
              <w:rPr>
                <w:rFonts w:ascii="Arial" w:cs="Arial" w:eastAsia="Arial" w:hAnsi="Arial"/>
                <w:sz w:val="16"/>
                <w:szCs w:val="16"/>
                <w:b w:val="1"/>
                <w:bCs w:val="1"/>
                <w:color w:val="FFFFFF"/>
              </w:rPr>
              <w:t>Max</w:t>
            </w:r>
          </w:p>
        </w:tc>
      </w:tr>
      <w:tr>
        <w:trPr>
          <w:trHeight w:val="194"/>
        </w:trPr>
        <w:tc>
          <w:tcPr>
            <w:tcW w:w="4960" w:type="dxa"/>
            <w:vAlign w:val="bottom"/>
          </w:tcPr>
          <w:p>
            <w:pPr>
              <w:ind w:left="80"/>
              <w:spacing w:after="0" w:line="194" w:lineRule="exact"/>
              <w:rPr>
                <w:sz w:val="20"/>
                <w:szCs w:val="20"/>
                <w:color w:val="auto"/>
              </w:rPr>
            </w:pPr>
            <w:r>
              <w:rPr>
                <w:rFonts w:ascii="Arial" w:cs="Arial" w:eastAsia="Arial" w:hAnsi="Arial"/>
                <w:sz w:val="17"/>
                <w:szCs w:val="17"/>
                <w:color w:val="auto"/>
              </w:rPr>
              <w:t>Gross Revenue Attainment %</w:t>
            </w:r>
          </w:p>
        </w:tc>
        <w:tc>
          <w:tcPr>
            <w:tcW w:w="1960" w:type="dxa"/>
            <w:vAlign w:val="bottom"/>
          </w:tcPr>
          <w:p>
            <w:pPr>
              <w:jc w:val="center"/>
              <w:ind w:left="436"/>
              <w:spacing w:after="0" w:line="194" w:lineRule="exact"/>
              <w:rPr>
                <w:sz w:val="20"/>
                <w:szCs w:val="20"/>
                <w:color w:val="auto"/>
              </w:rPr>
            </w:pPr>
            <w:r>
              <w:rPr>
                <w:rFonts w:ascii="Arial" w:cs="Arial" w:eastAsia="Arial" w:hAnsi="Arial"/>
                <w:sz w:val="17"/>
                <w:szCs w:val="17"/>
                <w:color w:val="auto"/>
              </w:rPr>
              <w:t>&lt;95.7%</w:t>
            </w:r>
          </w:p>
        </w:tc>
        <w:tc>
          <w:tcPr>
            <w:tcW w:w="940" w:type="dxa"/>
            <w:vAlign w:val="bottom"/>
          </w:tcPr>
          <w:p>
            <w:pPr>
              <w:jc w:val="center"/>
              <w:spacing w:after="0" w:line="194" w:lineRule="exact"/>
              <w:rPr>
                <w:sz w:val="20"/>
                <w:szCs w:val="20"/>
                <w:color w:val="auto"/>
              </w:rPr>
            </w:pPr>
            <w:r>
              <w:rPr>
                <w:rFonts w:ascii="Arial" w:cs="Arial" w:eastAsia="Arial" w:hAnsi="Arial"/>
                <w:sz w:val="17"/>
                <w:szCs w:val="17"/>
                <w:color w:val="auto"/>
              </w:rPr>
              <w:t>95.7%</w:t>
            </w:r>
          </w:p>
        </w:tc>
        <w:tc>
          <w:tcPr>
            <w:tcW w:w="780" w:type="dxa"/>
            <w:vAlign w:val="bottom"/>
          </w:tcPr>
          <w:p>
            <w:pPr>
              <w:jc w:val="center"/>
              <w:spacing w:after="0" w:line="194" w:lineRule="exact"/>
              <w:rPr>
                <w:sz w:val="20"/>
                <w:szCs w:val="20"/>
                <w:color w:val="auto"/>
              </w:rPr>
            </w:pPr>
            <w:r>
              <w:rPr>
                <w:rFonts w:ascii="Arial" w:cs="Arial" w:eastAsia="Arial" w:hAnsi="Arial"/>
                <w:sz w:val="17"/>
                <w:szCs w:val="17"/>
                <w:color w:val="auto"/>
              </w:rPr>
              <w:t>100.0%</w:t>
            </w:r>
          </w:p>
        </w:tc>
        <w:tc>
          <w:tcPr>
            <w:tcW w:w="680" w:type="dxa"/>
            <w:vAlign w:val="bottom"/>
          </w:tcPr>
          <w:p>
            <w:pPr>
              <w:jc w:val="center"/>
              <w:ind w:left="16"/>
              <w:spacing w:after="0" w:line="194" w:lineRule="exact"/>
              <w:rPr>
                <w:sz w:val="20"/>
                <w:szCs w:val="20"/>
                <w:color w:val="auto"/>
              </w:rPr>
            </w:pPr>
            <w:r>
              <w:rPr>
                <w:rFonts w:ascii="Arial" w:cs="Arial" w:eastAsia="Arial" w:hAnsi="Arial"/>
                <w:sz w:val="17"/>
                <w:szCs w:val="17"/>
                <w:color w:val="auto"/>
              </w:rPr>
              <w:t>103.0%</w:t>
            </w:r>
          </w:p>
        </w:tc>
      </w:tr>
      <w:tr>
        <w:trPr>
          <w:trHeight w:val="194"/>
        </w:trPr>
        <w:tc>
          <w:tcPr>
            <w:tcW w:w="4960" w:type="dxa"/>
            <w:vAlign w:val="bottom"/>
            <w:shd w:val="clear" w:color="auto" w:fill="9DBDE4"/>
          </w:tcPr>
          <w:p>
            <w:pPr>
              <w:ind w:left="80"/>
              <w:spacing w:after="0" w:line="194" w:lineRule="exact"/>
              <w:rPr>
                <w:sz w:val="20"/>
                <w:szCs w:val="20"/>
                <w:color w:val="auto"/>
              </w:rPr>
            </w:pPr>
            <w:r>
              <w:rPr>
                <w:rFonts w:ascii="Arial" w:cs="Arial" w:eastAsia="Arial" w:hAnsi="Arial"/>
                <w:sz w:val="15"/>
                <w:szCs w:val="15"/>
                <w:color w:val="auto"/>
              </w:rPr>
              <w:t>Gross Revenue Amount $M</w:t>
            </w:r>
            <w:r>
              <w:rPr>
                <w:rFonts w:ascii="Arial" w:cs="Arial" w:eastAsia="Arial" w:hAnsi="Arial"/>
                <w:sz w:val="22"/>
                <w:szCs w:val="22"/>
                <w:color w:val="auto"/>
                <w:vertAlign w:val="superscript"/>
              </w:rPr>
              <w:t>(2)</w:t>
            </w:r>
          </w:p>
        </w:tc>
        <w:tc>
          <w:tcPr>
            <w:tcW w:w="1960" w:type="dxa"/>
            <w:vAlign w:val="bottom"/>
            <w:shd w:val="clear" w:color="auto" w:fill="9DBDE4"/>
          </w:tcPr>
          <w:p>
            <w:pPr>
              <w:jc w:val="center"/>
              <w:ind w:left="436"/>
              <w:spacing w:after="0" w:line="194" w:lineRule="exact"/>
              <w:rPr>
                <w:sz w:val="20"/>
                <w:szCs w:val="20"/>
                <w:color w:val="auto"/>
              </w:rPr>
            </w:pPr>
            <w:r>
              <w:rPr>
                <w:rFonts w:ascii="Arial" w:cs="Arial" w:eastAsia="Arial" w:hAnsi="Arial"/>
                <w:sz w:val="17"/>
                <w:szCs w:val="17"/>
                <w:color w:val="auto"/>
              </w:rPr>
              <w:t>&lt;1,347.8</w:t>
            </w:r>
          </w:p>
        </w:tc>
        <w:tc>
          <w:tcPr>
            <w:tcW w:w="940" w:type="dxa"/>
            <w:vAlign w:val="bottom"/>
            <w:shd w:val="clear" w:color="auto" w:fill="9DBDE4"/>
          </w:tcPr>
          <w:p>
            <w:pPr>
              <w:jc w:val="center"/>
              <w:spacing w:after="0" w:line="194" w:lineRule="exact"/>
              <w:rPr>
                <w:sz w:val="20"/>
                <w:szCs w:val="20"/>
                <w:color w:val="auto"/>
              </w:rPr>
            </w:pPr>
            <w:r>
              <w:rPr>
                <w:rFonts w:ascii="Arial" w:cs="Arial" w:eastAsia="Arial" w:hAnsi="Arial"/>
                <w:sz w:val="17"/>
                <w:szCs w:val="17"/>
                <w:color w:val="auto"/>
              </w:rPr>
              <w:t>1,347.8</w:t>
            </w:r>
          </w:p>
        </w:tc>
        <w:tc>
          <w:tcPr>
            <w:tcW w:w="780" w:type="dxa"/>
            <w:vAlign w:val="bottom"/>
            <w:shd w:val="clear" w:color="auto" w:fill="9DBDE4"/>
          </w:tcPr>
          <w:p>
            <w:pPr>
              <w:jc w:val="center"/>
              <w:spacing w:after="0" w:line="194" w:lineRule="exact"/>
              <w:rPr>
                <w:sz w:val="20"/>
                <w:szCs w:val="20"/>
                <w:color w:val="auto"/>
              </w:rPr>
            </w:pPr>
            <w:r>
              <w:rPr>
                <w:rFonts w:ascii="Arial" w:cs="Arial" w:eastAsia="Arial" w:hAnsi="Arial"/>
                <w:sz w:val="17"/>
                <w:szCs w:val="17"/>
                <w:color w:val="auto"/>
                <w:w w:val="98"/>
              </w:rPr>
              <w:t>1,409</w:t>
            </w:r>
          </w:p>
        </w:tc>
        <w:tc>
          <w:tcPr>
            <w:tcW w:w="680" w:type="dxa"/>
            <w:vAlign w:val="bottom"/>
            <w:shd w:val="clear" w:color="auto" w:fill="9DBDE4"/>
          </w:tcPr>
          <w:p>
            <w:pPr>
              <w:jc w:val="center"/>
              <w:ind w:left="16"/>
              <w:spacing w:after="0" w:line="194" w:lineRule="exact"/>
              <w:rPr>
                <w:sz w:val="20"/>
                <w:szCs w:val="20"/>
                <w:color w:val="auto"/>
              </w:rPr>
            </w:pPr>
            <w:r>
              <w:rPr>
                <w:rFonts w:ascii="Arial" w:cs="Arial" w:eastAsia="Arial" w:hAnsi="Arial"/>
                <w:sz w:val="17"/>
                <w:szCs w:val="17"/>
                <w:color w:val="auto"/>
              </w:rPr>
              <w:t>1,451.3</w:t>
            </w:r>
          </w:p>
        </w:tc>
      </w:tr>
      <w:tr>
        <w:trPr>
          <w:trHeight w:val="194"/>
        </w:trPr>
        <w:tc>
          <w:tcPr>
            <w:tcW w:w="4960" w:type="dxa"/>
            <w:vAlign w:val="bottom"/>
            <w:tcBorders>
              <w:bottom w:val="single" w:sz="8" w:color="284993"/>
            </w:tcBorders>
          </w:tcPr>
          <w:p>
            <w:pPr>
              <w:ind w:left="80"/>
              <w:spacing w:after="0" w:line="194" w:lineRule="exact"/>
              <w:rPr>
                <w:sz w:val="20"/>
                <w:szCs w:val="20"/>
                <w:color w:val="auto"/>
              </w:rPr>
            </w:pPr>
            <w:r>
              <w:rPr>
                <w:rFonts w:ascii="Arial" w:cs="Arial" w:eastAsia="Arial" w:hAnsi="Arial"/>
                <w:sz w:val="17"/>
                <w:szCs w:val="17"/>
                <w:color w:val="auto"/>
              </w:rPr>
              <w:t>Executive Gross Revenue Growth Payout</w:t>
            </w:r>
          </w:p>
        </w:tc>
        <w:tc>
          <w:tcPr>
            <w:tcW w:w="1960" w:type="dxa"/>
            <w:vAlign w:val="bottom"/>
            <w:tcBorders>
              <w:bottom w:val="single" w:sz="8" w:color="284993"/>
            </w:tcBorders>
          </w:tcPr>
          <w:p>
            <w:pPr>
              <w:jc w:val="center"/>
              <w:ind w:left="436"/>
              <w:spacing w:after="0" w:line="194" w:lineRule="exact"/>
              <w:rPr>
                <w:sz w:val="20"/>
                <w:szCs w:val="20"/>
                <w:color w:val="auto"/>
              </w:rPr>
            </w:pPr>
            <w:r>
              <w:rPr>
                <w:rFonts w:ascii="Arial" w:cs="Arial" w:eastAsia="Arial" w:hAnsi="Arial"/>
                <w:sz w:val="17"/>
                <w:szCs w:val="17"/>
                <w:color w:val="auto"/>
                <w:w w:val="97"/>
              </w:rPr>
              <w:t>0%</w:t>
            </w:r>
          </w:p>
        </w:tc>
        <w:tc>
          <w:tcPr>
            <w:tcW w:w="940" w:type="dxa"/>
            <w:vAlign w:val="bottom"/>
            <w:tcBorders>
              <w:bottom w:val="single" w:sz="8" w:color="284993"/>
            </w:tcBorders>
          </w:tcPr>
          <w:p>
            <w:pPr>
              <w:jc w:val="center"/>
              <w:spacing w:after="0" w:line="194" w:lineRule="exact"/>
              <w:rPr>
                <w:sz w:val="20"/>
                <w:szCs w:val="20"/>
                <w:color w:val="auto"/>
              </w:rPr>
            </w:pPr>
            <w:r>
              <w:rPr>
                <w:rFonts w:ascii="Arial" w:cs="Arial" w:eastAsia="Arial" w:hAnsi="Arial"/>
                <w:sz w:val="17"/>
                <w:szCs w:val="17"/>
                <w:color w:val="auto"/>
                <w:w w:val="99"/>
              </w:rPr>
              <w:t>25%</w:t>
            </w:r>
          </w:p>
        </w:tc>
        <w:tc>
          <w:tcPr>
            <w:tcW w:w="780" w:type="dxa"/>
            <w:vAlign w:val="bottom"/>
            <w:tcBorders>
              <w:bottom w:val="single" w:sz="8" w:color="284993"/>
            </w:tcBorders>
          </w:tcPr>
          <w:p>
            <w:pPr>
              <w:jc w:val="center"/>
              <w:spacing w:after="0" w:line="194" w:lineRule="exact"/>
              <w:rPr>
                <w:sz w:val="20"/>
                <w:szCs w:val="20"/>
                <w:color w:val="auto"/>
              </w:rPr>
            </w:pPr>
            <w:r>
              <w:rPr>
                <w:rFonts w:ascii="Arial" w:cs="Arial" w:eastAsia="Arial" w:hAnsi="Arial"/>
                <w:sz w:val="17"/>
                <w:szCs w:val="17"/>
                <w:color w:val="auto"/>
              </w:rPr>
              <w:t>100.0%</w:t>
            </w:r>
          </w:p>
        </w:tc>
        <w:tc>
          <w:tcPr>
            <w:tcW w:w="680" w:type="dxa"/>
            <w:vAlign w:val="bottom"/>
            <w:tcBorders>
              <w:bottom w:val="single" w:sz="8" w:color="284993"/>
            </w:tcBorders>
          </w:tcPr>
          <w:p>
            <w:pPr>
              <w:jc w:val="center"/>
              <w:spacing w:after="0" w:line="194" w:lineRule="exact"/>
              <w:rPr>
                <w:sz w:val="20"/>
                <w:szCs w:val="20"/>
                <w:color w:val="auto"/>
              </w:rPr>
            </w:pPr>
            <w:r>
              <w:rPr>
                <w:rFonts w:ascii="Arial" w:cs="Arial" w:eastAsia="Arial" w:hAnsi="Arial"/>
                <w:sz w:val="17"/>
                <w:szCs w:val="17"/>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5428615</wp:posOffset>
            </wp:positionH>
            <wp:positionV relativeFrom="paragraph">
              <wp:posOffset>-492760</wp:posOffset>
            </wp:positionV>
            <wp:extent cx="8255" cy="4933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493395"/>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-492760</wp:posOffset>
            </wp:positionV>
            <wp:extent cx="8255" cy="4933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493395"/>
                    </a:xfrm>
                    <a:prstGeom prst="rect">
                      <a:avLst/>
                    </a:prstGeom>
                    <a:noFill/>
                  </pic:spPr>
                </pic:pic>
              </a:graphicData>
            </a:graphic>
          </wp:anchor>
        </w:drawing>
        <w:drawing>
          <wp:anchor simplePos="0" relativeHeight="251657728" behindDoc="1" locked="0" layoutInCell="0" allowOverlap="1">
            <wp:simplePos x="0" y="0"/>
            <wp:positionH relativeFrom="column">
              <wp:posOffset>4335145</wp:posOffset>
            </wp:positionH>
            <wp:positionV relativeFrom="paragraph">
              <wp:posOffset>-492760</wp:posOffset>
            </wp:positionV>
            <wp:extent cx="8255" cy="4933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493395"/>
                    </a:xfrm>
                    <a:prstGeom prst="rect">
                      <a:avLst/>
                    </a:prstGeom>
                    <a:noFill/>
                  </pic:spPr>
                </pic:pic>
              </a:graphicData>
            </a:graphic>
          </wp:anchor>
        </w:drawing>
        <w:drawing>
          <wp:anchor simplePos="0" relativeHeight="251657728" behindDoc="1" locked="0" layoutInCell="0" allowOverlap="1">
            <wp:simplePos x="0" y="0"/>
            <wp:positionH relativeFrom="column">
              <wp:posOffset>3422015</wp:posOffset>
            </wp:positionH>
            <wp:positionV relativeFrom="paragraph">
              <wp:posOffset>-492760</wp:posOffset>
            </wp:positionV>
            <wp:extent cx="8255" cy="4933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493395"/>
                    </a:xfrm>
                    <a:prstGeom prst="rect">
                      <a:avLst/>
                    </a:prstGeom>
                    <a:noFill/>
                  </pic:spPr>
                </pic:pic>
              </a:graphicData>
            </a:graphic>
          </wp:anchor>
        </w:drawing>
      </w:r>
    </w:p>
    <w:p>
      <w:pPr>
        <w:ind w:left="280" w:hanging="278"/>
        <w:spacing w:after="0" w:line="233" w:lineRule="auto"/>
        <w:tabs>
          <w:tab w:leader="none" w:pos="280" w:val="left"/>
        </w:tabs>
        <w:numPr>
          <w:ilvl w:val="0"/>
          <w:numId w:val="42"/>
        </w:numPr>
        <w:rPr>
          <w:rFonts w:ascii="Arial" w:cs="Arial" w:eastAsia="Arial" w:hAnsi="Arial"/>
          <w:sz w:val="18"/>
          <w:szCs w:val="18"/>
          <w:color w:val="auto"/>
          <w:vertAlign w:val="superscript"/>
        </w:rPr>
      </w:pPr>
      <w:r>
        <w:rPr>
          <w:rFonts w:ascii="Arial" w:cs="Arial" w:eastAsia="Arial" w:hAnsi="Arial"/>
          <w:sz w:val="12"/>
          <w:szCs w:val="12"/>
          <w:color w:val="auto"/>
        </w:rPr>
        <w:t>Performance between points is interpolated linearly for funding.</w:t>
      </w:r>
    </w:p>
    <w:p>
      <w:pPr>
        <w:ind w:left="280" w:hanging="278"/>
        <w:spacing w:after="0" w:line="180" w:lineRule="auto"/>
        <w:tabs>
          <w:tab w:leader="none" w:pos="280" w:val="left"/>
        </w:tabs>
        <w:numPr>
          <w:ilvl w:val="0"/>
          <w:numId w:val="42"/>
        </w:numPr>
        <w:rPr>
          <w:rFonts w:ascii="Arial" w:cs="Arial" w:eastAsia="Arial" w:hAnsi="Arial"/>
          <w:sz w:val="17"/>
          <w:szCs w:val="17"/>
          <w:color w:val="auto"/>
          <w:vertAlign w:val="superscript"/>
        </w:rPr>
      </w:pPr>
      <w:r>
        <w:rPr>
          <w:rFonts w:ascii="Arial" w:cs="Arial" w:eastAsia="Arial" w:hAnsi="Arial"/>
          <w:sz w:val="12"/>
          <w:szCs w:val="12"/>
          <w:color w:val="auto"/>
        </w:rPr>
        <w:t>For purposes of the 2022 STIP, “Gross Revenue” means the Gross Revenue for fiscal year 2022 as determined by the Company.</w:t>
      </w:r>
    </w:p>
    <w:p>
      <w:pPr>
        <w:spacing w:after="0" w:line="184" w:lineRule="exact"/>
        <w:rPr>
          <w:sz w:val="20"/>
          <w:szCs w:val="20"/>
          <w:color w:val="auto"/>
        </w:rPr>
      </w:pPr>
    </w:p>
    <w:p>
      <w:pPr>
        <w:jc w:val="both"/>
        <w:ind w:right="180"/>
        <w:spacing w:after="0" w:line="302" w:lineRule="auto"/>
        <w:rPr>
          <w:sz w:val="20"/>
          <w:szCs w:val="20"/>
          <w:color w:val="auto"/>
        </w:rPr>
      </w:pPr>
      <w:r>
        <w:rPr>
          <w:rFonts w:ascii="Arial" w:cs="Arial" w:eastAsia="Arial" w:hAnsi="Arial"/>
          <w:sz w:val="14"/>
          <w:szCs w:val="14"/>
          <w:color w:val="auto"/>
        </w:rPr>
        <w:t>The overall maximum funding of the plan regardless of individual performance is 200%. The overall payout for all participants cannot exceed the overall payout from achievement of the Adjusted EBITDA performance and the Gross Revenue Growth performance. The overall payout for the plan for any Named Executive Officer cannot exceed 200% of his or her annual target incentive amount.</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Compensation Committee approved this plan design because this design aligns with our strategy of driving profitable growth for the company, which is critical to shareholders and long-term success.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284993"/>
        </w:rPr>
        <w:t>Plan Terms – Individual Performance</w:t>
      </w:r>
    </w:p>
    <w:p>
      <w:pPr>
        <w:spacing w:after="0" w:line="107"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Each Named Executive Officer and other executive officers may have their payout under the 2022 STIP adjusted up or down by 10% based on a subjective evaluation of individual job performance.</w:t>
      </w:r>
    </w:p>
    <w:p>
      <w:pPr>
        <w:spacing w:after="0" w:line="167" w:lineRule="exact"/>
        <w:rPr>
          <w:sz w:val="20"/>
          <w:szCs w:val="20"/>
          <w:color w:val="auto"/>
        </w:rPr>
      </w:pPr>
    </w:p>
    <w:p>
      <w:pPr>
        <w:ind w:right="140"/>
        <w:spacing w:after="0" w:line="302" w:lineRule="auto"/>
        <w:rPr>
          <w:sz w:val="20"/>
          <w:szCs w:val="20"/>
          <w:color w:val="auto"/>
        </w:rPr>
      </w:pPr>
      <w:r>
        <w:rPr>
          <w:rFonts w:ascii="Arial" w:cs="Arial" w:eastAsia="Arial" w:hAnsi="Arial"/>
          <w:sz w:val="14"/>
          <w:szCs w:val="14"/>
          <w:color w:val="auto"/>
        </w:rPr>
        <w:t>The CEO recommends any adjustments for the other executive officers based on their overall job performance. The overall payout for all participants cannot exceed the aggregate funded STIP payout for all participants based on the achievement of the corporate objectives. In addition, the overall payout for any executive officer cannot exceed 200% of his or her annual target incentive amount.</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For 2022, the Interim CEO recommended (and the Compensation Committee approved) adjustments to the Named Executive Officers’ final STIP payouts, as reflected below.</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284993"/>
        </w:rPr>
        <w:t>Annual Cash Incentive Award Decision – 2022 STIP</w:t>
      </w:r>
    </w:p>
    <w:p>
      <w:pPr>
        <w:spacing w:after="0" w:line="107"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In February 2023, the Compensation Committee determined the amounts to be paid under the 2022 STIP. 2022 Adjusted EBITDA was $381 million, which resulted in a formulaic payout percentage to all the Named Executive Officers of 50% of their target bonuses with respect to such metric. 2022 Gross Revenue was $1,440 million, which resulted in a formulaic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80010</wp:posOffset>
            </wp:positionV>
            <wp:extent cx="699135" cy="1314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60</w:t>
      </w:r>
    </w:p>
    <w:p>
      <w:pPr>
        <w:sectPr>
          <w:pgSz w:w="11900" w:h="16838" w:orient="portrait"/>
          <w:cols w:equalWidth="0" w:num="1">
            <w:col w:w="9320"/>
          </w:cols>
          <w:pgMar w:left="1280" w:top="291" w:right="1299" w:bottom="1440" w:gutter="0" w:footer="0" w:header="0"/>
        </w:sectPr>
      </w:pPr>
    </w:p>
    <w:bookmarkStart w:id="66" w:name="page67"/>
    <w:bookmarkEnd w:id="66"/>
    <w:p>
      <w:pPr>
        <w:ind w:right="20"/>
        <w:spacing w:after="0" w:line="2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percentage to all of the Named Executive Officers of 174% of each of their target bonuses with respect to such metric. The combined overall STIP payout percentage for Company performance based on the formula was 112% of target. However, the Interim CEO, using his discretion, recommended (and the Compensation Committee approved) reducing such formulaic payout percentage for the Named Executive Officers to 94% to better reflect our performance for 2022. The CEO also recommended (and the Compensation Committee approved) additional adjustments to each Named Executive Officer’s actual payout based on his subjective evaluation of their individual job performance. The payouts are shown in the table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shd w:val="clear" w:color="auto" w:fill="284993"/>
          </w:tcPr>
          <w:p>
            <w:pPr>
              <w:spacing w:after="0"/>
              <w:rPr>
                <w:sz w:val="16"/>
                <w:szCs w:val="16"/>
                <w:color w:val="auto"/>
              </w:rPr>
            </w:pPr>
          </w:p>
        </w:tc>
        <w:tc>
          <w:tcPr>
            <w:tcW w:w="1540" w:type="dxa"/>
            <w:vAlign w:val="bottom"/>
            <w:shd w:val="clear" w:color="auto" w:fill="284993"/>
          </w:tcPr>
          <w:p>
            <w:pPr>
              <w:jc w:val="center"/>
              <w:ind w:left="238"/>
              <w:spacing w:after="0"/>
              <w:rPr>
                <w:sz w:val="20"/>
                <w:szCs w:val="20"/>
                <w:color w:val="auto"/>
              </w:rPr>
            </w:pPr>
            <w:r>
              <w:rPr>
                <w:rFonts w:ascii="Arial" w:cs="Arial" w:eastAsia="Arial" w:hAnsi="Arial"/>
                <w:sz w:val="16"/>
                <w:szCs w:val="16"/>
                <w:b w:val="1"/>
                <w:bCs w:val="1"/>
                <w:color w:val="FFFFFF"/>
                <w:w w:val="96"/>
              </w:rPr>
              <w:t>2022 Target</w:t>
            </w:r>
          </w:p>
        </w:tc>
        <w:tc>
          <w:tcPr>
            <w:tcW w:w="1320" w:type="dxa"/>
            <w:vAlign w:val="bottom"/>
            <w:shd w:val="clear" w:color="auto" w:fill="284993"/>
          </w:tcPr>
          <w:p>
            <w:pPr>
              <w:spacing w:after="0"/>
              <w:rPr>
                <w:sz w:val="16"/>
                <w:szCs w:val="16"/>
                <w:color w:val="auto"/>
              </w:rPr>
            </w:pPr>
          </w:p>
        </w:tc>
        <w:tc>
          <w:tcPr>
            <w:tcW w:w="150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5"/>
              </w:rPr>
              <w:t>2022</w:t>
            </w:r>
          </w:p>
        </w:tc>
        <w:tc>
          <w:tcPr>
            <w:tcW w:w="1040" w:type="dxa"/>
            <w:vAlign w:val="bottom"/>
            <w:shd w:val="clear" w:color="auto" w:fill="284993"/>
          </w:tcPr>
          <w:p>
            <w:pPr>
              <w:spacing w:after="0"/>
              <w:rPr>
                <w:sz w:val="16"/>
                <w:szCs w:val="16"/>
                <w:color w:val="auto"/>
              </w:rPr>
            </w:pPr>
          </w:p>
        </w:tc>
        <w:tc>
          <w:tcPr>
            <w:tcW w:w="1500" w:type="dxa"/>
            <w:vAlign w:val="bottom"/>
            <w:shd w:val="clear" w:color="auto" w:fill="284993"/>
          </w:tcPr>
          <w:p>
            <w:pPr>
              <w:spacing w:after="0"/>
              <w:rPr>
                <w:sz w:val="16"/>
                <w:szCs w:val="16"/>
                <w:color w:val="auto"/>
              </w:rPr>
            </w:pPr>
          </w:p>
        </w:tc>
      </w:tr>
      <w:tr>
        <w:trPr>
          <w:trHeight w:val="181"/>
        </w:trPr>
        <w:tc>
          <w:tcPr>
            <w:tcW w:w="2420" w:type="dxa"/>
            <w:vAlign w:val="bottom"/>
            <w:shd w:val="clear" w:color="auto" w:fill="284993"/>
          </w:tcPr>
          <w:p>
            <w:pPr>
              <w:spacing w:after="0"/>
              <w:rPr>
                <w:sz w:val="15"/>
                <w:szCs w:val="15"/>
                <w:color w:val="auto"/>
              </w:rPr>
            </w:pPr>
          </w:p>
        </w:tc>
        <w:tc>
          <w:tcPr>
            <w:tcW w:w="1540" w:type="dxa"/>
            <w:vAlign w:val="bottom"/>
            <w:shd w:val="clear" w:color="auto" w:fill="284993"/>
          </w:tcPr>
          <w:p>
            <w:pPr>
              <w:ind w:left="460"/>
              <w:spacing w:after="0" w:line="181" w:lineRule="exact"/>
              <w:rPr>
                <w:sz w:val="20"/>
                <w:szCs w:val="20"/>
                <w:color w:val="auto"/>
              </w:rPr>
            </w:pPr>
            <w:r>
              <w:rPr>
                <w:rFonts w:ascii="Arial" w:cs="Arial" w:eastAsia="Arial" w:hAnsi="Arial"/>
                <w:sz w:val="16"/>
                <w:szCs w:val="16"/>
                <w:b w:val="1"/>
                <w:bCs w:val="1"/>
                <w:color w:val="FFFFFF"/>
              </w:rPr>
              <w:t>Annual Cash</w:t>
            </w:r>
          </w:p>
        </w:tc>
        <w:tc>
          <w:tcPr>
            <w:tcW w:w="1320" w:type="dxa"/>
            <w:vAlign w:val="bottom"/>
            <w:shd w:val="clear" w:color="auto" w:fill="284993"/>
          </w:tcPr>
          <w:p>
            <w:pPr>
              <w:jc w:val="center"/>
              <w:ind w:right="58"/>
              <w:spacing w:after="0" w:line="181" w:lineRule="exact"/>
              <w:rPr>
                <w:sz w:val="20"/>
                <w:szCs w:val="20"/>
                <w:color w:val="auto"/>
              </w:rPr>
            </w:pPr>
            <w:r>
              <w:rPr>
                <w:rFonts w:ascii="Arial" w:cs="Arial" w:eastAsia="Arial" w:hAnsi="Arial"/>
                <w:sz w:val="16"/>
                <w:szCs w:val="16"/>
                <w:b w:val="1"/>
                <w:bCs w:val="1"/>
                <w:color w:val="FFFFFF"/>
                <w:w w:val="96"/>
              </w:rPr>
              <w:t>2022 Target</w:t>
            </w:r>
          </w:p>
        </w:tc>
        <w:tc>
          <w:tcPr>
            <w:tcW w:w="15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3"/>
              </w:rPr>
              <w:t>Payout</w:t>
            </w:r>
          </w:p>
        </w:tc>
        <w:tc>
          <w:tcPr>
            <w:tcW w:w="1040" w:type="dxa"/>
            <w:vAlign w:val="bottom"/>
            <w:shd w:val="clear" w:color="auto" w:fill="284993"/>
          </w:tcPr>
          <w:p>
            <w:pPr>
              <w:spacing w:after="0"/>
              <w:rPr>
                <w:sz w:val="15"/>
                <w:szCs w:val="15"/>
                <w:color w:val="auto"/>
              </w:rPr>
            </w:pPr>
          </w:p>
        </w:tc>
        <w:tc>
          <w:tcPr>
            <w:tcW w:w="15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6"/>
              </w:rPr>
              <w:t>2022 Actual</w:t>
            </w:r>
          </w:p>
        </w:tc>
      </w:tr>
      <w:tr>
        <w:trPr>
          <w:trHeight w:val="181"/>
        </w:trPr>
        <w:tc>
          <w:tcPr>
            <w:tcW w:w="2420" w:type="dxa"/>
            <w:vAlign w:val="bottom"/>
            <w:shd w:val="clear" w:color="auto" w:fill="284993"/>
          </w:tcPr>
          <w:p>
            <w:pPr>
              <w:spacing w:after="0"/>
              <w:rPr>
                <w:sz w:val="15"/>
                <w:szCs w:val="15"/>
                <w:color w:val="auto"/>
              </w:rPr>
            </w:pPr>
          </w:p>
        </w:tc>
        <w:tc>
          <w:tcPr>
            <w:tcW w:w="1540" w:type="dxa"/>
            <w:vAlign w:val="bottom"/>
            <w:shd w:val="clear" w:color="auto" w:fill="284993"/>
          </w:tcPr>
          <w:p>
            <w:pPr>
              <w:jc w:val="center"/>
              <w:ind w:left="258"/>
              <w:spacing w:after="0" w:line="181" w:lineRule="exact"/>
              <w:rPr>
                <w:sz w:val="20"/>
                <w:szCs w:val="20"/>
                <w:color w:val="auto"/>
              </w:rPr>
            </w:pPr>
            <w:r>
              <w:rPr>
                <w:rFonts w:ascii="Arial" w:cs="Arial" w:eastAsia="Arial" w:hAnsi="Arial"/>
                <w:sz w:val="16"/>
                <w:szCs w:val="16"/>
                <w:b w:val="1"/>
                <w:bCs w:val="1"/>
                <w:color w:val="FFFFFF"/>
                <w:w w:val="97"/>
              </w:rPr>
              <w:t>Incentive</w:t>
            </w:r>
          </w:p>
        </w:tc>
        <w:tc>
          <w:tcPr>
            <w:tcW w:w="1320" w:type="dxa"/>
            <w:vAlign w:val="bottom"/>
            <w:shd w:val="clear" w:color="auto" w:fill="284993"/>
          </w:tcPr>
          <w:p>
            <w:pPr>
              <w:jc w:val="right"/>
              <w:ind w:right="178"/>
              <w:spacing w:after="0" w:line="181" w:lineRule="exact"/>
              <w:rPr>
                <w:sz w:val="20"/>
                <w:szCs w:val="20"/>
                <w:color w:val="auto"/>
              </w:rPr>
            </w:pPr>
            <w:r>
              <w:rPr>
                <w:rFonts w:ascii="Arial" w:cs="Arial" w:eastAsia="Arial" w:hAnsi="Arial"/>
                <w:sz w:val="16"/>
                <w:szCs w:val="16"/>
                <w:b w:val="1"/>
                <w:bCs w:val="1"/>
                <w:color w:val="FFFFFF"/>
              </w:rPr>
              <w:t>Annual Cash</w:t>
            </w:r>
          </w:p>
        </w:tc>
        <w:tc>
          <w:tcPr>
            <w:tcW w:w="15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5"/>
              </w:rPr>
              <w:t>Percentage</w:t>
            </w:r>
          </w:p>
        </w:tc>
        <w:tc>
          <w:tcPr>
            <w:tcW w:w="1040" w:type="dxa"/>
            <w:vAlign w:val="bottom"/>
            <w:shd w:val="clear" w:color="auto" w:fill="284993"/>
          </w:tcPr>
          <w:p>
            <w:pPr>
              <w:spacing w:after="0"/>
              <w:rPr>
                <w:sz w:val="15"/>
                <w:szCs w:val="15"/>
                <w:color w:val="auto"/>
              </w:rPr>
            </w:pPr>
          </w:p>
        </w:tc>
        <w:tc>
          <w:tcPr>
            <w:tcW w:w="15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8"/>
              </w:rPr>
              <w:t>Annual Cash</w:t>
            </w:r>
          </w:p>
        </w:tc>
      </w:tr>
      <w:tr>
        <w:trPr>
          <w:trHeight w:val="181"/>
        </w:trPr>
        <w:tc>
          <w:tcPr>
            <w:tcW w:w="2420" w:type="dxa"/>
            <w:vAlign w:val="bottom"/>
            <w:shd w:val="clear" w:color="auto" w:fill="284993"/>
          </w:tcPr>
          <w:p>
            <w:pPr>
              <w:spacing w:after="0"/>
              <w:rPr>
                <w:sz w:val="15"/>
                <w:szCs w:val="15"/>
                <w:color w:val="auto"/>
              </w:rPr>
            </w:pPr>
          </w:p>
        </w:tc>
        <w:tc>
          <w:tcPr>
            <w:tcW w:w="1540" w:type="dxa"/>
            <w:vAlign w:val="bottom"/>
            <w:shd w:val="clear" w:color="auto" w:fill="284993"/>
          </w:tcPr>
          <w:p>
            <w:pPr>
              <w:jc w:val="center"/>
              <w:ind w:left="258"/>
              <w:spacing w:after="0" w:line="181" w:lineRule="exact"/>
              <w:rPr>
                <w:sz w:val="20"/>
                <w:szCs w:val="20"/>
                <w:color w:val="auto"/>
              </w:rPr>
            </w:pPr>
            <w:r>
              <w:rPr>
                <w:rFonts w:ascii="Arial" w:cs="Arial" w:eastAsia="Arial" w:hAnsi="Arial"/>
                <w:sz w:val="16"/>
                <w:szCs w:val="16"/>
                <w:b w:val="1"/>
                <w:bCs w:val="1"/>
                <w:color w:val="FFFFFF"/>
                <w:w w:val="98"/>
              </w:rPr>
              <w:t>Award</w:t>
            </w:r>
          </w:p>
        </w:tc>
        <w:tc>
          <w:tcPr>
            <w:tcW w:w="1320" w:type="dxa"/>
            <w:vAlign w:val="bottom"/>
            <w:shd w:val="clear" w:color="auto" w:fill="284993"/>
          </w:tcPr>
          <w:p>
            <w:pPr>
              <w:jc w:val="center"/>
              <w:ind w:right="58"/>
              <w:spacing w:after="0" w:line="181" w:lineRule="exact"/>
              <w:rPr>
                <w:sz w:val="20"/>
                <w:szCs w:val="20"/>
                <w:color w:val="auto"/>
              </w:rPr>
            </w:pPr>
            <w:r>
              <w:rPr>
                <w:rFonts w:ascii="Arial" w:cs="Arial" w:eastAsia="Arial" w:hAnsi="Arial"/>
                <w:sz w:val="16"/>
                <w:szCs w:val="16"/>
                <w:b w:val="1"/>
                <w:bCs w:val="1"/>
                <w:color w:val="FFFFFF"/>
                <w:w w:val="95"/>
              </w:rPr>
              <w:t>Incentive</w:t>
            </w:r>
          </w:p>
        </w:tc>
        <w:tc>
          <w:tcPr>
            <w:tcW w:w="15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5"/>
              </w:rPr>
              <w:t>for Company</w:t>
            </w:r>
          </w:p>
        </w:tc>
        <w:tc>
          <w:tcPr>
            <w:tcW w:w="10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6"/>
              </w:rPr>
              <w:t>Final</w:t>
            </w:r>
          </w:p>
        </w:tc>
        <w:tc>
          <w:tcPr>
            <w:tcW w:w="15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Incentive</w:t>
            </w:r>
          </w:p>
        </w:tc>
      </w:tr>
      <w:tr>
        <w:trPr>
          <w:trHeight w:val="181"/>
        </w:trPr>
        <w:tc>
          <w:tcPr>
            <w:tcW w:w="2420" w:type="dxa"/>
            <w:vAlign w:val="bottom"/>
            <w:shd w:val="clear" w:color="auto" w:fill="284993"/>
          </w:tcPr>
          <w:p>
            <w:pPr>
              <w:spacing w:after="0"/>
              <w:rPr>
                <w:sz w:val="15"/>
                <w:szCs w:val="15"/>
                <w:color w:val="auto"/>
              </w:rPr>
            </w:pPr>
          </w:p>
        </w:tc>
        <w:tc>
          <w:tcPr>
            <w:tcW w:w="1540" w:type="dxa"/>
            <w:vAlign w:val="bottom"/>
            <w:shd w:val="clear" w:color="auto" w:fill="284993"/>
          </w:tcPr>
          <w:p>
            <w:pPr>
              <w:jc w:val="center"/>
              <w:ind w:left="258"/>
              <w:spacing w:after="0" w:line="181" w:lineRule="exact"/>
              <w:rPr>
                <w:sz w:val="20"/>
                <w:szCs w:val="20"/>
                <w:color w:val="auto"/>
              </w:rPr>
            </w:pPr>
            <w:r>
              <w:rPr>
                <w:rFonts w:ascii="Arial" w:cs="Arial" w:eastAsia="Arial" w:hAnsi="Arial"/>
                <w:sz w:val="16"/>
                <w:szCs w:val="16"/>
                <w:b w:val="1"/>
                <w:bCs w:val="1"/>
                <w:color w:val="FFFFFF"/>
                <w:w w:val="96"/>
              </w:rPr>
              <w:t>Opportunity</w:t>
            </w:r>
          </w:p>
        </w:tc>
        <w:tc>
          <w:tcPr>
            <w:tcW w:w="1320" w:type="dxa"/>
            <w:vAlign w:val="bottom"/>
            <w:shd w:val="clear" w:color="auto" w:fill="284993"/>
          </w:tcPr>
          <w:p>
            <w:pPr>
              <w:jc w:val="center"/>
              <w:ind w:right="58"/>
              <w:spacing w:after="0" w:line="181" w:lineRule="exact"/>
              <w:rPr>
                <w:sz w:val="20"/>
                <w:szCs w:val="20"/>
                <w:color w:val="auto"/>
              </w:rPr>
            </w:pPr>
            <w:r>
              <w:rPr>
                <w:rFonts w:ascii="Arial" w:cs="Arial" w:eastAsia="Arial" w:hAnsi="Arial"/>
                <w:sz w:val="16"/>
                <w:szCs w:val="16"/>
                <w:b w:val="1"/>
                <w:bCs w:val="1"/>
                <w:color w:val="FFFFFF"/>
                <w:w w:val="93"/>
              </w:rPr>
              <w:t>Award</w:t>
            </w:r>
          </w:p>
        </w:tc>
        <w:tc>
          <w:tcPr>
            <w:tcW w:w="15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6"/>
              </w:rPr>
              <w:t>Performance</w:t>
            </w:r>
          </w:p>
        </w:tc>
        <w:tc>
          <w:tcPr>
            <w:tcW w:w="10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Payout</w:t>
            </w:r>
          </w:p>
        </w:tc>
        <w:tc>
          <w:tcPr>
            <w:tcW w:w="15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8"/>
              </w:rPr>
              <w:t>Award</w:t>
            </w:r>
          </w:p>
        </w:tc>
      </w:tr>
      <w:tr>
        <w:trPr>
          <w:trHeight w:val="181"/>
        </w:trPr>
        <w:tc>
          <w:tcPr>
            <w:tcW w:w="2420" w:type="dxa"/>
            <w:vAlign w:val="bottom"/>
            <w:shd w:val="clear" w:color="auto" w:fill="284993"/>
          </w:tcPr>
          <w:p>
            <w:pPr>
              <w:spacing w:after="0"/>
              <w:rPr>
                <w:sz w:val="15"/>
                <w:szCs w:val="15"/>
                <w:color w:val="auto"/>
              </w:rPr>
            </w:pPr>
          </w:p>
        </w:tc>
        <w:tc>
          <w:tcPr>
            <w:tcW w:w="1540" w:type="dxa"/>
            <w:vAlign w:val="bottom"/>
            <w:shd w:val="clear" w:color="auto" w:fill="284993"/>
          </w:tcPr>
          <w:p>
            <w:pPr>
              <w:jc w:val="center"/>
              <w:ind w:left="238"/>
              <w:spacing w:after="0" w:line="181" w:lineRule="exact"/>
              <w:rPr>
                <w:sz w:val="20"/>
                <w:szCs w:val="20"/>
                <w:color w:val="auto"/>
              </w:rPr>
            </w:pPr>
            <w:r>
              <w:rPr>
                <w:rFonts w:ascii="Arial" w:cs="Arial" w:eastAsia="Arial" w:hAnsi="Arial"/>
                <w:sz w:val="16"/>
                <w:szCs w:val="16"/>
                <w:b w:val="1"/>
                <w:bCs w:val="1"/>
                <w:color w:val="FFFFFF"/>
                <w:w w:val="97"/>
              </w:rPr>
              <w:t>(% of</w:t>
            </w:r>
          </w:p>
        </w:tc>
        <w:tc>
          <w:tcPr>
            <w:tcW w:w="1320" w:type="dxa"/>
            <w:vAlign w:val="bottom"/>
            <w:shd w:val="clear" w:color="auto" w:fill="284993"/>
          </w:tcPr>
          <w:p>
            <w:pPr>
              <w:jc w:val="center"/>
              <w:ind w:right="58"/>
              <w:spacing w:after="0" w:line="181" w:lineRule="exact"/>
              <w:rPr>
                <w:sz w:val="20"/>
                <w:szCs w:val="20"/>
                <w:color w:val="auto"/>
              </w:rPr>
            </w:pPr>
            <w:r>
              <w:rPr>
                <w:rFonts w:ascii="Arial" w:cs="Arial" w:eastAsia="Arial" w:hAnsi="Arial"/>
                <w:sz w:val="16"/>
                <w:szCs w:val="16"/>
                <w:b w:val="1"/>
                <w:bCs w:val="1"/>
                <w:color w:val="FFFFFF"/>
                <w:w w:val="98"/>
              </w:rPr>
              <w:t>Opportunity</w:t>
            </w:r>
          </w:p>
        </w:tc>
        <w:tc>
          <w:tcPr>
            <w:tcW w:w="15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 of</w:t>
            </w:r>
          </w:p>
        </w:tc>
        <w:tc>
          <w:tcPr>
            <w:tcW w:w="10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 of</w:t>
            </w:r>
          </w:p>
        </w:tc>
        <w:tc>
          <w:tcPr>
            <w:tcW w:w="150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Payout</w:t>
            </w:r>
          </w:p>
        </w:tc>
      </w:tr>
      <w:tr>
        <w:trPr>
          <w:trHeight w:val="195"/>
        </w:trPr>
        <w:tc>
          <w:tcPr>
            <w:tcW w:w="2420" w:type="dxa"/>
            <w:vAlign w:val="bottom"/>
            <w:shd w:val="clear" w:color="auto" w:fill="284993"/>
          </w:tcPr>
          <w:p>
            <w:pPr>
              <w:ind w:left="140"/>
              <w:spacing w:after="0"/>
              <w:rPr>
                <w:sz w:val="20"/>
                <w:szCs w:val="20"/>
                <w:color w:val="auto"/>
              </w:rPr>
            </w:pPr>
            <w:r>
              <w:rPr>
                <w:rFonts w:ascii="Arial" w:cs="Arial" w:eastAsia="Arial" w:hAnsi="Arial"/>
                <w:sz w:val="16"/>
                <w:szCs w:val="16"/>
                <w:b w:val="1"/>
                <w:bCs w:val="1"/>
                <w:color w:val="FFFFFF"/>
              </w:rPr>
              <w:t>Named Executive Officer</w:t>
            </w:r>
          </w:p>
        </w:tc>
        <w:tc>
          <w:tcPr>
            <w:tcW w:w="1540" w:type="dxa"/>
            <w:vAlign w:val="bottom"/>
            <w:shd w:val="clear" w:color="auto" w:fill="284993"/>
          </w:tcPr>
          <w:p>
            <w:pPr>
              <w:ind w:left="480"/>
              <w:spacing w:after="0"/>
              <w:rPr>
                <w:sz w:val="20"/>
                <w:szCs w:val="20"/>
                <w:color w:val="auto"/>
              </w:rPr>
            </w:pPr>
            <w:r>
              <w:rPr>
                <w:rFonts w:ascii="Arial" w:cs="Arial" w:eastAsia="Arial" w:hAnsi="Arial"/>
                <w:sz w:val="16"/>
                <w:szCs w:val="16"/>
                <w:b w:val="1"/>
                <w:bCs w:val="1"/>
                <w:color w:val="FFFFFF"/>
              </w:rPr>
              <w:t>base salary)</w:t>
            </w:r>
          </w:p>
        </w:tc>
        <w:tc>
          <w:tcPr>
            <w:tcW w:w="1320" w:type="dxa"/>
            <w:vAlign w:val="bottom"/>
            <w:shd w:val="clear" w:color="auto" w:fill="284993"/>
          </w:tcPr>
          <w:p>
            <w:pPr>
              <w:jc w:val="center"/>
              <w:ind w:right="58"/>
              <w:spacing w:after="0"/>
              <w:rPr>
                <w:sz w:val="20"/>
                <w:szCs w:val="20"/>
                <w:color w:val="auto"/>
              </w:rPr>
            </w:pPr>
            <w:r>
              <w:rPr>
                <w:rFonts w:ascii="Arial" w:cs="Arial" w:eastAsia="Arial" w:hAnsi="Arial"/>
                <w:sz w:val="16"/>
                <w:szCs w:val="16"/>
                <w:b w:val="1"/>
                <w:bCs w:val="1"/>
                <w:color w:val="FFFFFF"/>
                <w:w w:val="91"/>
              </w:rPr>
              <w:t>($)</w:t>
            </w:r>
          </w:p>
        </w:tc>
        <w:tc>
          <w:tcPr>
            <w:tcW w:w="150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rPr>
              <w:t>target)</w:t>
            </w:r>
          </w:p>
        </w:tc>
        <w:tc>
          <w:tcPr>
            <w:tcW w:w="10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6"/>
              </w:rPr>
              <w:t>target)</w:t>
            </w:r>
          </w:p>
        </w:tc>
        <w:tc>
          <w:tcPr>
            <w:tcW w:w="150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rPr>
              <w:t>($)</w:t>
            </w:r>
          </w:p>
        </w:tc>
      </w:tr>
      <w:tr>
        <w:trPr>
          <w:trHeight w:val="194"/>
        </w:trPr>
        <w:tc>
          <w:tcPr>
            <w:tcW w:w="2420" w:type="dxa"/>
            <w:vAlign w:val="bottom"/>
          </w:tcPr>
          <w:p>
            <w:pPr>
              <w:ind w:left="100"/>
              <w:spacing w:after="0" w:line="194" w:lineRule="exact"/>
              <w:rPr>
                <w:sz w:val="20"/>
                <w:szCs w:val="20"/>
                <w:color w:val="auto"/>
              </w:rPr>
            </w:pPr>
            <w:r>
              <w:rPr>
                <w:rFonts w:ascii="Arial" w:cs="Arial" w:eastAsia="Arial" w:hAnsi="Arial"/>
                <w:sz w:val="15"/>
                <w:szCs w:val="15"/>
                <w:color w:val="auto"/>
              </w:rPr>
              <w:t>Odilon Almeida</w:t>
            </w:r>
            <w:r>
              <w:rPr>
                <w:rFonts w:ascii="Arial" w:cs="Arial" w:eastAsia="Arial" w:hAnsi="Arial"/>
                <w:sz w:val="22"/>
                <w:szCs w:val="22"/>
                <w:color w:val="auto"/>
                <w:vertAlign w:val="superscript"/>
              </w:rPr>
              <w:t>(1)</w:t>
            </w:r>
          </w:p>
        </w:tc>
        <w:tc>
          <w:tcPr>
            <w:tcW w:w="1540" w:type="dxa"/>
            <w:vAlign w:val="bottom"/>
          </w:tcPr>
          <w:p>
            <w:pPr>
              <w:ind w:left="460"/>
              <w:spacing w:after="0" w:line="194" w:lineRule="exact"/>
              <w:rPr>
                <w:sz w:val="20"/>
                <w:szCs w:val="20"/>
                <w:color w:val="auto"/>
              </w:rPr>
            </w:pPr>
            <w:r>
              <w:rPr>
                <w:rFonts w:ascii="Arial" w:cs="Arial" w:eastAsia="Arial" w:hAnsi="Arial"/>
                <w:sz w:val="17"/>
                <w:szCs w:val="17"/>
                <w:color w:val="auto"/>
              </w:rPr>
              <w:t>100%</w:t>
            </w:r>
          </w:p>
        </w:tc>
        <w:tc>
          <w:tcPr>
            <w:tcW w:w="1320" w:type="dxa"/>
            <w:vAlign w:val="bottom"/>
          </w:tcPr>
          <w:p>
            <w:pPr>
              <w:jc w:val="right"/>
              <w:ind w:right="178"/>
              <w:spacing w:after="0" w:line="194" w:lineRule="exact"/>
              <w:rPr>
                <w:sz w:val="20"/>
                <w:szCs w:val="20"/>
                <w:color w:val="auto"/>
              </w:rPr>
            </w:pPr>
            <w:r>
              <w:rPr>
                <w:rFonts w:ascii="Arial" w:cs="Arial" w:eastAsia="Arial" w:hAnsi="Arial"/>
                <w:sz w:val="17"/>
                <w:szCs w:val="17"/>
                <w:color w:val="auto"/>
              </w:rPr>
              <w:t>$700,000</w:t>
            </w:r>
          </w:p>
        </w:tc>
        <w:tc>
          <w:tcPr>
            <w:tcW w:w="1500" w:type="dxa"/>
            <w:vAlign w:val="bottom"/>
          </w:tcPr>
          <w:p>
            <w:pPr>
              <w:jc w:val="right"/>
              <w:ind w:right="178"/>
              <w:spacing w:after="0" w:line="194" w:lineRule="exact"/>
              <w:rPr>
                <w:sz w:val="20"/>
                <w:szCs w:val="20"/>
                <w:color w:val="auto"/>
              </w:rPr>
            </w:pPr>
            <w:r>
              <w:rPr>
                <w:rFonts w:ascii="Arial" w:cs="Arial" w:eastAsia="Arial" w:hAnsi="Arial"/>
                <w:sz w:val="17"/>
                <w:szCs w:val="17"/>
                <w:color w:val="auto"/>
              </w:rPr>
              <w:t>0%</w:t>
            </w:r>
          </w:p>
        </w:tc>
        <w:tc>
          <w:tcPr>
            <w:tcW w:w="1040" w:type="dxa"/>
            <w:vAlign w:val="bottom"/>
          </w:tcPr>
          <w:p>
            <w:pPr>
              <w:jc w:val="right"/>
              <w:ind w:right="177"/>
              <w:spacing w:after="0" w:line="194" w:lineRule="exact"/>
              <w:rPr>
                <w:sz w:val="20"/>
                <w:szCs w:val="20"/>
                <w:color w:val="auto"/>
              </w:rPr>
            </w:pPr>
            <w:r>
              <w:rPr>
                <w:rFonts w:ascii="Arial" w:cs="Arial" w:eastAsia="Arial" w:hAnsi="Arial"/>
                <w:sz w:val="17"/>
                <w:szCs w:val="17"/>
                <w:color w:val="auto"/>
              </w:rPr>
              <w:t>0%</w:t>
            </w:r>
          </w:p>
        </w:tc>
        <w:tc>
          <w:tcPr>
            <w:tcW w:w="1500" w:type="dxa"/>
            <w:vAlign w:val="bottom"/>
          </w:tcPr>
          <w:p>
            <w:pPr>
              <w:jc w:val="right"/>
              <w:ind w:right="198"/>
              <w:spacing w:after="0" w:line="194" w:lineRule="exact"/>
              <w:rPr>
                <w:sz w:val="20"/>
                <w:szCs w:val="20"/>
                <w:color w:val="auto"/>
              </w:rPr>
            </w:pPr>
            <w:r>
              <w:rPr>
                <w:rFonts w:ascii="Arial" w:cs="Arial" w:eastAsia="Arial" w:hAnsi="Arial"/>
                <w:sz w:val="17"/>
                <w:szCs w:val="17"/>
                <w:color w:val="auto"/>
              </w:rPr>
              <w:t>$0</w:t>
            </w:r>
          </w:p>
        </w:tc>
      </w:tr>
      <w:tr>
        <w:trPr>
          <w:trHeight w:val="194"/>
        </w:trPr>
        <w:tc>
          <w:tcPr>
            <w:tcW w:w="2420" w:type="dxa"/>
            <w:vAlign w:val="bottom"/>
            <w:shd w:val="clear" w:color="auto" w:fill="9DBDE4"/>
          </w:tcPr>
          <w:p>
            <w:pPr>
              <w:ind w:left="100"/>
              <w:spacing w:after="0" w:line="194" w:lineRule="exact"/>
              <w:rPr>
                <w:sz w:val="20"/>
                <w:szCs w:val="20"/>
                <w:color w:val="auto"/>
              </w:rPr>
            </w:pPr>
            <w:r>
              <w:rPr>
                <w:rFonts w:ascii="Arial" w:cs="Arial" w:eastAsia="Arial" w:hAnsi="Arial"/>
                <w:sz w:val="17"/>
                <w:szCs w:val="17"/>
                <w:color w:val="auto"/>
              </w:rPr>
              <w:t>Scott W. Behrens</w:t>
            </w:r>
          </w:p>
        </w:tc>
        <w:tc>
          <w:tcPr>
            <w:tcW w:w="1540" w:type="dxa"/>
            <w:vAlign w:val="bottom"/>
            <w:shd w:val="clear" w:color="auto" w:fill="9DBDE4"/>
          </w:tcPr>
          <w:p>
            <w:pPr>
              <w:ind w:left="460"/>
              <w:spacing w:after="0" w:line="194" w:lineRule="exact"/>
              <w:rPr>
                <w:sz w:val="20"/>
                <w:szCs w:val="20"/>
                <w:color w:val="auto"/>
              </w:rPr>
            </w:pPr>
            <w:r>
              <w:rPr>
                <w:rFonts w:ascii="Arial" w:cs="Arial" w:eastAsia="Arial" w:hAnsi="Arial"/>
                <w:sz w:val="17"/>
                <w:szCs w:val="17"/>
                <w:color w:val="auto"/>
              </w:rPr>
              <w:t>100%</w:t>
            </w:r>
          </w:p>
        </w:tc>
        <w:tc>
          <w:tcPr>
            <w:tcW w:w="1320" w:type="dxa"/>
            <w:vAlign w:val="bottom"/>
            <w:shd w:val="clear" w:color="auto" w:fill="9DBDE4"/>
          </w:tcPr>
          <w:p>
            <w:pPr>
              <w:jc w:val="right"/>
              <w:ind w:right="178"/>
              <w:spacing w:after="0" w:line="194" w:lineRule="exact"/>
              <w:rPr>
                <w:sz w:val="20"/>
                <w:szCs w:val="20"/>
                <w:color w:val="auto"/>
              </w:rPr>
            </w:pPr>
            <w:r>
              <w:rPr>
                <w:rFonts w:ascii="Arial" w:cs="Arial" w:eastAsia="Arial" w:hAnsi="Arial"/>
                <w:sz w:val="17"/>
                <w:szCs w:val="17"/>
                <w:color w:val="auto"/>
              </w:rPr>
              <w:t>$475,000</w:t>
            </w:r>
          </w:p>
        </w:tc>
        <w:tc>
          <w:tcPr>
            <w:tcW w:w="1500" w:type="dxa"/>
            <w:vAlign w:val="bottom"/>
            <w:shd w:val="clear" w:color="auto" w:fill="9DBDE4"/>
          </w:tcPr>
          <w:p>
            <w:pPr>
              <w:jc w:val="right"/>
              <w:ind w:right="178"/>
              <w:spacing w:after="0" w:line="194" w:lineRule="exact"/>
              <w:rPr>
                <w:sz w:val="20"/>
                <w:szCs w:val="20"/>
                <w:color w:val="auto"/>
              </w:rPr>
            </w:pPr>
            <w:r>
              <w:rPr>
                <w:rFonts w:ascii="Arial" w:cs="Arial" w:eastAsia="Arial" w:hAnsi="Arial"/>
                <w:sz w:val="17"/>
                <w:szCs w:val="17"/>
                <w:color w:val="auto"/>
              </w:rPr>
              <w:t>94%</w:t>
            </w:r>
          </w:p>
        </w:tc>
        <w:tc>
          <w:tcPr>
            <w:tcW w:w="1040" w:type="dxa"/>
            <w:vAlign w:val="bottom"/>
            <w:shd w:val="clear" w:color="auto" w:fill="9DBDE4"/>
          </w:tcPr>
          <w:p>
            <w:pPr>
              <w:jc w:val="right"/>
              <w:ind w:right="177"/>
              <w:spacing w:after="0" w:line="194" w:lineRule="exact"/>
              <w:rPr>
                <w:sz w:val="20"/>
                <w:szCs w:val="20"/>
                <w:color w:val="auto"/>
              </w:rPr>
            </w:pPr>
            <w:r>
              <w:rPr>
                <w:rFonts w:ascii="Arial" w:cs="Arial" w:eastAsia="Arial" w:hAnsi="Arial"/>
                <w:sz w:val="17"/>
                <w:szCs w:val="17"/>
                <w:color w:val="auto"/>
              </w:rPr>
              <w:t>95%</w:t>
            </w:r>
          </w:p>
        </w:tc>
        <w:tc>
          <w:tcPr>
            <w:tcW w:w="1500" w:type="dxa"/>
            <w:vAlign w:val="bottom"/>
            <w:shd w:val="clear" w:color="auto" w:fill="9DBDE4"/>
          </w:tcPr>
          <w:p>
            <w:pPr>
              <w:jc w:val="right"/>
              <w:ind w:right="198"/>
              <w:spacing w:after="0" w:line="194" w:lineRule="exact"/>
              <w:rPr>
                <w:sz w:val="20"/>
                <w:szCs w:val="20"/>
                <w:color w:val="auto"/>
              </w:rPr>
            </w:pPr>
            <w:r>
              <w:rPr>
                <w:rFonts w:ascii="Arial" w:cs="Arial" w:eastAsia="Arial" w:hAnsi="Arial"/>
                <w:sz w:val="17"/>
                <w:szCs w:val="17"/>
                <w:color w:val="auto"/>
              </w:rPr>
              <w:t>$450,000</w:t>
            </w:r>
          </w:p>
        </w:tc>
      </w:tr>
      <w:tr>
        <w:trPr>
          <w:trHeight w:val="194"/>
        </w:trPr>
        <w:tc>
          <w:tcPr>
            <w:tcW w:w="2420" w:type="dxa"/>
            <w:vAlign w:val="bottom"/>
          </w:tcPr>
          <w:p>
            <w:pPr>
              <w:ind w:left="100"/>
              <w:spacing w:after="0" w:line="194" w:lineRule="exact"/>
              <w:rPr>
                <w:sz w:val="20"/>
                <w:szCs w:val="20"/>
                <w:color w:val="auto"/>
              </w:rPr>
            </w:pPr>
            <w:r>
              <w:rPr>
                <w:rFonts w:ascii="Arial" w:cs="Arial" w:eastAsia="Arial" w:hAnsi="Arial"/>
                <w:sz w:val="17"/>
                <w:szCs w:val="17"/>
                <w:color w:val="auto"/>
              </w:rPr>
              <w:t>Ram K. Puppala</w:t>
            </w:r>
          </w:p>
        </w:tc>
        <w:tc>
          <w:tcPr>
            <w:tcW w:w="1540" w:type="dxa"/>
            <w:vAlign w:val="bottom"/>
          </w:tcPr>
          <w:p>
            <w:pPr>
              <w:ind w:left="460"/>
              <w:spacing w:after="0" w:line="194" w:lineRule="exact"/>
              <w:rPr>
                <w:sz w:val="20"/>
                <w:szCs w:val="20"/>
                <w:color w:val="auto"/>
              </w:rPr>
            </w:pPr>
            <w:r>
              <w:rPr>
                <w:rFonts w:ascii="Arial" w:cs="Arial" w:eastAsia="Arial" w:hAnsi="Arial"/>
                <w:sz w:val="17"/>
                <w:szCs w:val="17"/>
                <w:color w:val="auto"/>
              </w:rPr>
              <w:t>100%</w:t>
            </w:r>
          </w:p>
        </w:tc>
        <w:tc>
          <w:tcPr>
            <w:tcW w:w="1320" w:type="dxa"/>
            <w:vAlign w:val="bottom"/>
          </w:tcPr>
          <w:p>
            <w:pPr>
              <w:jc w:val="right"/>
              <w:ind w:right="178"/>
              <w:spacing w:after="0" w:line="194" w:lineRule="exact"/>
              <w:rPr>
                <w:sz w:val="20"/>
                <w:szCs w:val="20"/>
                <w:color w:val="auto"/>
              </w:rPr>
            </w:pPr>
            <w:r>
              <w:rPr>
                <w:rFonts w:ascii="Arial" w:cs="Arial" w:eastAsia="Arial" w:hAnsi="Arial"/>
                <w:sz w:val="17"/>
                <w:szCs w:val="17"/>
                <w:color w:val="auto"/>
              </w:rPr>
              <w:t>$410,000</w:t>
            </w:r>
          </w:p>
        </w:tc>
        <w:tc>
          <w:tcPr>
            <w:tcW w:w="1500" w:type="dxa"/>
            <w:vAlign w:val="bottom"/>
          </w:tcPr>
          <w:p>
            <w:pPr>
              <w:jc w:val="right"/>
              <w:ind w:right="178"/>
              <w:spacing w:after="0" w:line="194" w:lineRule="exact"/>
              <w:rPr>
                <w:sz w:val="20"/>
                <w:szCs w:val="20"/>
                <w:color w:val="auto"/>
              </w:rPr>
            </w:pPr>
            <w:r>
              <w:rPr>
                <w:rFonts w:ascii="Arial" w:cs="Arial" w:eastAsia="Arial" w:hAnsi="Arial"/>
                <w:sz w:val="17"/>
                <w:szCs w:val="17"/>
                <w:color w:val="auto"/>
              </w:rPr>
              <w:t>94%</w:t>
            </w:r>
          </w:p>
        </w:tc>
        <w:tc>
          <w:tcPr>
            <w:tcW w:w="1040" w:type="dxa"/>
            <w:vAlign w:val="bottom"/>
          </w:tcPr>
          <w:p>
            <w:pPr>
              <w:jc w:val="right"/>
              <w:ind w:right="177"/>
              <w:spacing w:after="0" w:line="194" w:lineRule="exact"/>
              <w:rPr>
                <w:sz w:val="20"/>
                <w:szCs w:val="20"/>
                <w:color w:val="auto"/>
              </w:rPr>
            </w:pPr>
            <w:r>
              <w:rPr>
                <w:rFonts w:ascii="Arial" w:cs="Arial" w:eastAsia="Arial" w:hAnsi="Arial"/>
                <w:sz w:val="17"/>
                <w:szCs w:val="17"/>
                <w:color w:val="auto"/>
              </w:rPr>
              <w:t>85%</w:t>
            </w:r>
          </w:p>
        </w:tc>
        <w:tc>
          <w:tcPr>
            <w:tcW w:w="1500" w:type="dxa"/>
            <w:vAlign w:val="bottom"/>
          </w:tcPr>
          <w:p>
            <w:pPr>
              <w:jc w:val="right"/>
              <w:ind w:right="198"/>
              <w:spacing w:after="0" w:line="194" w:lineRule="exact"/>
              <w:rPr>
                <w:sz w:val="20"/>
                <w:szCs w:val="20"/>
                <w:color w:val="auto"/>
              </w:rPr>
            </w:pPr>
            <w:r>
              <w:rPr>
                <w:rFonts w:ascii="Arial" w:cs="Arial" w:eastAsia="Arial" w:hAnsi="Arial"/>
                <w:sz w:val="17"/>
                <w:szCs w:val="17"/>
                <w:color w:val="auto"/>
              </w:rPr>
              <w:t>$350,000</w:t>
            </w:r>
          </w:p>
        </w:tc>
      </w:tr>
      <w:tr>
        <w:trPr>
          <w:trHeight w:val="194"/>
        </w:trPr>
        <w:tc>
          <w:tcPr>
            <w:tcW w:w="2420" w:type="dxa"/>
            <w:vAlign w:val="bottom"/>
            <w:shd w:val="clear" w:color="auto" w:fill="9DBDE4"/>
          </w:tcPr>
          <w:p>
            <w:pPr>
              <w:ind w:left="100"/>
              <w:spacing w:after="0" w:line="194" w:lineRule="exact"/>
              <w:rPr>
                <w:sz w:val="20"/>
                <w:szCs w:val="20"/>
                <w:color w:val="auto"/>
              </w:rPr>
            </w:pPr>
            <w:r>
              <w:rPr>
                <w:rFonts w:ascii="Arial" w:cs="Arial" w:eastAsia="Arial" w:hAnsi="Arial"/>
                <w:sz w:val="15"/>
                <w:szCs w:val="15"/>
                <w:color w:val="auto"/>
              </w:rPr>
              <w:t>Alessandro Silva</w:t>
            </w:r>
            <w:r>
              <w:rPr>
                <w:rFonts w:ascii="Arial" w:cs="Arial" w:eastAsia="Arial" w:hAnsi="Arial"/>
                <w:sz w:val="22"/>
                <w:szCs w:val="22"/>
                <w:color w:val="auto"/>
                <w:vertAlign w:val="superscript"/>
              </w:rPr>
              <w:t>(2)</w:t>
            </w:r>
          </w:p>
        </w:tc>
        <w:tc>
          <w:tcPr>
            <w:tcW w:w="1540" w:type="dxa"/>
            <w:vAlign w:val="bottom"/>
            <w:shd w:val="clear" w:color="auto" w:fill="9DBDE4"/>
          </w:tcPr>
          <w:p>
            <w:pPr>
              <w:ind w:left="460"/>
              <w:spacing w:after="0" w:line="194" w:lineRule="exact"/>
              <w:rPr>
                <w:sz w:val="20"/>
                <w:szCs w:val="20"/>
                <w:color w:val="auto"/>
              </w:rPr>
            </w:pPr>
            <w:r>
              <w:rPr>
                <w:rFonts w:ascii="Arial" w:cs="Arial" w:eastAsia="Arial" w:hAnsi="Arial"/>
                <w:sz w:val="17"/>
                <w:szCs w:val="17"/>
                <w:color w:val="auto"/>
              </w:rPr>
              <w:t>157%</w:t>
            </w:r>
          </w:p>
        </w:tc>
        <w:tc>
          <w:tcPr>
            <w:tcW w:w="1320" w:type="dxa"/>
            <w:vAlign w:val="bottom"/>
            <w:shd w:val="clear" w:color="auto" w:fill="9DBDE4"/>
          </w:tcPr>
          <w:p>
            <w:pPr>
              <w:jc w:val="right"/>
              <w:ind w:right="178"/>
              <w:spacing w:after="0" w:line="194" w:lineRule="exact"/>
              <w:rPr>
                <w:sz w:val="20"/>
                <w:szCs w:val="20"/>
                <w:color w:val="auto"/>
              </w:rPr>
            </w:pPr>
            <w:r>
              <w:rPr>
                <w:rFonts w:ascii="Arial" w:cs="Arial" w:eastAsia="Arial" w:hAnsi="Arial"/>
                <w:sz w:val="17"/>
                <w:szCs w:val="17"/>
                <w:color w:val="auto"/>
              </w:rPr>
              <w:t>$126,000</w:t>
            </w:r>
          </w:p>
        </w:tc>
        <w:tc>
          <w:tcPr>
            <w:tcW w:w="1500" w:type="dxa"/>
            <w:vAlign w:val="bottom"/>
            <w:shd w:val="clear" w:color="auto" w:fill="9DBDE4"/>
          </w:tcPr>
          <w:p>
            <w:pPr>
              <w:jc w:val="right"/>
              <w:ind w:right="178"/>
              <w:spacing w:after="0" w:line="194" w:lineRule="exact"/>
              <w:rPr>
                <w:sz w:val="20"/>
                <w:szCs w:val="20"/>
                <w:color w:val="auto"/>
              </w:rPr>
            </w:pPr>
            <w:r>
              <w:rPr>
                <w:rFonts w:ascii="Arial" w:cs="Arial" w:eastAsia="Arial" w:hAnsi="Arial"/>
                <w:sz w:val="17"/>
                <w:szCs w:val="17"/>
                <w:color w:val="auto"/>
              </w:rPr>
              <w:t>94%</w:t>
            </w:r>
          </w:p>
        </w:tc>
        <w:tc>
          <w:tcPr>
            <w:tcW w:w="1040" w:type="dxa"/>
            <w:vAlign w:val="bottom"/>
            <w:shd w:val="clear" w:color="auto" w:fill="9DBDE4"/>
          </w:tcPr>
          <w:p>
            <w:pPr>
              <w:jc w:val="right"/>
              <w:ind w:right="177"/>
              <w:spacing w:after="0" w:line="194" w:lineRule="exact"/>
              <w:rPr>
                <w:sz w:val="20"/>
                <w:szCs w:val="20"/>
                <w:color w:val="auto"/>
              </w:rPr>
            </w:pPr>
            <w:r>
              <w:rPr>
                <w:rFonts w:ascii="Arial" w:cs="Arial" w:eastAsia="Arial" w:hAnsi="Arial"/>
                <w:sz w:val="17"/>
                <w:szCs w:val="17"/>
                <w:color w:val="auto"/>
              </w:rPr>
              <w:t>94%</w:t>
            </w:r>
          </w:p>
        </w:tc>
        <w:tc>
          <w:tcPr>
            <w:tcW w:w="1500" w:type="dxa"/>
            <w:vAlign w:val="bottom"/>
            <w:shd w:val="clear" w:color="auto" w:fill="9DBDE4"/>
          </w:tcPr>
          <w:p>
            <w:pPr>
              <w:jc w:val="right"/>
              <w:ind w:right="198"/>
              <w:spacing w:after="0" w:line="194" w:lineRule="exact"/>
              <w:rPr>
                <w:sz w:val="20"/>
                <w:szCs w:val="20"/>
                <w:color w:val="auto"/>
              </w:rPr>
            </w:pPr>
            <w:r>
              <w:rPr>
                <w:rFonts w:ascii="Arial" w:cs="Arial" w:eastAsia="Arial" w:hAnsi="Arial"/>
                <w:sz w:val="17"/>
                <w:szCs w:val="17"/>
                <w:color w:val="auto"/>
              </w:rPr>
              <w:t>$118,000</w:t>
            </w:r>
          </w:p>
        </w:tc>
      </w:tr>
      <w:tr>
        <w:trPr>
          <w:trHeight w:val="194"/>
        </w:trPr>
        <w:tc>
          <w:tcPr>
            <w:tcW w:w="2420" w:type="dxa"/>
            <w:vAlign w:val="bottom"/>
          </w:tcPr>
          <w:p>
            <w:pPr>
              <w:ind w:left="100"/>
              <w:spacing w:after="0" w:line="194" w:lineRule="exact"/>
              <w:rPr>
                <w:sz w:val="20"/>
                <w:szCs w:val="20"/>
                <w:color w:val="auto"/>
              </w:rPr>
            </w:pPr>
            <w:r>
              <w:rPr>
                <w:rFonts w:ascii="Arial" w:cs="Arial" w:eastAsia="Arial" w:hAnsi="Arial"/>
                <w:sz w:val="15"/>
                <w:szCs w:val="15"/>
                <w:color w:val="auto"/>
              </w:rPr>
              <w:t>Deborah L. Guerra</w:t>
            </w:r>
            <w:r>
              <w:rPr>
                <w:rFonts w:ascii="Arial" w:cs="Arial" w:eastAsia="Arial" w:hAnsi="Arial"/>
                <w:sz w:val="22"/>
                <w:szCs w:val="22"/>
                <w:color w:val="auto"/>
                <w:vertAlign w:val="superscript"/>
              </w:rPr>
              <w:t>(3)</w:t>
            </w:r>
          </w:p>
        </w:tc>
        <w:tc>
          <w:tcPr>
            <w:tcW w:w="1540" w:type="dxa"/>
            <w:vAlign w:val="bottom"/>
          </w:tcPr>
          <w:p>
            <w:pPr>
              <w:ind w:left="460"/>
              <w:spacing w:after="0" w:line="194" w:lineRule="exact"/>
              <w:rPr>
                <w:sz w:val="20"/>
                <w:szCs w:val="20"/>
                <w:color w:val="auto"/>
              </w:rPr>
            </w:pPr>
            <w:r>
              <w:rPr>
                <w:rFonts w:ascii="Arial" w:cs="Arial" w:eastAsia="Arial" w:hAnsi="Arial"/>
                <w:sz w:val="17"/>
                <w:szCs w:val="17"/>
                <w:color w:val="auto"/>
              </w:rPr>
              <w:t>100%</w:t>
            </w:r>
          </w:p>
        </w:tc>
        <w:tc>
          <w:tcPr>
            <w:tcW w:w="1320" w:type="dxa"/>
            <w:vAlign w:val="bottom"/>
          </w:tcPr>
          <w:p>
            <w:pPr>
              <w:jc w:val="right"/>
              <w:ind w:right="178"/>
              <w:spacing w:after="0" w:line="194" w:lineRule="exact"/>
              <w:rPr>
                <w:sz w:val="20"/>
                <w:szCs w:val="20"/>
                <w:color w:val="auto"/>
              </w:rPr>
            </w:pPr>
            <w:r>
              <w:rPr>
                <w:rFonts w:ascii="Arial" w:cs="Arial" w:eastAsia="Arial" w:hAnsi="Arial"/>
                <w:sz w:val="17"/>
                <w:szCs w:val="17"/>
                <w:color w:val="auto"/>
              </w:rPr>
              <w:t>$305,351</w:t>
            </w:r>
          </w:p>
        </w:tc>
        <w:tc>
          <w:tcPr>
            <w:tcW w:w="1500" w:type="dxa"/>
            <w:vAlign w:val="bottom"/>
          </w:tcPr>
          <w:p>
            <w:pPr>
              <w:jc w:val="right"/>
              <w:ind w:right="178"/>
              <w:spacing w:after="0" w:line="194" w:lineRule="exact"/>
              <w:rPr>
                <w:sz w:val="20"/>
                <w:szCs w:val="20"/>
                <w:color w:val="auto"/>
              </w:rPr>
            </w:pPr>
            <w:r>
              <w:rPr>
                <w:rFonts w:ascii="Arial" w:cs="Arial" w:eastAsia="Arial" w:hAnsi="Arial"/>
                <w:sz w:val="17"/>
                <w:szCs w:val="17"/>
                <w:color w:val="auto"/>
              </w:rPr>
              <w:t>94%</w:t>
            </w:r>
          </w:p>
        </w:tc>
        <w:tc>
          <w:tcPr>
            <w:tcW w:w="1040" w:type="dxa"/>
            <w:vAlign w:val="bottom"/>
          </w:tcPr>
          <w:p>
            <w:pPr>
              <w:jc w:val="right"/>
              <w:ind w:right="177"/>
              <w:spacing w:after="0" w:line="194" w:lineRule="exact"/>
              <w:rPr>
                <w:sz w:val="20"/>
                <w:szCs w:val="20"/>
                <w:color w:val="auto"/>
              </w:rPr>
            </w:pPr>
            <w:r>
              <w:rPr>
                <w:rFonts w:ascii="Arial" w:cs="Arial" w:eastAsia="Arial" w:hAnsi="Arial"/>
                <w:sz w:val="17"/>
                <w:szCs w:val="17"/>
                <w:color w:val="auto"/>
              </w:rPr>
              <w:t>98%</w:t>
            </w:r>
          </w:p>
        </w:tc>
        <w:tc>
          <w:tcPr>
            <w:tcW w:w="1500" w:type="dxa"/>
            <w:vAlign w:val="bottom"/>
          </w:tcPr>
          <w:p>
            <w:pPr>
              <w:jc w:val="right"/>
              <w:ind w:right="198"/>
              <w:spacing w:after="0" w:line="194" w:lineRule="exact"/>
              <w:rPr>
                <w:sz w:val="20"/>
                <w:szCs w:val="20"/>
                <w:color w:val="auto"/>
              </w:rPr>
            </w:pPr>
            <w:r>
              <w:rPr>
                <w:rFonts w:ascii="Arial" w:cs="Arial" w:eastAsia="Arial" w:hAnsi="Arial"/>
                <w:sz w:val="17"/>
                <w:szCs w:val="17"/>
                <w:color w:val="auto"/>
              </w:rPr>
              <w:t>$300,000</w:t>
            </w:r>
          </w:p>
        </w:tc>
      </w:tr>
      <w:tr>
        <w:trPr>
          <w:trHeight w:val="194"/>
        </w:trPr>
        <w:tc>
          <w:tcPr>
            <w:tcW w:w="2420" w:type="dxa"/>
            <w:vAlign w:val="bottom"/>
            <w:shd w:val="clear" w:color="auto" w:fill="9DBDE4"/>
          </w:tcPr>
          <w:p>
            <w:pPr>
              <w:ind w:left="100"/>
              <w:spacing w:after="0" w:line="194" w:lineRule="exact"/>
              <w:rPr>
                <w:sz w:val="20"/>
                <w:szCs w:val="20"/>
                <w:color w:val="auto"/>
              </w:rPr>
            </w:pPr>
            <w:r>
              <w:rPr>
                <w:rFonts w:ascii="Arial" w:cs="Arial" w:eastAsia="Arial" w:hAnsi="Arial"/>
                <w:sz w:val="15"/>
                <w:szCs w:val="15"/>
                <w:color w:val="auto"/>
              </w:rPr>
              <w:t>Evanthia Aretakis</w:t>
            </w:r>
            <w:r>
              <w:rPr>
                <w:rFonts w:ascii="Arial" w:cs="Arial" w:eastAsia="Arial" w:hAnsi="Arial"/>
                <w:sz w:val="22"/>
                <w:szCs w:val="22"/>
                <w:color w:val="auto"/>
                <w:vertAlign w:val="superscript"/>
              </w:rPr>
              <w:t>(1)</w:t>
            </w:r>
          </w:p>
        </w:tc>
        <w:tc>
          <w:tcPr>
            <w:tcW w:w="1540" w:type="dxa"/>
            <w:vAlign w:val="bottom"/>
            <w:shd w:val="clear" w:color="auto" w:fill="9DBDE4"/>
          </w:tcPr>
          <w:p>
            <w:pPr>
              <w:ind w:left="460"/>
              <w:spacing w:after="0" w:line="194" w:lineRule="exact"/>
              <w:rPr>
                <w:sz w:val="20"/>
                <w:szCs w:val="20"/>
                <w:color w:val="auto"/>
              </w:rPr>
            </w:pPr>
            <w:r>
              <w:rPr>
                <w:rFonts w:ascii="Arial" w:cs="Arial" w:eastAsia="Arial" w:hAnsi="Arial"/>
                <w:sz w:val="17"/>
                <w:szCs w:val="17"/>
                <w:color w:val="auto"/>
              </w:rPr>
              <w:t>100%</w:t>
            </w:r>
          </w:p>
        </w:tc>
        <w:tc>
          <w:tcPr>
            <w:tcW w:w="1320" w:type="dxa"/>
            <w:vAlign w:val="bottom"/>
            <w:shd w:val="clear" w:color="auto" w:fill="9DBDE4"/>
          </w:tcPr>
          <w:p>
            <w:pPr>
              <w:jc w:val="right"/>
              <w:ind w:right="178"/>
              <w:spacing w:after="0" w:line="194" w:lineRule="exact"/>
              <w:rPr>
                <w:sz w:val="20"/>
                <w:szCs w:val="20"/>
                <w:color w:val="auto"/>
              </w:rPr>
            </w:pPr>
            <w:r>
              <w:rPr>
                <w:rFonts w:ascii="Arial" w:cs="Arial" w:eastAsia="Arial" w:hAnsi="Arial"/>
                <w:sz w:val="17"/>
                <w:szCs w:val="17"/>
                <w:color w:val="auto"/>
              </w:rPr>
              <w:t>$435,000</w:t>
            </w:r>
          </w:p>
        </w:tc>
        <w:tc>
          <w:tcPr>
            <w:tcW w:w="1500" w:type="dxa"/>
            <w:vAlign w:val="bottom"/>
            <w:shd w:val="clear" w:color="auto" w:fill="9DBDE4"/>
          </w:tcPr>
          <w:p>
            <w:pPr>
              <w:jc w:val="right"/>
              <w:ind w:right="178"/>
              <w:spacing w:after="0" w:line="194" w:lineRule="exact"/>
              <w:rPr>
                <w:sz w:val="20"/>
                <w:szCs w:val="20"/>
                <w:color w:val="auto"/>
              </w:rPr>
            </w:pPr>
            <w:r>
              <w:rPr>
                <w:rFonts w:ascii="Arial" w:cs="Arial" w:eastAsia="Arial" w:hAnsi="Arial"/>
                <w:sz w:val="17"/>
                <w:szCs w:val="17"/>
                <w:color w:val="auto"/>
              </w:rPr>
              <w:t>0%</w:t>
            </w:r>
          </w:p>
        </w:tc>
        <w:tc>
          <w:tcPr>
            <w:tcW w:w="1040" w:type="dxa"/>
            <w:vAlign w:val="bottom"/>
            <w:shd w:val="clear" w:color="auto" w:fill="9DBDE4"/>
          </w:tcPr>
          <w:p>
            <w:pPr>
              <w:jc w:val="right"/>
              <w:ind w:right="177"/>
              <w:spacing w:after="0" w:line="194" w:lineRule="exact"/>
              <w:rPr>
                <w:sz w:val="20"/>
                <w:szCs w:val="20"/>
                <w:color w:val="auto"/>
              </w:rPr>
            </w:pPr>
            <w:r>
              <w:rPr>
                <w:rFonts w:ascii="Arial" w:cs="Arial" w:eastAsia="Arial" w:hAnsi="Arial"/>
                <w:sz w:val="17"/>
                <w:szCs w:val="17"/>
                <w:color w:val="auto"/>
              </w:rPr>
              <w:t>0%</w:t>
            </w:r>
          </w:p>
        </w:tc>
        <w:tc>
          <w:tcPr>
            <w:tcW w:w="1500" w:type="dxa"/>
            <w:vAlign w:val="bottom"/>
            <w:shd w:val="clear" w:color="auto" w:fill="9DBDE4"/>
          </w:tcPr>
          <w:p>
            <w:pPr>
              <w:jc w:val="right"/>
              <w:ind w:right="198"/>
              <w:spacing w:after="0" w:line="194" w:lineRule="exact"/>
              <w:rPr>
                <w:sz w:val="20"/>
                <w:szCs w:val="20"/>
                <w:color w:val="auto"/>
              </w:rPr>
            </w:pPr>
            <w:r>
              <w:rPr>
                <w:rFonts w:ascii="Arial" w:cs="Arial" w:eastAsia="Arial" w:hAnsi="Arial"/>
                <w:sz w:val="17"/>
                <w:szCs w:val="17"/>
                <w:color w:val="auto"/>
              </w:rPr>
              <w:t>$0</w:t>
            </w:r>
          </w:p>
        </w:tc>
      </w:tr>
      <w:tr>
        <w:trPr>
          <w:trHeight w:val="194"/>
        </w:trPr>
        <w:tc>
          <w:tcPr>
            <w:tcW w:w="2420" w:type="dxa"/>
            <w:vAlign w:val="bottom"/>
            <w:tcBorders>
              <w:bottom w:val="single" w:sz="8" w:color="284993"/>
            </w:tcBorders>
          </w:tcPr>
          <w:p>
            <w:pPr>
              <w:ind w:left="100"/>
              <w:spacing w:after="0" w:line="194" w:lineRule="exact"/>
              <w:rPr>
                <w:sz w:val="20"/>
                <w:szCs w:val="20"/>
                <w:color w:val="auto"/>
              </w:rPr>
            </w:pPr>
            <w:r>
              <w:rPr>
                <w:rFonts w:ascii="Arial" w:cs="Arial" w:eastAsia="Arial" w:hAnsi="Arial"/>
                <w:sz w:val="15"/>
                <w:szCs w:val="15"/>
                <w:color w:val="auto"/>
              </w:rPr>
              <w:t>Jeremy M. Wilmot</w:t>
            </w:r>
            <w:r>
              <w:rPr>
                <w:rFonts w:ascii="Arial" w:cs="Arial" w:eastAsia="Arial" w:hAnsi="Arial"/>
                <w:sz w:val="22"/>
                <w:szCs w:val="22"/>
                <w:color w:val="auto"/>
                <w:vertAlign w:val="superscript"/>
              </w:rPr>
              <w:t>(4)</w:t>
            </w:r>
          </w:p>
        </w:tc>
        <w:tc>
          <w:tcPr>
            <w:tcW w:w="1540" w:type="dxa"/>
            <w:vAlign w:val="bottom"/>
            <w:tcBorders>
              <w:bottom w:val="single" w:sz="8" w:color="284993"/>
            </w:tcBorders>
          </w:tcPr>
          <w:p>
            <w:pPr>
              <w:ind w:left="460"/>
              <w:spacing w:after="0" w:line="194" w:lineRule="exact"/>
              <w:rPr>
                <w:sz w:val="20"/>
                <w:szCs w:val="20"/>
                <w:color w:val="auto"/>
              </w:rPr>
            </w:pPr>
            <w:r>
              <w:rPr>
                <w:rFonts w:ascii="Arial" w:cs="Arial" w:eastAsia="Arial" w:hAnsi="Arial"/>
                <w:sz w:val="17"/>
                <w:szCs w:val="17"/>
                <w:color w:val="auto"/>
              </w:rPr>
              <w:t>100%</w:t>
            </w:r>
          </w:p>
        </w:tc>
        <w:tc>
          <w:tcPr>
            <w:tcW w:w="1320" w:type="dxa"/>
            <w:vAlign w:val="bottom"/>
            <w:tcBorders>
              <w:bottom w:val="single" w:sz="8" w:color="284993"/>
            </w:tcBorders>
          </w:tcPr>
          <w:p>
            <w:pPr>
              <w:jc w:val="right"/>
              <w:ind w:right="178"/>
              <w:spacing w:after="0" w:line="194" w:lineRule="exact"/>
              <w:rPr>
                <w:sz w:val="20"/>
                <w:szCs w:val="20"/>
                <w:color w:val="auto"/>
              </w:rPr>
            </w:pPr>
            <w:r>
              <w:rPr>
                <w:rFonts w:ascii="Arial" w:cs="Arial" w:eastAsia="Arial" w:hAnsi="Arial"/>
                <w:sz w:val="17"/>
                <w:szCs w:val="17"/>
                <w:color w:val="auto"/>
              </w:rPr>
              <w:t>$249,000</w:t>
            </w:r>
          </w:p>
        </w:tc>
        <w:tc>
          <w:tcPr>
            <w:tcW w:w="1500" w:type="dxa"/>
            <w:vAlign w:val="bottom"/>
            <w:tcBorders>
              <w:bottom w:val="single" w:sz="8" w:color="284993"/>
            </w:tcBorders>
          </w:tcPr>
          <w:p>
            <w:pPr>
              <w:jc w:val="right"/>
              <w:ind w:right="178"/>
              <w:spacing w:after="0" w:line="194" w:lineRule="exact"/>
              <w:rPr>
                <w:sz w:val="20"/>
                <w:szCs w:val="20"/>
                <w:color w:val="auto"/>
              </w:rPr>
            </w:pPr>
            <w:r>
              <w:rPr>
                <w:rFonts w:ascii="Arial" w:cs="Arial" w:eastAsia="Arial" w:hAnsi="Arial"/>
                <w:sz w:val="17"/>
                <w:szCs w:val="17"/>
                <w:color w:val="auto"/>
              </w:rPr>
              <w:t>94%</w:t>
            </w:r>
          </w:p>
        </w:tc>
        <w:tc>
          <w:tcPr>
            <w:tcW w:w="1040" w:type="dxa"/>
            <w:vAlign w:val="bottom"/>
            <w:tcBorders>
              <w:bottom w:val="single" w:sz="8" w:color="284993"/>
            </w:tcBorders>
          </w:tcPr>
          <w:p>
            <w:pPr>
              <w:jc w:val="right"/>
              <w:ind w:right="177"/>
              <w:spacing w:after="0" w:line="194" w:lineRule="exact"/>
              <w:rPr>
                <w:sz w:val="20"/>
                <w:szCs w:val="20"/>
                <w:color w:val="auto"/>
              </w:rPr>
            </w:pPr>
            <w:r>
              <w:rPr>
                <w:rFonts w:ascii="Arial" w:cs="Arial" w:eastAsia="Arial" w:hAnsi="Arial"/>
                <w:sz w:val="17"/>
                <w:szCs w:val="17"/>
                <w:color w:val="auto"/>
              </w:rPr>
              <w:t>100%</w:t>
            </w:r>
          </w:p>
        </w:tc>
        <w:tc>
          <w:tcPr>
            <w:tcW w:w="1500" w:type="dxa"/>
            <w:vAlign w:val="bottom"/>
            <w:tcBorders>
              <w:bottom w:val="single" w:sz="8" w:color="284993"/>
            </w:tcBorders>
          </w:tcPr>
          <w:p>
            <w:pPr>
              <w:jc w:val="right"/>
              <w:ind w:right="198"/>
              <w:spacing w:after="0" w:line="194" w:lineRule="exact"/>
              <w:rPr>
                <w:sz w:val="20"/>
                <w:szCs w:val="20"/>
                <w:color w:val="auto"/>
              </w:rPr>
            </w:pPr>
            <w:r>
              <w:rPr>
                <w:rFonts w:ascii="Arial" w:cs="Arial" w:eastAsia="Arial" w:hAnsi="Arial"/>
                <w:sz w:val="17"/>
                <w:szCs w:val="17"/>
                <w:color w:val="auto"/>
              </w:rPr>
              <w:t>$249,000</w:t>
            </w:r>
          </w:p>
        </w:tc>
      </w:tr>
    </w:tbl>
    <w:p>
      <w:pPr>
        <w:ind w:left="280" w:hanging="278"/>
        <w:spacing w:after="0" w:line="233" w:lineRule="auto"/>
        <w:tabs>
          <w:tab w:leader="none" w:pos="280" w:val="left"/>
        </w:tabs>
        <w:numPr>
          <w:ilvl w:val="0"/>
          <w:numId w:val="43"/>
        </w:numPr>
        <w:rPr>
          <w:rFonts w:ascii="Arial" w:cs="Arial" w:eastAsia="Arial" w:hAnsi="Arial"/>
          <w:sz w:val="18"/>
          <w:szCs w:val="18"/>
          <w:color w:val="auto"/>
          <w:vertAlign w:val="superscript"/>
        </w:rPr>
      </w:pPr>
      <w:r>
        <w:rPr>
          <w:rFonts w:ascii="Arial" w:cs="Arial" w:eastAsia="Arial" w:hAnsi="Arial"/>
          <w:sz w:val="12"/>
          <w:szCs w:val="12"/>
          <w:color w:val="auto"/>
        </w:rPr>
        <w:t>Due to their departures during 2022, Mr. Almeida and Ms. Aretakis were not eligible for a 2022 STIP payout.</w:t>
      </w:r>
    </w:p>
    <w:p>
      <w:pPr>
        <w:ind w:left="280" w:right="20" w:hanging="278"/>
        <w:spacing w:after="0" w:line="180" w:lineRule="auto"/>
        <w:tabs>
          <w:tab w:leader="none" w:pos="280" w:val="left"/>
        </w:tabs>
        <w:numPr>
          <w:ilvl w:val="0"/>
          <w:numId w:val="43"/>
        </w:numPr>
        <w:rPr>
          <w:rFonts w:ascii="Arial" w:cs="Arial" w:eastAsia="Arial" w:hAnsi="Arial"/>
          <w:sz w:val="18"/>
          <w:szCs w:val="18"/>
          <w:color w:val="auto"/>
          <w:vertAlign w:val="superscript"/>
        </w:rPr>
      </w:pPr>
      <w:r>
        <w:rPr>
          <w:rFonts w:ascii="Arial" w:cs="Arial" w:eastAsia="Arial" w:hAnsi="Arial"/>
          <w:sz w:val="12"/>
          <w:szCs w:val="12"/>
          <w:color w:val="auto"/>
        </w:rPr>
        <w:t>Mr. Silva was promoted on May 6, 2022. The amounts in this table reflect the portion of his 2022 opportunity that was granted under the 2022 STIP. His awards under the SIP are described below.</w:t>
      </w:r>
    </w:p>
    <w:p>
      <w:pPr>
        <w:ind w:left="280" w:hanging="278"/>
        <w:spacing w:after="0" w:line="180" w:lineRule="auto"/>
        <w:tabs>
          <w:tab w:leader="none" w:pos="280" w:val="left"/>
        </w:tabs>
        <w:numPr>
          <w:ilvl w:val="0"/>
          <w:numId w:val="43"/>
        </w:numPr>
        <w:rPr>
          <w:rFonts w:ascii="Arial" w:cs="Arial" w:eastAsia="Arial" w:hAnsi="Arial"/>
          <w:sz w:val="15"/>
          <w:szCs w:val="15"/>
          <w:color w:val="auto"/>
          <w:vertAlign w:val="superscript"/>
        </w:rPr>
      </w:pPr>
      <w:r>
        <w:rPr>
          <w:rFonts w:ascii="Arial" w:cs="Arial" w:eastAsia="Arial" w:hAnsi="Arial"/>
          <w:sz w:val="10"/>
          <w:szCs w:val="10"/>
          <w:color w:val="auto"/>
        </w:rPr>
        <w:t>Ms. Guerra was promoted on July 5, 2022, and her target 2022 STIP award was pro-rated based on the periods during which she served in each role during 2022.</w:t>
      </w:r>
    </w:p>
    <w:p>
      <w:pPr>
        <w:ind w:left="280" w:hanging="278"/>
        <w:spacing w:after="0" w:line="192" w:lineRule="auto"/>
        <w:tabs>
          <w:tab w:leader="none" w:pos="280" w:val="left"/>
        </w:tabs>
        <w:numPr>
          <w:ilvl w:val="0"/>
          <w:numId w:val="43"/>
        </w:numPr>
        <w:rPr>
          <w:rFonts w:ascii="Arial" w:cs="Arial" w:eastAsia="Arial" w:hAnsi="Arial"/>
          <w:sz w:val="18"/>
          <w:szCs w:val="18"/>
          <w:color w:val="auto"/>
          <w:vertAlign w:val="superscript"/>
        </w:rPr>
      </w:pPr>
      <w:r>
        <w:rPr>
          <w:rFonts w:ascii="Arial" w:cs="Arial" w:eastAsia="Arial" w:hAnsi="Arial"/>
          <w:sz w:val="12"/>
          <w:szCs w:val="12"/>
          <w:color w:val="auto"/>
        </w:rPr>
        <w:t>In connection with the agreement for his service as a Special Advisor to the CEO, Mr. Wilmot remained eligible to receive an award under the Company’s 2022 STIP, with a target award equal to 100% of his base salary actually earned for 2022.</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284993"/>
        </w:rPr>
        <w:t>Annual Cash Incentive Award Decision – Sales Incentive Plan</w:t>
      </w:r>
    </w:p>
    <w:p>
      <w:pPr>
        <w:spacing w:after="0" w:line="107" w:lineRule="exact"/>
        <w:rPr>
          <w:sz w:val="20"/>
          <w:szCs w:val="20"/>
          <w:color w:val="auto"/>
        </w:rPr>
      </w:pPr>
    </w:p>
    <w:p>
      <w:pPr>
        <w:ind w:right="260"/>
        <w:spacing w:after="0" w:line="263" w:lineRule="auto"/>
        <w:rPr>
          <w:sz w:val="20"/>
          <w:szCs w:val="20"/>
          <w:color w:val="auto"/>
        </w:rPr>
      </w:pPr>
      <w:r>
        <w:rPr>
          <w:rFonts w:ascii="Arial" w:cs="Arial" w:eastAsia="Arial" w:hAnsi="Arial"/>
          <w:sz w:val="16"/>
          <w:szCs w:val="16"/>
          <w:color w:val="auto"/>
        </w:rPr>
        <w:t>Mr. Silva transitioned to his current role during 2022. For 2022, in addition to an award under the STIP, Mr. Silva was also eligible for awards for 2022 under the SIP. His award opportunity included the components described below.</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u w:val="single" w:color="auto"/>
          <w:color w:val="auto"/>
        </w:rPr>
        <w:t>International Business Sales Incentive</w:t>
      </w:r>
      <w:r>
        <w:rPr>
          <w:rFonts w:ascii="Arial" w:cs="Arial" w:eastAsia="Arial" w:hAnsi="Arial"/>
          <w:sz w:val="14"/>
          <w:szCs w:val="14"/>
          <w:color w:val="auto"/>
        </w:rPr>
        <w:t xml:space="preserve"> : Mr. Silva was eligible for a commission-based sales incentive and a growth accelerator bonus based on his former role related to the attainment of sales quotas of our international business (European Union, Latin America, Middle East, Asia and South Africa and Asia-Pacific). The sales incentive could be earned based on the achievement of annual recurring revenue (“ARR”) and licensed requests for service (“RFS”) and services in such regions, as shown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shd w:val="clear" w:color="auto" w:fill="284993"/>
          </w:tcPr>
          <w:p>
            <w:pPr>
              <w:spacing w:after="0"/>
              <w:rPr>
                <w:sz w:val="16"/>
                <w:szCs w:val="16"/>
                <w:color w:val="auto"/>
              </w:rPr>
            </w:pPr>
          </w:p>
        </w:tc>
        <w:tc>
          <w:tcPr>
            <w:tcW w:w="1060" w:type="dxa"/>
            <w:vAlign w:val="bottom"/>
            <w:shd w:val="clear" w:color="auto" w:fill="284993"/>
          </w:tcPr>
          <w:p>
            <w:pPr>
              <w:spacing w:after="0"/>
              <w:rPr>
                <w:sz w:val="16"/>
                <w:szCs w:val="16"/>
                <w:color w:val="auto"/>
              </w:rPr>
            </w:pPr>
          </w:p>
        </w:tc>
        <w:tc>
          <w:tcPr>
            <w:tcW w:w="140" w:type="dxa"/>
            <w:vAlign w:val="bottom"/>
            <w:shd w:val="clear" w:color="auto" w:fill="284993"/>
          </w:tcPr>
          <w:p>
            <w:pPr>
              <w:spacing w:after="0"/>
              <w:rPr>
                <w:sz w:val="16"/>
                <w:szCs w:val="16"/>
                <w:color w:val="auto"/>
              </w:rPr>
            </w:pPr>
          </w:p>
        </w:tc>
        <w:tc>
          <w:tcPr>
            <w:tcW w:w="700" w:type="dxa"/>
            <w:vAlign w:val="bottom"/>
            <w:shd w:val="clear" w:color="auto" w:fill="284993"/>
          </w:tcPr>
          <w:p>
            <w:pPr>
              <w:spacing w:after="0"/>
              <w:rPr>
                <w:sz w:val="16"/>
                <w:szCs w:val="16"/>
                <w:color w:val="auto"/>
              </w:rPr>
            </w:pPr>
          </w:p>
        </w:tc>
        <w:tc>
          <w:tcPr>
            <w:tcW w:w="160" w:type="dxa"/>
            <w:vAlign w:val="bottom"/>
            <w:shd w:val="clear" w:color="auto" w:fill="284993"/>
          </w:tcPr>
          <w:p>
            <w:pPr>
              <w:spacing w:after="0"/>
              <w:rPr>
                <w:sz w:val="16"/>
                <w:szCs w:val="16"/>
                <w:color w:val="auto"/>
              </w:rPr>
            </w:pPr>
          </w:p>
        </w:tc>
        <w:tc>
          <w:tcPr>
            <w:tcW w:w="1040" w:type="dxa"/>
            <w:vAlign w:val="bottom"/>
            <w:shd w:val="clear" w:color="auto" w:fill="284993"/>
          </w:tcPr>
          <w:p>
            <w:pPr>
              <w:spacing w:after="0"/>
              <w:rPr>
                <w:sz w:val="16"/>
                <w:szCs w:val="16"/>
                <w:color w:val="auto"/>
              </w:rPr>
            </w:pPr>
          </w:p>
        </w:tc>
        <w:tc>
          <w:tcPr>
            <w:tcW w:w="1200" w:type="dxa"/>
            <w:vAlign w:val="bottom"/>
            <w:shd w:val="clear" w:color="auto" w:fill="284993"/>
          </w:tcPr>
          <w:p>
            <w:pPr>
              <w:jc w:val="center"/>
              <w:ind w:right="80"/>
              <w:spacing w:after="0"/>
              <w:rPr>
                <w:sz w:val="20"/>
                <w:szCs w:val="20"/>
                <w:color w:val="auto"/>
              </w:rPr>
            </w:pPr>
            <w:r>
              <w:rPr>
                <w:rFonts w:ascii="Arial" w:cs="Arial" w:eastAsia="Arial" w:hAnsi="Arial"/>
                <w:sz w:val="16"/>
                <w:szCs w:val="16"/>
                <w:b w:val="1"/>
                <w:bCs w:val="1"/>
                <w:color w:val="FFFFFF"/>
                <w:w w:val="95"/>
              </w:rPr>
              <w:t>Commission</w:t>
            </w:r>
          </w:p>
        </w:tc>
        <w:tc>
          <w:tcPr>
            <w:tcW w:w="1200" w:type="dxa"/>
            <w:vAlign w:val="bottom"/>
            <w:shd w:val="clear" w:color="auto" w:fill="284993"/>
          </w:tcPr>
          <w:p>
            <w:pPr>
              <w:jc w:val="center"/>
              <w:ind w:right="60"/>
              <w:spacing w:after="0"/>
              <w:rPr>
                <w:sz w:val="20"/>
                <w:szCs w:val="20"/>
                <w:color w:val="auto"/>
              </w:rPr>
            </w:pPr>
            <w:r>
              <w:rPr>
                <w:rFonts w:ascii="Arial" w:cs="Arial" w:eastAsia="Arial" w:hAnsi="Arial"/>
                <w:sz w:val="16"/>
                <w:szCs w:val="16"/>
                <w:b w:val="1"/>
                <w:bCs w:val="1"/>
                <w:color w:val="FFFFFF"/>
                <w:w w:val="97"/>
              </w:rPr>
              <w:t>Commission</w:t>
            </w:r>
          </w:p>
        </w:tc>
        <w:tc>
          <w:tcPr>
            <w:tcW w:w="2120" w:type="dxa"/>
            <w:vAlign w:val="bottom"/>
            <w:shd w:val="clear" w:color="auto" w:fill="284993"/>
          </w:tcPr>
          <w:p>
            <w:pPr>
              <w:spacing w:after="0"/>
              <w:rPr>
                <w:sz w:val="16"/>
                <w:szCs w:val="16"/>
                <w:color w:val="auto"/>
              </w:rPr>
            </w:pPr>
          </w:p>
        </w:tc>
        <w:tc>
          <w:tcPr>
            <w:tcW w:w="120" w:type="dxa"/>
            <w:vAlign w:val="bottom"/>
            <w:shd w:val="clear" w:color="auto" w:fill="284993"/>
          </w:tcPr>
          <w:p>
            <w:pPr>
              <w:spacing w:after="0"/>
              <w:rPr>
                <w:sz w:val="16"/>
                <w:szCs w:val="16"/>
                <w:color w:val="auto"/>
              </w:rPr>
            </w:pPr>
          </w:p>
        </w:tc>
        <w:tc>
          <w:tcPr>
            <w:tcW w:w="700" w:type="dxa"/>
            <w:vAlign w:val="bottom"/>
            <w:shd w:val="clear" w:color="auto" w:fill="284993"/>
          </w:tcPr>
          <w:p>
            <w:pPr>
              <w:spacing w:after="0"/>
              <w:rPr>
                <w:sz w:val="16"/>
                <w:szCs w:val="16"/>
                <w:color w:val="auto"/>
              </w:rPr>
            </w:pPr>
          </w:p>
        </w:tc>
      </w:tr>
      <w:tr>
        <w:trPr>
          <w:trHeight w:val="181"/>
        </w:trPr>
        <w:tc>
          <w:tcPr>
            <w:tcW w:w="880" w:type="dxa"/>
            <w:vAlign w:val="bottom"/>
            <w:shd w:val="clear" w:color="auto" w:fill="284993"/>
          </w:tcPr>
          <w:p>
            <w:pPr>
              <w:spacing w:after="0"/>
              <w:rPr>
                <w:sz w:val="15"/>
                <w:szCs w:val="15"/>
                <w:color w:val="auto"/>
              </w:rPr>
            </w:pPr>
          </w:p>
        </w:tc>
        <w:tc>
          <w:tcPr>
            <w:tcW w:w="1060" w:type="dxa"/>
            <w:vAlign w:val="bottom"/>
            <w:shd w:val="clear" w:color="auto" w:fill="284993"/>
          </w:tcPr>
          <w:p>
            <w:pPr>
              <w:spacing w:after="0"/>
              <w:rPr>
                <w:sz w:val="15"/>
                <w:szCs w:val="15"/>
                <w:color w:val="auto"/>
              </w:rPr>
            </w:pPr>
          </w:p>
        </w:tc>
        <w:tc>
          <w:tcPr>
            <w:tcW w:w="140" w:type="dxa"/>
            <w:vAlign w:val="bottom"/>
            <w:shd w:val="clear" w:color="auto" w:fill="284993"/>
          </w:tcPr>
          <w:p>
            <w:pPr>
              <w:spacing w:after="0"/>
              <w:rPr>
                <w:sz w:val="15"/>
                <w:szCs w:val="15"/>
                <w:color w:val="auto"/>
              </w:rPr>
            </w:pPr>
          </w:p>
        </w:tc>
        <w:tc>
          <w:tcPr>
            <w:tcW w:w="700" w:type="dxa"/>
            <w:vAlign w:val="bottom"/>
            <w:shd w:val="clear" w:color="auto" w:fill="284993"/>
          </w:tcPr>
          <w:p>
            <w:pPr>
              <w:spacing w:after="0"/>
              <w:rPr>
                <w:sz w:val="15"/>
                <w:szCs w:val="15"/>
                <w:color w:val="auto"/>
              </w:rPr>
            </w:pPr>
          </w:p>
        </w:tc>
        <w:tc>
          <w:tcPr>
            <w:tcW w:w="160" w:type="dxa"/>
            <w:vAlign w:val="bottom"/>
            <w:shd w:val="clear" w:color="auto" w:fill="284993"/>
          </w:tcPr>
          <w:p>
            <w:pPr>
              <w:spacing w:after="0"/>
              <w:rPr>
                <w:sz w:val="15"/>
                <w:szCs w:val="15"/>
                <w:color w:val="auto"/>
              </w:rPr>
            </w:pPr>
          </w:p>
        </w:tc>
        <w:tc>
          <w:tcPr>
            <w:tcW w:w="1040" w:type="dxa"/>
            <w:vAlign w:val="bottom"/>
            <w:shd w:val="clear" w:color="auto" w:fill="284993"/>
          </w:tcPr>
          <w:p>
            <w:pPr>
              <w:spacing w:after="0"/>
              <w:rPr>
                <w:sz w:val="15"/>
                <w:szCs w:val="15"/>
                <w:color w:val="auto"/>
              </w:rPr>
            </w:pPr>
          </w:p>
        </w:tc>
        <w:tc>
          <w:tcPr>
            <w:tcW w:w="1200" w:type="dxa"/>
            <w:vAlign w:val="bottom"/>
            <w:shd w:val="clear" w:color="auto" w:fill="284993"/>
          </w:tcPr>
          <w:p>
            <w:pPr>
              <w:jc w:val="center"/>
              <w:ind w:right="60"/>
              <w:spacing w:after="0" w:line="181" w:lineRule="exact"/>
              <w:rPr>
                <w:sz w:val="20"/>
                <w:szCs w:val="20"/>
                <w:color w:val="auto"/>
              </w:rPr>
            </w:pPr>
            <w:r>
              <w:rPr>
                <w:rFonts w:ascii="Arial" w:cs="Arial" w:eastAsia="Arial" w:hAnsi="Arial"/>
                <w:sz w:val="16"/>
                <w:szCs w:val="16"/>
                <w:b w:val="1"/>
                <w:bCs w:val="1"/>
                <w:color w:val="FFFFFF"/>
                <w:w w:val="97"/>
              </w:rPr>
              <w:t>Rate</w:t>
            </w:r>
          </w:p>
        </w:tc>
        <w:tc>
          <w:tcPr>
            <w:tcW w:w="1200" w:type="dxa"/>
            <w:vAlign w:val="bottom"/>
            <w:shd w:val="clear" w:color="auto" w:fill="284993"/>
          </w:tcPr>
          <w:p>
            <w:pPr>
              <w:jc w:val="center"/>
              <w:ind w:right="60"/>
              <w:spacing w:after="0" w:line="181" w:lineRule="exact"/>
              <w:rPr>
                <w:sz w:val="20"/>
                <w:szCs w:val="20"/>
                <w:color w:val="auto"/>
              </w:rPr>
            </w:pPr>
            <w:r>
              <w:rPr>
                <w:rFonts w:ascii="Arial" w:cs="Arial" w:eastAsia="Arial" w:hAnsi="Arial"/>
                <w:sz w:val="16"/>
                <w:szCs w:val="16"/>
                <w:b w:val="1"/>
                <w:bCs w:val="1"/>
                <w:color w:val="FFFFFF"/>
                <w:w w:val="97"/>
              </w:rPr>
              <w:t>Rate</w:t>
            </w:r>
          </w:p>
        </w:tc>
        <w:tc>
          <w:tcPr>
            <w:tcW w:w="2120" w:type="dxa"/>
            <w:vAlign w:val="bottom"/>
            <w:shd w:val="clear" w:color="auto" w:fill="284993"/>
          </w:tcPr>
          <w:p>
            <w:pPr>
              <w:spacing w:after="0"/>
              <w:rPr>
                <w:sz w:val="15"/>
                <w:szCs w:val="15"/>
                <w:color w:val="auto"/>
              </w:rPr>
            </w:pPr>
          </w:p>
        </w:tc>
        <w:tc>
          <w:tcPr>
            <w:tcW w:w="120" w:type="dxa"/>
            <w:vAlign w:val="bottom"/>
            <w:shd w:val="clear" w:color="auto" w:fill="284993"/>
          </w:tcPr>
          <w:p>
            <w:pPr>
              <w:spacing w:after="0"/>
              <w:rPr>
                <w:sz w:val="15"/>
                <w:szCs w:val="15"/>
                <w:color w:val="auto"/>
              </w:rPr>
            </w:pPr>
          </w:p>
        </w:tc>
        <w:tc>
          <w:tcPr>
            <w:tcW w:w="700" w:type="dxa"/>
            <w:vAlign w:val="bottom"/>
            <w:shd w:val="clear" w:color="auto" w:fill="284993"/>
          </w:tcPr>
          <w:p>
            <w:pPr>
              <w:spacing w:after="0"/>
              <w:rPr>
                <w:sz w:val="15"/>
                <w:szCs w:val="15"/>
                <w:color w:val="auto"/>
              </w:rPr>
            </w:pPr>
          </w:p>
        </w:tc>
      </w:tr>
      <w:tr>
        <w:trPr>
          <w:trHeight w:val="181"/>
        </w:trPr>
        <w:tc>
          <w:tcPr>
            <w:tcW w:w="880" w:type="dxa"/>
            <w:vAlign w:val="bottom"/>
            <w:shd w:val="clear" w:color="auto" w:fill="284993"/>
          </w:tcPr>
          <w:p>
            <w:pPr>
              <w:spacing w:after="0"/>
              <w:rPr>
                <w:sz w:val="15"/>
                <w:szCs w:val="15"/>
                <w:color w:val="auto"/>
              </w:rPr>
            </w:pPr>
          </w:p>
        </w:tc>
        <w:tc>
          <w:tcPr>
            <w:tcW w:w="1060" w:type="dxa"/>
            <w:vAlign w:val="bottom"/>
            <w:shd w:val="clear" w:color="auto" w:fill="284993"/>
          </w:tcPr>
          <w:p>
            <w:pPr>
              <w:spacing w:after="0"/>
              <w:rPr>
                <w:sz w:val="15"/>
                <w:szCs w:val="15"/>
                <w:color w:val="auto"/>
              </w:rPr>
            </w:pPr>
          </w:p>
        </w:tc>
        <w:tc>
          <w:tcPr>
            <w:tcW w:w="140" w:type="dxa"/>
            <w:vAlign w:val="bottom"/>
            <w:shd w:val="clear" w:color="auto" w:fill="284993"/>
          </w:tcPr>
          <w:p>
            <w:pPr>
              <w:spacing w:after="0"/>
              <w:rPr>
                <w:sz w:val="15"/>
                <w:szCs w:val="15"/>
                <w:color w:val="auto"/>
              </w:rPr>
            </w:pPr>
          </w:p>
        </w:tc>
        <w:tc>
          <w:tcPr>
            <w:tcW w:w="700" w:type="dxa"/>
            <w:vAlign w:val="bottom"/>
            <w:shd w:val="clear" w:color="auto" w:fill="284993"/>
          </w:tcPr>
          <w:p>
            <w:pPr>
              <w:jc w:val="center"/>
              <w:ind w:right="79"/>
              <w:spacing w:after="0" w:line="181" w:lineRule="exact"/>
              <w:rPr>
                <w:sz w:val="20"/>
                <w:szCs w:val="20"/>
                <w:color w:val="auto"/>
              </w:rPr>
            </w:pPr>
            <w:r>
              <w:rPr>
                <w:rFonts w:ascii="Arial" w:cs="Arial" w:eastAsia="Arial" w:hAnsi="Arial"/>
                <w:sz w:val="16"/>
                <w:szCs w:val="16"/>
                <w:b w:val="1"/>
                <w:bCs w:val="1"/>
                <w:color w:val="FFFFFF"/>
                <w:w w:val="93"/>
              </w:rPr>
              <w:t>Target</w:t>
            </w:r>
          </w:p>
        </w:tc>
        <w:tc>
          <w:tcPr>
            <w:tcW w:w="160" w:type="dxa"/>
            <w:vAlign w:val="bottom"/>
            <w:shd w:val="clear" w:color="auto" w:fill="284993"/>
          </w:tcPr>
          <w:p>
            <w:pPr>
              <w:spacing w:after="0"/>
              <w:rPr>
                <w:sz w:val="15"/>
                <w:szCs w:val="15"/>
                <w:color w:val="auto"/>
              </w:rPr>
            </w:pPr>
          </w:p>
        </w:tc>
        <w:tc>
          <w:tcPr>
            <w:tcW w:w="1040" w:type="dxa"/>
            <w:vAlign w:val="bottom"/>
            <w:shd w:val="clear" w:color="auto" w:fill="284993"/>
          </w:tcPr>
          <w:p>
            <w:pPr>
              <w:spacing w:after="0"/>
              <w:rPr>
                <w:sz w:val="15"/>
                <w:szCs w:val="15"/>
                <w:color w:val="auto"/>
              </w:rPr>
            </w:pPr>
          </w:p>
        </w:tc>
        <w:tc>
          <w:tcPr>
            <w:tcW w:w="1200" w:type="dxa"/>
            <w:vAlign w:val="bottom"/>
            <w:shd w:val="clear" w:color="auto" w:fill="284993"/>
          </w:tcPr>
          <w:p>
            <w:pPr>
              <w:jc w:val="center"/>
              <w:ind w:right="80"/>
              <w:spacing w:after="0" w:line="181" w:lineRule="exact"/>
              <w:rPr>
                <w:sz w:val="20"/>
                <w:szCs w:val="20"/>
                <w:color w:val="auto"/>
              </w:rPr>
            </w:pPr>
            <w:r>
              <w:rPr>
                <w:rFonts w:ascii="Arial" w:cs="Arial" w:eastAsia="Arial" w:hAnsi="Arial"/>
                <w:sz w:val="16"/>
                <w:szCs w:val="16"/>
                <w:b w:val="1"/>
                <w:bCs w:val="1"/>
                <w:color w:val="FFFFFF"/>
                <w:w w:val="98"/>
              </w:rPr>
              <w:t>(up to</w:t>
            </w:r>
          </w:p>
        </w:tc>
        <w:tc>
          <w:tcPr>
            <w:tcW w:w="1200" w:type="dxa"/>
            <w:vAlign w:val="bottom"/>
            <w:shd w:val="clear" w:color="auto" w:fill="284993"/>
          </w:tcPr>
          <w:p>
            <w:pPr>
              <w:jc w:val="center"/>
              <w:ind w:right="60"/>
              <w:spacing w:after="0" w:line="181" w:lineRule="exact"/>
              <w:rPr>
                <w:sz w:val="20"/>
                <w:szCs w:val="20"/>
                <w:color w:val="auto"/>
              </w:rPr>
            </w:pPr>
            <w:r>
              <w:rPr>
                <w:rFonts w:ascii="Arial" w:cs="Arial" w:eastAsia="Arial" w:hAnsi="Arial"/>
                <w:sz w:val="16"/>
                <w:szCs w:val="16"/>
                <w:b w:val="1"/>
                <w:bCs w:val="1"/>
                <w:color w:val="FFFFFF"/>
                <w:w w:val="96"/>
              </w:rPr>
              <w:t>(above</w:t>
            </w:r>
          </w:p>
        </w:tc>
        <w:tc>
          <w:tcPr>
            <w:tcW w:w="2120" w:type="dxa"/>
            <w:vAlign w:val="bottom"/>
            <w:shd w:val="clear" w:color="auto" w:fill="284993"/>
          </w:tcPr>
          <w:p>
            <w:pPr>
              <w:spacing w:after="0"/>
              <w:rPr>
                <w:sz w:val="15"/>
                <w:szCs w:val="15"/>
                <w:color w:val="auto"/>
              </w:rPr>
            </w:pPr>
          </w:p>
        </w:tc>
        <w:tc>
          <w:tcPr>
            <w:tcW w:w="120" w:type="dxa"/>
            <w:vAlign w:val="bottom"/>
            <w:shd w:val="clear" w:color="auto" w:fill="284993"/>
          </w:tcPr>
          <w:p>
            <w:pPr>
              <w:spacing w:after="0"/>
              <w:rPr>
                <w:sz w:val="15"/>
                <w:szCs w:val="15"/>
                <w:color w:val="auto"/>
              </w:rPr>
            </w:pPr>
          </w:p>
        </w:tc>
        <w:tc>
          <w:tcPr>
            <w:tcW w:w="700" w:type="dxa"/>
            <w:vAlign w:val="bottom"/>
            <w:shd w:val="clear" w:color="auto" w:fill="284993"/>
          </w:tcPr>
          <w:p>
            <w:pPr>
              <w:spacing w:after="0"/>
              <w:rPr>
                <w:sz w:val="15"/>
                <w:szCs w:val="15"/>
                <w:color w:val="auto"/>
              </w:rPr>
            </w:pPr>
          </w:p>
        </w:tc>
      </w:tr>
      <w:tr>
        <w:trPr>
          <w:trHeight w:val="181"/>
        </w:trPr>
        <w:tc>
          <w:tcPr>
            <w:tcW w:w="880" w:type="dxa"/>
            <w:vAlign w:val="bottom"/>
            <w:shd w:val="clear" w:color="auto" w:fill="284993"/>
          </w:tcPr>
          <w:p>
            <w:pPr>
              <w:ind w:left="140"/>
              <w:spacing w:after="0" w:line="181" w:lineRule="exact"/>
              <w:rPr>
                <w:sz w:val="20"/>
                <w:szCs w:val="20"/>
                <w:color w:val="auto"/>
              </w:rPr>
            </w:pPr>
            <w:r>
              <w:rPr>
                <w:rFonts w:ascii="Arial" w:cs="Arial" w:eastAsia="Arial" w:hAnsi="Arial"/>
                <w:sz w:val="16"/>
                <w:szCs w:val="16"/>
                <w:b w:val="1"/>
                <w:bCs w:val="1"/>
                <w:color w:val="FFFFFF"/>
              </w:rPr>
              <w:t>Plan</w:t>
            </w:r>
          </w:p>
        </w:tc>
        <w:tc>
          <w:tcPr>
            <w:tcW w:w="1060" w:type="dxa"/>
            <w:vAlign w:val="bottom"/>
            <w:shd w:val="clear" w:color="auto" w:fill="284993"/>
          </w:tcPr>
          <w:p>
            <w:pPr>
              <w:spacing w:after="0"/>
              <w:rPr>
                <w:sz w:val="15"/>
                <w:szCs w:val="15"/>
                <w:color w:val="auto"/>
              </w:rPr>
            </w:pPr>
          </w:p>
        </w:tc>
        <w:tc>
          <w:tcPr>
            <w:tcW w:w="140" w:type="dxa"/>
            <w:vAlign w:val="bottom"/>
            <w:shd w:val="clear" w:color="auto" w:fill="284993"/>
          </w:tcPr>
          <w:p>
            <w:pPr>
              <w:spacing w:after="0"/>
              <w:rPr>
                <w:sz w:val="15"/>
                <w:szCs w:val="15"/>
                <w:color w:val="auto"/>
              </w:rPr>
            </w:pPr>
          </w:p>
        </w:tc>
        <w:tc>
          <w:tcPr>
            <w:tcW w:w="700" w:type="dxa"/>
            <w:vAlign w:val="bottom"/>
            <w:shd w:val="clear" w:color="auto" w:fill="284993"/>
          </w:tcPr>
          <w:p>
            <w:pPr>
              <w:jc w:val="center"/>
              <w:ind w:right="59"/>
              <w:spacing w:after="0" w:line="181" w:lineRule="exact"/>
              <w:rPr>
                <w:sz w:val="20"/>
                <w:szCs w:val="20"/>
                <w:color w:val="auto"/>
              </w:rPr>
            </w:pPr>
            <w:r>
              <w:rPr>
                <w:rFonts w:ascii="Arial" w:cs="Arial" w:eastAsia="Arial" w:hAnsi="Arial"/>
                <w:sz w:val="16"/>
                <w:szCs w:val="16"/>
                <w:b w:val="1"/>
                <w:bCs w:val="1"/>
                <w:color w:val="FFFFFF"/>
                <w:w w:val="97"/>
              </w:rPr>
              <w:t>Payout</w:t>
            </w:r>
          </w:p>
        </w:tc>
        <w:tc>
          <w:tcPr>
            <w:tcW w:w="160" w:type="dxa"/>
            <w:vAlign w:val="bottom"/>
            <w:shd w:val="clear" w:color="auto" w:fill="284993"/>
          </w:tcPr>
          <w:p>
            <w:pPr>
              <w:spacing w:after="0"/>
              <w:rPr>
                <w:sz w:val="15"/>
                <w:szCs w:val="15"/>
                <w:color w:val="auto"/>
              </w:rPr>
            </w:pPr>
          </w:p>
        </w:tc>
        <w:tc>
          <w:tcPr>
            <w:tcW w:w="1040" w:type="dxa"/>
            <w:vAlign w:val="bottom"/>
            <w:shd w:val="clear" w:color="auto" w:fill="284993"/>
          </w:tcPr>
          <w:p>
            <w:pPr>
              <w:jc w:val="right"/>
              <w:ind w:right="297"/>
              <w:spacing w:after="0" w:line="181" w:lineRule="exact"/>
              <w:rPr>
                <w:sz w:val="20"/>
                <w:szCs w:val="20"/>
                <w:color w:val="auto"/>
              </w:rPr>
            </w:pPr>
            <w:r>
              <w:rPr>
                <w:rFonts w:ascii="Arial" w:cs="Arial" w:eastAsia="Arial" w:hAnsi="Arial"/>
                <w:sz w:val="16"/>
                <w:szCs w:val="16"/>
                <w:b w:val="1"/>
                <w:bCs w:val="1"/>
                <w:color w:val="FFFFFF"/>
              </w:rPr>
              <w:t>Target</w:t>
            </w:r>
          </w:p>
        </w:tc>
        <w:tc>
          <w:tcPr>
            <w:tcW w:w="1200" w:type="dxa"/>
            <w:vAlign w:val="bottom"/>
            <w:shd w:val="clear" w:color="auto" w:fill="284993"/>
          </w:tcPr>
          <w:p>
            <w:pPr>
              <w:jc w:val="center"/>
              <w:ind w:right="80"/>
              <w:spacing w:after="0" w:line="181" w:lineRule="exact"/>
              <w:rPr>
                <w:sz w:val="20"/>
                <w:szCs w:val="20"/>
                <w:color w:val="auto"/>
              </w:rPr>
            </w:pPr>
            <w:r>
              <w:rPr>
                <w:rFonts w:ascii="Arial" w:cs="Arial" w:eastAsia="Arial" w:hAnsi="Arial"/>
                <w:sz w:val="16"/>
                <w:szCs w:val="16"/>
                <w:b w:val="1"/>
                <w:bCs w:val="1"/>
                <w:color w:val="FFFFFF"/>
                <w:w w:val="99"/>
              </w:rPr>
              <w:t>100% of</w:t>
            </w:r>
          </w:p>
        </w:tc>
        <w:tc>
          <w:tcPr>
            <w:tcW w:w="1200" w:type="dxa"/>
            <w:vAlign w:val="bottom"/>
            <w:shd w:val="clear" w:color="auto" w:fill="284993"/>
          </w:tcPr>
          <w:p>
            <w:pPr>
              <w:jc w:val="center"/>
              <w:ind w:right="60"/>
              <w:spacing w:after="0" w:line="181" w:lineRule="exact"/>
              <w:rPr>
                <w:sz w:val="20"/>
                <w:szCs w:val="20"/>
                <w:color w:val="auto"/>
              </w:rPr>
            </w:pPr>
            <w:r>
              <w:rPr>
                <w:rFonts w:ascii="Arial" w:cs="Arial" w:eastAsia="Arial" w:hAnsi="Arial"/>
                <w:sz w:val="16"/>
                <w:szCs w:val="16"/>
                <w:b w:val="1"/>
                <w:bCs w:val="1"/>
                <w:color w:val="FFFFFF"/>
                <w:w w:val="95"/>
              </w:rPr>
              <w:t>100% of</w:t>
            </w:r>
          </w:p>
        </w:tc>
        <w:tc>
          <w:tcPr>
            <w:tcW w:w="2120" w:type="dxa"/>
            <w:vAlign w:val="bottom"/>
            <w:shd w:val="clear" w:color="auto" w:fill="284993"/>
          </w:tcPr>
          <w:p>
            <w:pPr>
              <w:spacing w:after="0"/>
              <w:rPr>
                <w:sz w:val="15"/>
                <w:szCs w:val="15"/>
                <w:color w:val="auto"/>
              </w:rPr>
            </w:pPr>
          </w:p>
        </w:tc>
        <w:tc>
          <w:tcPr>
            <w:tcW w:w="120" w:type="dxa"/>
            <w:vAlign w:val="bottom"/>
            <w:shd w:val="clear" w:color="auto" w:fill="284993"/>
          </w:tcPr>
          <w:p>
            <w:pPr>
              <w:spacing w:after="0"/>
              <w:rPr>
                <w:sz w:val="15"/>
                <w:szCs w:val="15"/>
                <w:color w:val="auto"/>
              </w:rPr>
            </w:pPr>
          </w:p>
        </w:tc>
        <w:tc>
          <w:tcPr>
            <w:tcW w:w="700" w:type="dxa"/>
            <w:vAlign w:val="bottom"/>
            <w:shd w:val="clear" w:color="auto" w:fill="284993"/>
          </w:tcPr>
          <w:p>
            <w:pPr>
              <w:jc w:val="right"/>
              <w:ind w:right="76"/>
              <w:spacing w:after="0" w:line="181" w:lineRule="exact"/>
              <w:rPr>
                <w:sz w:val="20"/>
                <w:szCs w:val="20"/>
                <w:color w:val="auto"/>
              </w:rPr>
            </w:pPr>
            <w:r>
              <w:rPr>
                <w:rFonts w:ascii="Arial" w:cs="Arial" w:eastAsia="Arial" w:hAnsi="Arial"/>
                <w:sz w:val="16"/>
                <w:szCs w:val="16"/>
                <w:b w:val="1"/>
                <w:bCs w:val="1"/>
                <w:color w:val="FFFFFF"/>
                <w:w w:val="97"/>
              </w:rPr>
              <w:t>Payout</w:t>
            </w:r>
          </w:p>
        </w:tc>
      </w:tr>
      <w:tr>
        <w:trPr>
          <w:trHeight w:val="195"/>
        </w:trPr>
        <w:tc>
          <w:tcPr>
            <w:tcW w:w="880" w:type="dxa"/>
            <w:vAlign w:val="bottom"/>
            <w:shd w:val="clear" w:color="auto" w:fill="284993"/>
          </w:tcPr>
          <w:p>
            <w:pPr>
              <w:spacing w:after="0"/>
              <w:rPr>
                <w:sz w:val="20"/>
                <w:szCs w:val="20"/>
                <w:color w:val="auto"/>
              </w:rPr>
            </w:pPr>
            <w:r>
              <w:rPr>
                <w:rFonts w:ascii="Arial" w:cs="Arial" w:eastAsia="Arial" w:hAnsi="Arial"/>
                <w:sz w:val="16"/>
                <w:szCs w:val="16"/>
                <w:b w:val="1"/>
                <w:bCs w:val="1"/>
                <w:color w:val="FFFFFF"/>
              </w:rPr>
              <w:t>Measure</w:t>
            </w:r>
          </w:p>
        </w:tc>
        <w:tc>
          <w:tcPr>
            <w:tcW w:w="1060" w:type="dxa"/>
            <w:vAlign w:val="bottom"/>
            <w:shd w:val="clear" w:color="auto" w:fill="284993"/>
          </w:tcPr>
          <w:p>
            <w:pPr>
              <w:jc w:val="right"/>
              <w:ind w:right="137"/>
              <w:spacing w:after="0"/>
              <w:rPr>
                <w:sz w:val="20"/>
                <w:szCs w:val="20"/>
                <w:color w:val="auto"/>
              </w:rPr>
            </w:pPr>
            <w:r>
              <w:rPr>
                <w:rFonts w:ascii="Arial" w:cs="Arial" w:eastAsia="Arial" w:hAnsi="Arial"/>
                <w:sz w:val="16"/>
                <w:szCs w:val="16"/>
                <w:b w:val="1"/>
                <w:bCs w:val="1"/>
                <w:color w:val="FFFFFF"/>
              </w:rPr>
              <w:t>Weighting</w:t>
            </w:r>
          </w:p>
        </w:tc>
        <w:tc>
          <w:tcPr>
            <w:tcW w:w="140" w:type="dxa"/>
            <w:vAlign w:val="bottom"/>
            <w:shd w:val="clear" w:color="auto" w:fill="284993"/>
          </w:tcPr>
          <w:p>
            <w:pPr>
              <w:spacing w:after="0"/>
              <w:rPr>
                <w:sz w:val="17"/>
                <w:szCs w:val="17"/>
                <w:color w:val="auto"/>
              </w:rPr>
            </w:pPr>
          </w:p>
        </w:tc>
        <w:tc>
          <w:tcPr>
            <w:tcW w:w="700" w:type="dxa"/>
            <w:vAlign w:val="bottom"/>
            <w:shd w:val="clear" w:color="auto" w:fill="284993"/>
          </w:tcPr>
          <w:p>
            <w:pPr>
              <w:jc w:val="center"/>
              <w:ind w:right="79"/>
              <w:spacing w:after="0"/>
              <w:rPr>
                <w:sz w:val="20"/>
                <w:szCs w:val="20"/>
                <w:color w:val="auto"/>
              </w:rPr>
            </w:pPr>
            <w:r>
              <w:rPr>
                <w:rFonts w:ascii="Arial" w:cs="Arial" w:eastAsia="Arial" w:hAnsi="Arial"/>
                <w:sz w:val="16"/>
                <w:szCs w:val="16"/>
                <w:b w:val="1"/>
                <w:bCs w:val="1"/>
                <w:color w:val="FFFFFF"/>
                <w:w w:val="91"/>
              </w:rPr>
              <w:t>($)</w:t>
            </w:r>
          </w:p>
        </w:tc>
        <w:tc>
          <w:tcPr>
            <w:tcW w:w="1200" w:type="dxa"/>
            <w:vAlign w:val="bottom"/>
            <w:gridSpan w:val="2"/>
            <w:shd w:val="clear" w:color="auto" w:fill="284993"/>
          </w:tcPr>
          <w:p>
            <w:pPr>
              <w:jc w:val="right"/>
              <w:ind w:right="37"/>
              <w:spacing w:after="0"/>
              <w:rPr>
                <w:sz w:val="20"/>
                <w:szCs w:val="20"/>
                <w:color w:val="auto"/>
              </w:rPr>
            </w:pPr>
            <w:r>
              <w:rPr>
                <w:rFonts w:ascii="Arial" w:cs="Arial" w:eastAsia="Arial" w:hAnsi="Arial"/>
                <w:sz w:val="16"/>
                <w:szCs w:val="16"/>
                <w:b w:val="1"/>
                <w:bCs w:val="1"/>
                <w:color w:val="FFFFFF"/>
              </w:rPr>
              <w:t>Performance</w:t>
            </w:r>
          </w:p>
        </w:tc>
        <w:tc>
          <w:tcPr>
            <w:tcW w:w="1200" w:type="dxa"/>
            <w:vAlign w:val="bottom"/>
            <w:shd w:val="clear" w:color="auto" w:fill="284993"/>
          </w:tcPr>
          <w:p>
            <w:pPr>
              <w:jc w:val="center"/>
              <w:ind w:right="80"/>
              <w:spacing w:after="0"/>
              <w:rPr>
                <w:sz w:val="20"/>
                <w:szCs w:val="20"/>
                <w:color w:val="auto"/>
              </w:rPr>
            </w:pPr>
            <w:r>
              <w:rPr>
                <w:rFonts w:ascii="Arial" w:cs="Arial" w:eastAsia="Arial" w:hAnsi="Arial"/>
                <w:sz w:val="16"/>
                <w:szCs w:val="16"/>
                <w:b w:val="1"/>
                <w:bCs w:val="1"/>
                <w:color w:val="FFFFFF"/>
                <w:w w:val="95"/>
              </w:rPr>
              <w:t>Target)</w:t>
            </w:r>
          </w:p>
        </w:tc>
        <w:tc>
          <w:tcPr>
            <w:tcW w:w="1200" w:type="dxa"/>
            <w:vAlign w:val="bottom"/>
            <w:shd w:val="clear" w:color="auto" w:fill="284993"/>
          </w:tcPr>
          <w:p>
            <w:pPr>
              <w:jc w:val="center"/>
              <w:ind w:right="80"/>
              <w:spacing w:after="0"/>
              <w:rPr>
                <w:sz w:val="20"/>
                <w:szCs w:val="20"/>
                <w:color w:val="auto"/>
              </w:rPr>
            </w:pPr>
            <w:r>
              <w:rPr>
                <w:rFonts w:ascii="Arial" w:cs="Arial" w:eastAsia="Arial" w:hAnsi="Arial"/>
                <w:sz w:val="16"/>
                <w:szCs w:val="16"/>
                <w:b w:val="1"/>
                <w:bCs w:val="1"/>
                <w:color w:val="FFFFFF"/>
                <w:w w:val="95"/>
              </w:rPr>
              <w:t>Target)</w:t>
            </w:r>
          </w:p>
        </w:tc>
        <w:tc>
          <w:tcPr>
            <w:tcW w:w="2120" w:type="dxa"/>
            <w:vAlign w:val="bottom"/>
            <w:shd w:val="clear" w:color="auto" w:fill="284993"/>
          </w:tcPr>
          <w:p>
            <w:pPr>
              <w:ind w:left="340"/>
              <w:spacing w:after="0"/>
              <w:rPr>
                <w:sz w:val="20"/>
                <w:szCs w:val="20"/>
                <w:color w:val="auto"/>
              </w:rPr>
            </w:pPr>
            <w:r>
              <w:rPr>
                <w:rFonts w:ascii="Arial" w:cs="Arial" w:eastAsia="Arial" w:hAnsi="Arial"/>
                <w:sz w:val="16"/>
                <w:szCs w:val="16"/>
                <w:b w:val="1"/>
                <w:bCs w:val="1"/>
                <w:color w:val="FFFFFF"/>
              </w:rPr>
              <w:t>Actual Performance</w:t>
            </w:r>
          </w:p>
        </w:tc>
        <w:tc>
          <w:tcPr>
            <w:tcW w:w="120" w:type="dxa"/>
            <w:vAlign w:val="bottom"/>
            <w:shd w:val="clear" w:color="auto" w:fill="284993"/>
          </w:tcPr>
          <w:p>
            <w:pPr>
              <w:spacing w:after="0"/>
              <w:rPr>
                <w:sz w:val="17"/>
                <w:szCs w:val="17"/>
                <w:color w:val="auto"/>
              </w:rPr>
            </w:pPr>
          </w:p>
        </w:tc>
        <w:tc>
          <w:tcPr>
            <w:tcW w:w="700" w:type="dxa"/>
            <w:vAlign w:val="bottom"/>
            <w:shd w:val="clear" w:color="auto" w:fill="284993"/>
          </w:tcPr>
          <w:p>
            <w:pPr>
              <w:jc w:val="right"/>
              <w:ind w:right="256"/>
              <w:spacing w:after="0"/>
              <w:rPr>
                <w:sz w:val="20"/>
                <w:szCs w:val="20"/>
                <w:color w:val="auto"/>
              </w:rPr>
            </w:pPr>
            <w:r>
              <w:rPr>
                <w:rFonts w:ascii="Arial" w:cs="Arial" w:eastAsia="Arial" w:hAnsi="Arial"/>
                <w:sz w:val="16"/>
                <w:szCs w:val="16"/>
                <w:b w:val="1"/>
                <w:bCs w:val="1"/>
                <w:color w:val="FFFFFF"/>
              </w:rPr>
              <w:t>($)</w:t>
            </w:r>
          </w:p>
        </w:tc>
      </w:tr>
      <w:tr>
        <w:trPr>
          <w:trHeight w:val="194"/>
        </w:trPr>
        <w:tc>
          <w:tcPr>
            <w:tcW w:w="880" w:type="dxa"/>
            <w:vAlign w:val="bottom"/>
          </w:tcPr>
          <w:p>
            <w:pPr>
              <w:ind w:left="100"/>
              <w:spacing w:after="0" w:line="194" w:lineRule="exact"/>
              <w:rPr>
                <w:sz w:val="20"/>
                <w:szCs w:val="20"/>
                <w:color w:val="auto"/>
              </w:rPr>
            </w:pPr>
            <w:r>
              <w:rPr>
                <w:rFonts w:ascii="Arial" w:cs="Arial" w:eastAsia="Arial" w:hAnsi="Arial"/>
                <w:sz w:val="17"/>
                <w:szCs w:val="17"/>
                <w:color w:val="auto"/>
              </w:rPr>
              <w:t>ARR</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25%</w:t>
            </w: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64,750</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34,000,000</w:t>
            </w: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0.19044%</w:t>
            </w: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0.76176%</w:t>
            </w:r>
          </w:p>
        </w:tc>
        <w:tc>
          <w:tcPr>
            <w:tcW w:w="2120" w:type="dxa"/>
            <w:vAlign w:val="bottom"/>
          </w:tcPr>
          <w:p>
            <w:pPr>
              <w:jc w:val="right"/>
              <w:spacing w:after="0" w:line="194" w:lineRule="exact"/>
              <w:rPr>
                <w:sz w:val="20"/>
                <w:szCs w:val="20"/>
                <w:color w:val="auto"/>
              </w:rPr>
            </w:pPr>
            <w:r>
              <w:rPr>
                <w:rFonts w:ascii="Arial" w:cs="Arial" w:eastAsia="Arial" w:hAnsi="Arial"/>
                <w:sz w:val="17"/>
                <w:szCs w:val="17"/>
                <w:color w:val="auto"/>
              </w:rPr>
              <w:t>$28,241,513</w:t>
            </w:r>
          </w:p>
        </w:tc>
        <w:tc>
          <w:tcPr>
            <w:tcW w:w="1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42,045</w:t>
            </w:r>
          </w:p>
        </w:tc>
      </w:tr>
      <w:tr>
        <w:trPr>
          <w:trHeight w:val="177"/>
        </w:trPr>
        <w:tc>
          <w:tcPr>
            <w:tcW w:w="880" w:type="dxa"/>
            <w:vAlign w:val="bottom"/>
            <w:shd w:val="clear" w:color="auto" w:fill="9DBDE4"/>
          </w:tcPr>
          <w:p>
            <w:pPr>
              <w:ind w:left="100"/>
              <w:spacing w:after="0" w:line="177" w:lineRule="exact"/>
              <w:rPr>
                <w:sz w:val="20"/>
                <w:szCs w:val="20"/>
                <w:color w:val="auto"/>
              </w:rPr>
            </w:pPr>
            <w:r>
              <w:rPr>
                <w:rFonts w:ascii="Arial" w:cs="Arial" w:eastAsia="Arial" w:hAnsi="Arial"/>
                <w:sz w:val="17"/>
                <w:szCs w:val="17"/>
                <w:color w:val="auto"/>
              </w:rPr>
              <w:t>License</w:t>
            </w:r>
          </w:p>
        </w:tc>
        <w:tc>
          <w:tcPr>
            <w:tcW w:w="1060" w:type="dxa"/>
            <w:vAlign w:val="bottom"/>
            <w:shd w:val="clear" w:color="auto" w:fill="9DBDE4"/>
          </w:tcPr>
          <w:p>
            <w:pPr>
              <w:spacing w:after="0"/>
              <w:rPr>
                <w:sz w:val="15"/>
                <w:szCs w:val="15"/>
                <w:color w:val="auto"/>
              </w:rPr>
            </w:pPr>
          </w:p>
        </w:tc>
        <w:tc>
          <w:tcPr>
            <w:tcW w:w="140" w:type="dxa"/>
            <w:vAlign w:val="bottom"/>
            <w:shd w:val="clear" w:color="auto" w:fill="9DBDE4"/>
          </w:tcPr>
          <w:p>
            <w:pPr>
              <w:spacing w:after="0"/>
              <w:rPr>
                <w:sz w:val="15"/>
                <w:szCs w:val="15"/>
                <w:color w:val="auto"/>
              </w:rPr>
            </w:pPr>
          </w:p>
        </w:tc>
        <w:tc>
          <w:tcPr>
            <w:tcW w:w="700" w:type="dxa"/>
            <w:vAlign w:val="bottom"/>
            <w:shd w:val="clear" w:color="auto" w:fill="9DBDE4"/>
          </w:tcPr>
          <w:p>
            <w:pPr>
              <w:spacing w:after="0"/>
              <w:rPr>
                <w:sz w:val="15"/>
                <w:szCs w:val="15"/>
                <w:color w:val="auto"/>
              </w:rPr>
            </w:pPr>
          </w:p>
        </w:tc>
        <w:tc>
          <w:tcPr>
            <w:tcW w:w="160" w:type="dxa"/>
            <w:vAlign w:val="bottom"/>
            <w:shd w:val="clear" w:color="auto" w:fill="9DBDE4"/>
          </w:tcPr>
          <w:p>
            <w:pPr>
              <w:spacing w:after="0"/>
              <w:rPr>
                <w:sz w:val="15"/>
                <w:szCs w:val="15"/>
                <w:color w:val="auto"/>
              </w:rPr>
            </w:pPr>
          </w:p>
        </w:tc>
        <w:tc>
          <w:tcPr>
            <w:tcW w:w="1040" w:type="dxa"/>
            <w:vAlign w:val="bottom"/>
            <w:shd w:val="clear" w:color="auto" w:fill="9DBDE4"/>
          </w:tcPr>
          <w:p>
            <w:pPr>
              <w:spacing w:after="0"/>
              <w:rPr>
                <w:sz w:val="15"/>
                <w:szCs w:val="15"/>
                <w:color w:val="auto"/>
              </w:rPr>
            </w:pPr>
          </w:p>
        </w:tc>
        <w:tc>
          <w:tcPr>
            <w:tcW w:w="1200" w:type="dxa"/>
            <w:vAlign w:val="bottom"/>
            <w:shd w:val="clear" w:color="auto" w:fill="9DBDE4"/>
          </w:tcPr>
          <w:p>
            <w:pPr>
              <w:spacing w:after="0"/>
              <w:rPr>
                <w:sz w:val="15"/>
                <w:szCs w:val="15"/>
                <w:color w:val="auto"/>
              </w:rPr>
            </w:pPr>
          </w:p>
        </w:tc>
        <w:tc>
          <w:tcPr>
            <w:tcW w:w="1200" w:type="dxa"/>
            <w:vAlign w:val="bottom"/>
            <w:shd w:val="clear" w:color="auto" w:fill="9DBDE4"/>
          </w:tcPr>
          <w:p>
            <w:pPr>
              <w:spacing w:after="0"/>
              <w:rPr>
                <w:sz w:val="15"/>
                <w:szCs w:val="15"/>
                <w:color w:val="auto"/>
              </w:rPr>
            </w:pPr>
          </w:p>
        </w:tc>
        <w:tc>
          <w:tcPr>
            <w:tcW w:w="2120" w:type="dxa"/>
            <w:vAlign w:val="bottom"/>
            <w:shd w:val="clear" w:color="auto" w:fill="9DBDE4"/>
          </w:tcPr>
          <w:p>
            <w:pPr>
              <w:spacing w:after="0"/>
              <w:rPr>
                <w:sz w:val="15"/>
                <w:szCs w:val="15"/>
                <w:color w:val="auto"/>
              </w:rPr>
            </w:pPr>
          </w:p>
        </w:tc>
        <w:tc>
          <w:tcPr>
            <w:tcW w:w="120" w:type="dxa"/>
            <w:vAlign w:val="bottom"/>
            <w:shd w:val="clear" w:color="auto" w:fill="9DBDE4"/>
          </w:tcPr>
          <w:p>
            <w:pPr>
              <w:spacing w:after="0"/>
              <w:rPr>
                <w:sz w:val="15"/>
                <w:szCs w:val="15"/>
                <w:color w:val="auto"/>
              </w:rPr>
            </w:pPr>
          </w:p>
        </w:tc>
        <w:tc>
          <w:tcPr>
            <w:tcW w:w="700" w:type="dxa"/>
            <w:vAlign w:val="bottom"/>
            <w:shd w:val="clear" w:color="auto" w:fill="9DBDE4"/>
          </w:tcPr>
          <w:p>
            <w:pPr>
              <w:spacing w:after="0"/>
              <w:rPr>
                <w:sz w:val="15"/>
                <w:szCs w:val="15"/>
                <w:color w:val="auto"/>
              </w:rPr>
            </w:pPr>
          </w:p>
        </w:tc>
      </w:tr>
      <w:tr>
        <w:trPr>
          <w:trHeight w:val="194"/>
        </w:trPr>
        <w:tc>
          <w:tcPr>
            <w:tcW w:w="880" w:type="dxa"/>
            <w:vAlign w:val="bottom"/>
            <w:shd w:val="clear" w:color="auto" w:fill="9DBDE4"/>
          </w:tcPr>
          <w:p>
            <w:pPr>
              <w:ind w:left="100"/>
              <w:spacing w:after="0" w:line="194" w:lineRule="exact"/>
              <w:rPr>
                <w:sz w:val="20"/>
                <w:szCs w:val="20"/>
                <w:color w:val="auto"/>
              </w:rPr>
            </w:pPr>
            <w:r>
              <w:rPr>
                <w:rFonts w:ascii="Arial" w:cs="Arial" w:eastAsia="Arial" w:hAnsi="Arial"/>
                <w:sz w:val="17"/>
                <w:szCs w:val="17"/>
                <w:color w:val="auto"/>
              </w:rPr>
              <w:t>RFS and</w:t>
            </w:r>
          </w:p>
        </w:tc>
        <w:tc>
          <w:tcPr>
            <w:tcW w:w="1060" w:type="dxa"/>
            <w:vAlign w:val="bottom"/>
            <w:shd w:val="clear" w:color="auto" w:fill="9DBDE4"/>
          </w:tcPr>
          <w:p>
            <w:pPr>
              <w:spacing w:after="0"/>
              <w:rPr>
                <w:sz w:val="16"/>
                <w:szCs w:val="16"/>
                <w:color w:val="auto"/>
              </w:rPr>
            </w:pPr>
          </w:p>
        </w:tc>
        <w:tc>
          <w:tcPr>
            <w:tcW w:w="140" w:type="dxa"/>
            <w:vAlign w:val="bottom"/>
            <w:shd w:val="clear" w:color="auto" w:fill="9DBDE4"/>
          </w:tcPr>
          <w:p>
            <w:pPr>
              <w:spacing w:after="0"/>
              <w:rPr>
                <w:sz w:val="16"/>
                <w:szCs w:val="16"/>
                <w:color w:val="auto"/>
              </w:rPr>
            </w:pPr>
          </w:p>
        </w:tc>
        <w:tc>
          <w:tcPr>
            <w:tcW w:w="700" w:type="dxa"/>
            <w:vAlign w:val="bottom"/>
            <w:shd w:val="clear" w:color="auto" w:fill="9DBDE4"/>
          </w:tcPr>
          <w:p>
            <w:pPr>
              <w:spacing w:after="0"/>
              <w:rPr>
                <w:sz w:val="16"/>
                <w:szCs w:val="16"/>
                <w:color w:val="auto"/>
              </w:rPr>
            </w:pPr>
          </w:p>
        </w:tc>
        <w:tc>
          <w:tcPr>
            <w:tcW w:w="160" w:type="dxa"/>
            <w:vAlign w:val="bottom"/>
            <w:shd w:val="clear" w:color="auto" w:fill="9DBDE4"/>
          </w:tcPr>
          <w:p>
            <w:pPr>
              <w:spacing w:after="0"/>
              <w:rPr>
                <w:sz w:val="16"/>
                <w:szCs w:val="16"/>
                <w:color w:val="auto"/>
              </w:rPr>
            </w:pPr>
          </w:p>
        </w:tc>
        <w:tc>
          <w:tcPr>
            <w:tcW w:w="1040" w:type="dxa"/>
            <w:vAlign w:val="bottom"/>
            <w:shd w:val="clear" w:color="auto" w:fill="9DBDE4"/>
          </w:tcPr>
          <w:p>
            <w:pPr>
              <w:spacing w:after="0"/>
              <w:rPr>
                <w:sz w:val="16"/>
                <w:szCs w:val="16"/>
                <w:color w:val="auto"/>
              </w:rPr>
            </w:pPr>
          </w:p>
        </w:tc>
        <w:tc>
          <w:tcPr>
            <w:tcW w:w="1200" w:type="dxa"/>
            <w:vAlign w:val="bottom"/>
            <w:shd w:val="clear" w:color="auto" w:fill="9DBDE4"/>
          </w:tcPr>
          <w:p>
            <w:pPr>
              <w:spacing w:after="0"/>
              <w:rPr>
                <w:sz w:val="16"/>
                <w:szCs w:val="16"/>
                <w:color w:val="auto"/>
              </w:rPr>
            </w:pPr>
          </w:p>
        </w:tc>
        <w:tc>
          <w:tcPr>
            <w:tcW w:w="1200" w:type="dxa"/>
            <w:vAlign w:val="bottom"/>
            <w:shd w:val="clear" w:color="auto" w:fill="9DBDE4"/>
          </w:tcPr>
          <w:p>
            <w:pPr>
              <w:spacing w:after="0"/>
              <w:rPr>
                <w:sz w:val="16"/>
                <w:szCs w:val="16"/>
                <w:color w:val="auto"/>
              </w:rPr>
            </w:pPr>
          </w:p>
        </w:tc>
        <w:tc>
          <w:tcPr>
            <w:tcW w:w="2120" w:type="dxa"/>
            <w:vAlign w:val="bottom"/>
            <w:shd w:val="clear" w:color="auto" w:fill="9DBDE4"/>
          </w:tcPr>
          <w:p>
            <w:pPr>
              <w:spacing w:after="0"/>
              <w:rPr>
                <w:sz w:val="16"/>
                <w:szCs w:val="16"/>
                <w:color w:val="auto"/>
              </w:rPr>
            </w:pPr>
          </w:p>
        </w:tc>
        <w:tc>
          <w:tcPr>
            <w:tcW w:w="120" w:type="dxa"/>
            <w:vAlign w:val="bottom"/>
            <w:shd w:val="clear" w:color="auto" w:fill="9DBDE4"/>
          </w:tcPr>
          <w:p>
            <w:pPr>
              <w:spacing w:after="0"/>
              <w:rPr>
                <w:sz w:val="16"/>
                <w:szCs w:val="16"/>
                <w:color w:val="auto"/>
              </w:rPr>
            </w:pPr>
          </w:p>
        </w:tc>
        <w:tc>
          <w:tcPr>
            <w:tcW w:w="700" w:type="dxa"/>
            <w:vAlign w:val="bottom"/>
            <w:shd w:val="clear" w:color="auto" w:fill="9DBDE4"/>
          </w:tcPr>
          <w:p>
            <w:pPr>
              <w:spacing w:after="0"/>
              <w:rPr>
                <w:sz w:val="16"/>
                <w:szCs w:val="16"/>
                <w:color w:val="auto"/>
              </w:rPr>
            </w:pPr>
          </w:p>
        </w:tc>
      </w:tr>
      <w:tr>
        <w:trPr>
          <w:trHeight w:val="211"/>
        </w:trPr>
        <w:tc>
          <w:tcPr>
            <w:tcW w:w="880" w:type="dxa"/>
            <w:vAlign w:val="bottom"/>
            <w:shd w:val="clear" w:color="auto" w:fill="9DBDE4"/>
          </w:tcPr>
          <w:p>
            <w:pPr>
              <w:ind w:left="100"/>
              <w:spacing w:after="0"/>
              <w:rPr>
                <w:sz w:val="20"/>
                <w:szCs w:val="20"/>
                <w:color w:val="auto"/>
              </w:rPr>
            </w:pPr>
            <w:r>
              <w:rPr>
                <w:rFonts w:ascii="Arial" w:cs="Arial" w:eastAsia="Arial" w:hAnsi="Arial"/>
                <w:sz w:val="17"/>
                <w:szCs w:val="17"/>
                <w:color w:val="auto"/>
              </w:rPr>
              <w:t>Services</w:t>
            </w:r>
          </w:p>
        </w:tc>
        <w:tc>
          <w:tcPr>
            <w:tcW w:w="1060" w:type="dxa"/>
            <w:vAlign w:val="bottom"/>
            <w:shd w:val="clear" w:color="auto" w:fill="9DBDE4"/>
          </w:tcPr>
          <w:p>
            <w:pPr>
              <w:jc w:val="right"/>
              <w:spacing w:after="0"/>
              <w:rPr>
                <w:sz w:val="20"/>
                <w:szCs w:val="20"/>
                <w:color w:val="auto"/>
              </w:rPr>
            </w:pPr>
            <w:r>
              <w:rPr>
                <w:rFonts w:ascii="Arial" w:cs="Arial" w:eastAsia="Arial" w:hAnsi="Arial"/>
                <w:sz w:val="17"/>
                <w:szCs w:val="17"/>
                <w:color w:val="auto"/>
              </w:rPr>
              <w:t>75%</w:t>
            </w:r>
          </w:p>
        </w:tc>
        <w:tc>
          <w:tcPr>
            <w:tcW w:w="140" w:type="dxa"/>
            <w:vAlign w:val="bottom"/>
            <w:shd w:val="clear" w:color="auto" w:fill="9DBDE4"/>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9DBDE4"/>
          </w:tcPr>
          <w:p>
            <w:pPr>
              <w:jc w:val="right"/>
              <w:spacing w:after="0"/>
              <w:rPr>
                <w:sz w:val="20"/>
                <w:szCs w:val="20"/>
                <w:color w:val="auto"/>
              </w:rPr>
            </w:pPr>
            <w:r>
              <w:rPr>
                <w:rFonts w:ascii="Arial" w:cs="Arial" w:eastAsia="Arial" w:hAnsi="Arial"/>
                <w:sz w:val="17"/>
                <w:szCs w:val="17"/>
                <w:color w:val="auto"/>
              </w:rPr>
              <w:t>194,250</w:t>
            </w:r>
          </w:p>
        </w:tc>
        <w:tc>
          <w:tcPr>
            <w:tcW w:w="160" w:type="dxa"/>
            <w:vAlign w:val="bottom"/>
            <w:shd w:val="clear" w:color="auto" w:fill="9DBDE4"/>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9DBDE4"/>
          </w:tcPr>
          <w:p>
            <w:pPr>
              <w:jc w:val="right"/>
              <w:spacing w:after="0"/>
              <w:rPr>
                <w:sz w:val="20"/>
                <w:szCs w:val="20"/>
                <w:color w:val="auto"/>
              </w:rPr>
            </w:pPr>
            <w:r>
              <w:rPr>
                <w:rFonts w:ascii="Arial" w:cs="Arial" w:eastAsia="Arial" w:hAnsi="Arial"/>
                <w:sz w:val="17"/>
                <w:szCs w:val="17"/>
                <w:color w:val="auto"/>
              </w:rPr>
              <w:t>227,893,567</w:t>
            </w:r>
          </w:p>
        </w:tc>
        <w:tc>
          <w:tcPr>
            <w:tcW w:w="1200" w:type="dxa"/>
            <w:vAlign w:val="bottom"/>
            <w:shd w:val="clear" w:color="auto" w:fill="9DBDE4"/>
          </w:tcPr>
          <w:p>
            <w:pPr>
              <w:jc w:val="right"/>
              <w:spacing w:after="0"/>
              <w:rPr>
                <w:sz w:val="20"/>
                <w:szCs w:val="20"/>
                <w:color w:val="auto"/>
              </w:rPr>
            </w:pPr>
            <w:r>
              <w:rPr>
                <w:rFonts w:ascii="Arial" w:cs="Arial" w:eastAsia="Arial" w:hAnsi="Arial"/>
                <w:sz w:val="17"/>
                <w:szCs w:val="17"/>
                <w:color w:val="auto"/>
              </w:rPr>
              <w:t>0.08524%</w:t>
            </w:r>
          </w:p>
        </w:tc>
        <w:tc>
          <w:tcPr>
            <w:tcW w:w="1200" w:type="dxa"/>
            <w:vAlign w:val="bottom"/>
            <w:shd w:val="clear" w:color="auto" w:fill="9DBDE4"/>
          </w:tcPr>
          <w:p>
            <w:pPr>
              <w:jc w:val="right"/>
              <w:spacing w:after="0"/>
              <w:rPr>
                <w:sz w:val="20"/>
                <w:szCs w:val="20"/>
                <w:color w:val="auto"/>
              </w:rPr>
            </w:pPr>
            <w:r>
              <w:rPr>
                <w:rFonts w:ascii="Arial" w:cs="Arial" w:eastAsia="Arial" w:hAnsi="Arial"/>
                <w:sz w:val="17"/>
                <w:szCs w:val="17"/>
                <w:color w:val="auto"/>
              </w:rPr>
              <w:t>0.34096%</w:t>
            </w:r>
          </w:p>
        </w:tc>
        <w:tc>
          <w:tcPr>
            <w:tcW w:w="2120" w:type="dxa"/>
            <w:vAlign w:val="bottom"/>
            <w:shd w:val="clear" w:color="auto" w:fill="9DBDE4"/>
          </w:tcPr>
          <w:p>
            <w:pPr>
              <w:jc w:val="right"/>
              <w:spacing w:after="0"/>
              <w:rPr>
                <w:sz w:val="20"/>
                <w:szCs w:val="20"/>
                <w:color w:val="auto"/>
              </w:rPr>
            </w:pPr>
            <w:r>
              <w:rPr>
                <w:rFonts w:ascii="Arial" w:cs="Arial" w:eastAsia="Arial" w:hAnsi="Arial"/>
                <w:sz w:val="17"/>
                <w:szCs w:val="17"/>
                <w:color w:val="auto"/>
              </w:rPr>
              <w:t>$242,502,044</w:t>
            </w:r>
          </w:p>
        </w:tc>
        <w:tc>
          <w:tcPr>
            <w:tcW w:w="120" w:type="dxa"/>
            <w:vAlign w:val="bottom"/>
            <w:shd w:val="clear" w:color="auto" w:fill="9DBDE4"/>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9DBDE4"/>
          </w:tcPr>
          <w:p>
            <w:pPr>
              <w:jc w:val="right"/>
              <w:spacing w:after="0"/>
              <w:rPr>
                <w:sz w:val="20"/>
                <w:szCs w:val="20"/>
                <w:color w:val="auto"/>
              </w:rPr>
            </w:pPr>
            <w:r>
              <w:rPr>
                <w:rFonts w:ascii="Arial" w:cs="Arial" w:eastAsia="Arial" w:hAnsi="Arial"/>
                <w:sz w:val="17"/>
                <w:szCs w:val="17"/>
                <w:color w:val="auto"/>
              </w:rPr>
              <w:t>244,066</w:t>
            </w:r>
          </w:p>
        </w:tc>
      </w:tr>
      <w:tr>
        <w:trPr>
          <w:trHeight w:val="175"/>
        </w:trPr>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120" w:type="dxa"/>
            <w:vAlign w:val="bottom"/>
          </w:tcPr>
          <w:p>
            <w:pPr>
              <w:ind w:left="60"/>
              <w:spacing w:after="0" w:line="176" w:lineRule="exact"/>
              <w:rPr>
                <w:sz w:val="20"/>
                <w:szCs w:val="20"/>
                <w:color w:val="auto"/>
              </w:rPr>
            </w:pPr>
            <w:r>
              <w:rPr>
                <w:rFonts w:ascii="Arial" w:cs="Arial" w:eastAsia="Arial" w:hAnsi="Arial"/>
                <w:sz w:val="17"/>
                <w:szCs w:val="17"/>
                <w:b w:val="1"/>
                <w:bCs w:val="1"/>
                <w:color w:val="auto"/>
              </w:rPr>
              <w:t>Commission Payout:</w:t>
            </w:r>
          </w:p>
        </w:tc>
        <w:tc>
          <w:tcPr>
            <w:tcW w:w="120" w:type="dxa"/>
            <w:vAlign w:val="bottom"/>
          </w:tcPr>
          <w:p>
            <w:pPr>
              <w:jc w:val="right"/>
              <w:spacing w:after="0" w:line="176" w:lineRule="exact"/>
              <w:rPr>
                <w:sz w:val="20"/>
                <w:szCs w:val="20"/>
                <w:color w:val="auto"/>
              </w:rPr>
            </w:pPr>
            <w:r>
              <w:rPr>
                <w:rFonts w:ascii="Arial" w:cs="Arial" w:eastAsia="Arial" w:hAnsi="Arial"/>
                <w:sz w:val="17"/>
                <w:szCs w:val="17"/>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7"/>
                <w:szCs w:val="17"/>
                <w:color w:val="auto"/>
              </w:rPr>
              <w:t>286,111</w:t>
            </w:r>
          </w:p>
        </w:tc>
      </w:tr>
      <w:tr>
        <w:trPr>
          <w:trHeight w:val="194"/>
        </w:trPr>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120" w:type="dxa"/>
            <w:vAlign w:val="bottom"/>
          </w:tcPr>
          <w:p>
            <w:pPr>
              <w:ind w:left="60"/>
              <w:spacing w:after="0" w:line="194" w:lineRule="exact"/>
              <w:rPr>
                <w:sz w:val="20"/>
                <w:szCs w:val="20"/>
                <w:color w:val="auto"/>
              </w:rPr>
            </w:pPr>
            <w:r>
              <w:rPr>
                <w:rFonts w:ascii="Arial" w:cs="Arial" w:eastAsia="Arial" w:hAnsi="Arial"/>
                <w:sz w:val="15"/>
                <w:szCs w:val="15"/>
                <w:b w:val="1"/>
                <w:bCs w:val="1"/>
                <w:color w:val="auto"/>
              </w:rPr>
              <w:t>Growth Accelerator</w:t>
            </w:r>
            <w:r>
              <w:rPr>
                <w:rFonts w:ascii="Arial" w:cs="Arial" w:eastAsia="Arial" w:hAnsi="Arial"/>
                <w:sz w:val="22"/>
                <w:szCs w:val="22"/>
                <w:b w:val="1"/>
                <w:bCs w:val="1"/>
                <w:color w:val="auto"/>
                <w:vertAlign w:val="superscript"/>
              </w:rPr>
              <w:t>(1)</w:t>
            </w:r>
            <w:r>
              <w:rPr>
                <w:rFonts w:ascii="Arial" w:cs="Arial" w:eastAsia="Arial" w:hAnsi="Arial"/>
                <w:sz w:val="15"/>
                <w:szCs w:val="15"/>
                <w:b w:val="1"/>
                <w:bCs w:val="1"/>
                <w:color w:val="auto"/>
              </w:rPr>
              <w:t>:</w:t>
            </w:r>
          </w:p>
        </w:tc>
        <w:tc>
          <w:tcPr>
            <w:tcW w:w="1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90,650</w:t>
            </w:r>
          </w:p>
        </w:tc>
      </w:tr>
      <w:tr>
        <w:trPr>
          <w:trHeight w:val="213"/>
        </w:trPr>
        <w:tc>
          <w:tcPr>
            <w:tcW w:w="880" w:type="dxa"/>
            <w:vAlign w:val="bottom"/>
            <w:tcBorders>
              <w:bottom w:val="single" w:sz="8" w:color="284993"/>
            </w:tcBorders>
          </w:tcPr>
          <w:p>
            <w:pPr>
              <w:spacing w:after="0"/>
              <w:rPr>
                <w:sz w:val="18"/>
                <w:szCs w:val="18"/>
                <w:color w:val="auto"/>
              </w:rPr>
            </w:pPr>
          </w:p>
        </w:tc>
        <w:tc>
          <w:tcPr>
            <w:tcW w:w="1060" w:type="dxa"/>
            <w:vAlign w:val="bottom"/>
            <w:tcBorders>
              <w:bottom w:val="single" w:sz="8" w:color="284993"/>
            </w:tcBorders>
          </w:tcPr>
          <w:p>
            <w:pPr>
              <w:spacing w:after="0"/>
              <w:rPr>
                <w:sz w:val="18"/>
                <w:szCs w:val="18"/>
                <w:color w:val="auto"/>
              </w:rPr>
            </w:pPr>
          </w:p>
        </w:tc>
        <w:tc>
          <w:tcPr>
            <w:tcW w:w="140" w:type="dxa"/>
            <w:vAlign w:val="bottom"/>
            <w:tcBorders>
              <w:bottom w:val="single" w:sz="8" w:color="284993"/>
            </w:tcBorders>
          </w:tcPr>
          <w:p>
            <w:pPr>
              <w:spacing w:after="0"/>
              <w:rPr>
                <w:sz w:val="18"/>
                <w:szCs w:val="18"/>
                <w:color w:val="auto"/>
              </w:rPr>
            </w:pPr>
          </w:p>
        </w:tc>
        <w:tc>
          <w:tcPr>
            <w:tcW w:w="700" w:type="dxa"/>
            <w:vAlign w:val="bottom"/>
            <w:tcBorders>
              <w:bottom w:val="single" w:sz="8" w:color="284993"/>
            </w:tcBorders>
          </w:tcPr>
          <w:p>
            <w:pPr>
              <w:spacing w:after="0"/>
              <w:rPr>
                <w:sz w:val="18"/>
                <w:szCs w:val="18"/>
                <w:color w:val="auto"/>
              </w:rPr>
            </w:pPr>
          </w:p>
        </w:tc>
        <w:tc>
          <w:tcPr>
            <w:tcW w:w="160" w:type="dxa"/>
            <w:vAlign w:val="bottom"/>
            <w:tcBorders>
              <w:bottom w:val="single" w:sz="8" w:color="284993"/>
            </w:tcBorders>
          </w:tcPr>
          <w:p>
            <w:pPr>
              <w:spacing w:after="0"/>
              <w:rPr>
                <w:sz w:val="18"/>
                <w:szCs w:val="18"/>
                <w:color w:val="auto"/>
              </w:rPr>
            </w:pPr>
          </w:p>
        </w:tc>
        <w:tc>
          <w:tcPr>
            <w:tcW w:w="1040" w:type="dxa"/>
            <w:vAlign w:val="bottom"/>
            <w:tcBorders>
              <w:bottom w:val="single" w:sz="8" w:color="284993"/>
            </w:tcBorders>
          </w:tcPr>
          <w:p>
            <w:pPr>
              <w:spacing w:after="0"/>
              <w:rPr>
                <w:sz w:val="18"/>
                <w:szCs w:val="18"/>
                <w:color w:val="auto"/>
              </w:rPr>
            </w:pPr>
          </w:p>
        </w:tc>
        <w:tc>
          <w:tcPr>
            <w:tcW w:w="1200" w:type="dxa"/>
            <w:vAlign w:val="bottom"/>
            <w:tcBorders>
              <w:bottom w:val="single" w:sz="8" w:color="284993"/>
            </w:tcBorders>
          </w:tcPr>
          <w:p>
            <w:pPr>
              <w:spacing w:after="0"/>
              <w:rPr>
                <w:sz w:val="18"/>
                <w:szCs w:val="18"/>
                <w:color w:val="auto"/>
              </w:rPr>
            </w:pPr>
          </w:p>
        </w:tc>
        <w:tc>
          <w:tcPr>
            <w:tcW w:w="1200" w:type="dxa"/>
            <w:vAlign w:val="bottom"/>
            <w:tcBorders>
              <w:bottom w:val="single" w:sz="8" w:color="284993"/>
            </w:tcBorders>
          </w:tcPr>
          <w:p>
            <w:pPr>
              <w:spacing w:after="0"/>
              <w:rPr>
                <w:sz w:val="18"/>
                <w:szCs w:val="18"/>
                <w:color w:val="auto"/>
              </w:rPr>
            </w:pPr>
          </w:p>
        </w:tc>
        <w:tc>
          <w:tcPr>
            <w:tcW w:w="2120" w:type="dxa"/>
            <w:vAlign w:val="bottom"/>
            <w:tcBorders>
              <w:bottom w:val="single" w:sz="8" w:color="284993"/>
            </w:tcBorders>
          </w:tcPr>
          <w:p>
            <w:pPr>
              <w:ind w:left="60"/>
              <w:spacing w:after="0" w:line="213" w:lineRule="exact"/>
              <w:rPr>
                <w:sz w:val="20"/>
                <w:szCs w:val="20"/>
                <w:color w:val="auto"/>
              </w:rPr>
            </w:pPr>
            <w:r>
              <w:rPr>
                <w:rFonts w:ascii="Arial" w:cs="Arial" w:eastAsia="Arial" w:hAnsi="Arial"/>
                <w:sz w:val="17"/>
                <w:szCs w:val="17"/>
                <w:b w:val="1"/>
                <w:bCs w:val="1"/>
                <w:color w:val="auto"/>
                <w:w w:val="99"/>
              </w:rPr>
              <w:t>Total Adjusted Payout</w:t>
            </w:r>
            <w:r>
              <w:rPr>
                <w:rFonts w:ascii="Arial" w:cs="Arial" w:eastAsia="Arial" w:hAnsi="Arial"/>
                <w:sz w:val="24"/>
                <w:szCs w:val="24"/>
                <w:b w:val="1"/>
                <w:bCs w:val="1"/>
                <w:color w:val="auto"/>
                <w:w w:val="99"/>
                <w:vertAlign w:val="superscript"/>
              </w:rPr>
              <w:t>(2)</w:t>
            </w:r>
            <w:r>
              <w:rPr>
                <w:rFonts w:ascii="Arial" w:cs="Arial" w:eastAsia="Arial" w:hAnsi="Arial"/>
                <w:sz w:val="17"/>
                <w:szCs w:val="17"/>
                <w:b w:val="1"/>
                <w:bCs w:val="1"/>
                <w:color w:val="auto"/>
                <w:w w:val="99"/>
              </w:rPr>
              <w:t>:</w:t>
            </w:r>
          </w:p>
        </w:tc>
        <w:tc>
          <w:tcPr>
            <w:tcW w:w="120" w:type="dxa"/>
            <w:vAlign w:val="bottom"/>
            <w:tcBorders>
              <w:bottom w:val="single" w:sz="8" w:color="284993"/>
            </w:tcBorders>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284993"/>
            </w:tcBorders>
          </w:tcPr>
          <w:p>
            <w:pPr>
              <w:jc w:val="right"/>
              <w:spacing w:after="0"/>
              <w:rPr>
                <w:sz w:val="20"/>
                <w:szCs w:val="20"/>
                <w:color w:val="auto"/>
              </w:rPr>
            </w:pPr>
            <w:r>
              <w:rPr>
                <w:rFonts w:ascii="Arial" w:cs="Arial" w:eastAsia="Arial" w:hAnsi="Arial"/>
                <w:sz w:val="17"/>
                <w:szCs w:val="17"/>
                <w:b w:val="1"/>
                <w:bCs w:val="1"/>
                <w:color w:val="auto"/>
              </w:rPr>
              <w:t>404,508</w:t>
            </w:r>
          </w:p>
        </w:tc>
      </w:tr>
    </w:tbl>
    <w:p>
      <w:pPr>
        <w:spacing w:after="0" w:line="99" w:lineRule="exact"/>
        <w:rPr>
          <w:sz w:val="20"/>
          <w:szCs w:val="20"/>
          <w:color w:val="auto"/>
        </w:rPr>
      </w:pPr>
    </w:p>
    <w:p>
      <w:pPr>
        <w:ind w:left="280" w:hanging="278"/>
        <w:spacing w:after="0" w:line="243" w:lineRule="auto"/>
        <w:tabs>
          <w:tab w:leader="none" w:pos="2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Mr. Silva was eligible for an additional growth accelerator bonus of 20% of the target bonus with respect to a metric if performance on that metric exceeded 80% of target, and 40% of the target bonus with respect to a metric if performance on that metric exceeded 100% of target. Because AAR performance exceeded 80% of target, and RFS and services performance exceeded 100% of target, Mr. Silva earned a growth accelerator bonus of $90,650.</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61</w:t>
      </w:r>
    </w:p>
    <w:p>
      <w:pPr>
        <w:sectPr>
          <w:pgSz w:w="11900" w:h="16838" w:orient="portrait"/>
          <w:cols w:equalWidth="0" w:num="1">
            <w:col w:w="9320"/>
          </w:cols>
          <w:pgMar w:left="1280" w:top="296" w:right="1299" w:bottom="1440" w:gutter="0" w:footer="0" w:header="0"/>
        </w:sectPr>
      </w:pPr>
    </w:p>
    <w:bookmarkStart w:id="67" w:name="page68"/>
    <w:bookmarkEnd w:id="67"/>
    <w:p>
      <w:pPr>
        <w:ind w:left="280" w:hanging="278"/>
        <w:spacing w:after="0"/>
        <w:tabs>
          <w:tab w:leader="none" w:pos="280" w:val="left"/>
        </w:tabs>
        <w:numPr>
          <w:ilvl w:val="0"/>
          <w:numId w:val="4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Reflects adjustments for certain transactions.</w:t>
      </w:r>
    </w:p>
    <w:p>
      <w:pPr>
        <w:spacing w:after="0" w:line="204" w:lineRule="exact"/>
        <w:rPr>
          <w:sz w:val="20"/>
          <w:szCs w:val="20"/>
          <w:color w:val="auto"/>
        </w:rPr>
      </w:pPr>
    </w:p>
    <w:p>
      <w:pPr>
        <w:ind w:right="80"/>
        <w:spacing w:after="0" w:line="302" w:lineRule="auto"/>
        <w:rPr>
          <w:sz w:val="20"/>
          <w:szCs w:val="20"/>
          <w:color w:val="auto"/>
        </w:rPr>
      </w:pPr>
      <w:r>
        <w:rPr>
          <w:rFonts w:ascii="Arial" w:cs="Arial" w:eastAsia="Arial" w:hAnsi="Arial"/>
          <w:sz w:val="14"/>
          <w:szCs w:val="14"/>
          <w:u w:val="single" w:color="auto"/>
          <w:color w:val="auto"/>
        </w:rPr>
        <w:t>North America Sales Incentive</w:t>
      </w:r>
      <w:r>
        <w:rPr>
          <w:rFonts w:ascii="Arial" w:cs="Arial" w:eastAsia="Arial" w:hAnsi="Arial"/>
          <w:sz w:val="14"/>
          <w:szCs w:val="14"/>
          <w:color w:val="auto"/>
        </w:rPr>
        <w:t>: Mr. Silva was also eligible for a commission-based sales incentive related to the attainment of sales quotas in our North America business (capped at $150,000) pro-rated from May 2022 to December 2022. The sales incentive could be earned based on the achievement of ARR and RFS and services in North America, as shown in the table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shd w:val="clear" w:color="auto" w:fill="284993"/>
          </w:tcPr>
          <w:p>
            <w:pPr>
              <w:spacing w:after="0"/>
              <w:rPr>
                <w:sz w:val="16"/>
                <w:szCs w:val="16"/>
                <w:color w:val="auto"/>
              </w:rPr>
            </w:pPr>
          </w:p>
        </w:tc>
        <w:tc>
          <w:tcPr>
            <w:tcW w:w="1140" w:type="dxa"/>
            <w:vAlign w:val="bottom"/>
            <w:shd w:val="clear" w:color="auto" w:fill="284993"/>
          </w:tcPr>
          <w:p>
            <w:pPr>
              <w:spacing w:after="0"/>
              <w:rPr>
                <w:sz w:val="16"/>
                <w:szCs w:val="16"/>
                <w:color w:val="auto"/>
              </w:rPr>
            </w:pPr>
          </w:p>
        </w:tc>
        <w:tc>
          <w:tcPr>
            <w:tcW w:w="880" w:type="dxa"/>
            <w:vAlign w:val="bottom"/>
            <w:shd w:val="clear" w:color="auto" w:fill="284993"/>
          </w:tcPr>
          <w:p>
            <w:pPr>
              <w:jc w:val="center"/>
              <w:ind w:right="19"/>
              <w:spacing w:after="0"/>
              <w:rPr>
                <w:sz w:val="20"/>
                <w:szCs w:val="20"/>
                <w:color w:val="auto"/>
              </w:rPr>
            </w:pPr>
            <w:r>
              <w:rPr>
                <w:rFonts w:ascii="Arial" w:cs="Arial" w:eastAsia="Arial" w:hAnsi="Arial"/>
                <w:sz w:val="16"/>
                <w:szCs w:val="16"/>
                <w:b w:val="1"/>
                <w:bCs w:val="1"/>
                <w:color w:val="FFFFFF"/>
                <w:w w:val="93"/>
              </w:rPr>
              <w:t>Target</w:t>
            </w:r>
          </w:p>
        </w:tc>
        <w:tc>
          <w:tcPr>
            <w:tcW w:w="1340" w:type="dxa"/>
            <w:vAlign w:val="bottom"/>
            <w:shd w:val="clear" w:color="auto" w:fill="284993"/>
          </w:tcPr>
          <w:p>
            <w:pPr>
              <w:spacing w:after="0"/>
              <w:rPr>
                <w:sz w:val="16"/>
                <w:szCs w:val="16"/>
                <w:color w:val="auto"/>
              </w:rPr>
            </w:pPr>
          </w:p>
        </w:tc>
        <w:tc>
          <w:tcPr>
            <w:tcW w:w="1580" w:type="dxa"/>
            <w:vAlign w:val="bottom"/>
            <w:shd w:val="clear" w:color="auto" w:fill="284993"/>
          </w:tcPr>
          <w:p>
            <w:pPr>
              <w:spacing w:after="0"/>
              <w:rPr>
                <w:sz w:val="16"/>
                <w:szCs w:val="16"/>
                <w:color w:val="auto"/>
              </w:rPr>
            </w:pPr>
          </w:p>
        </w:tc>
        <w:tc>
          <w:tcPr>
            <w:tcW w:w="1820" w:type="dxa"/>
            <w:vAlign w:val="bottom"/>
            <w:shd w:val="clear" w:color="auto" w:fill="284993"/>
          </w:tcPr>
          <w:p>
            <w:pPr>
              <w:spacing w:after="0"/>
              <w:rPr>
                <w:sz w:val="16"/>
                <w:szCs w:val="16"/>
                <w:color w:val="auto"/>
              </w:rPr>
            </w:pPr>
          </w:p>
        </w:tc>
        <w:tc>
          <w:tcPr>
            <w:tcW w:w="960" w:type="dxa"/>
            <w:vAlign w:val="bottom"/>
            <w:shd w:val="clear" w:color="auto" w:fill="284993"/>
          </w:tcPr>
          <w:p>
            <w:pPr>
              <w:spacing w:after="0"/>
              <w:rPr>
                <w:sz w:val="16"/>
                <w:szCs w:val="16"/>
                <w:color w:val="auto"/>
              </w:rPr>
            </w:pPr>
          </w:p>
        </w:tc>
      </w:tr>
      <w:tr>
        <w:trPr>
          <w:trHeight w:val="181"/>
        </w:trPr>
        <w:tc>
          <w:tcPr>
            <w:tcW w:w="1600" w:type="dxa"/>
            <w:vAlign w:val="bottom"/>
            <w:shd w:val="clear" w:color="auto" w:fill="284993"/>
          </w:tcPr>
          <w:p>
            <w:pPr>
              <w:spacing w:after="0"/>
              <w:rPr>
                <w:sz w:val="15"/>
                <w:szCs w:val="15"/>
                <w:color w:val="auto"/>
              </w:rPr>
            </w:pPr>
          </w:p>
        </w:tc>
        <w:tc>
          <w:tcPr>
            <w:tcW w:w="1140" w:type="dxa"/>
            <w:vAlign w:val="bottom"/>
            <w:shd w:val="clear" w:color="auto" w:fill="284993"/>
          </w:tcPr>
          <w:p>
            <w:pPr>
              <w:spacing w:after="0"/>
              <w:rPr>
                <w:sz w:val="15"/>
                <w:szCs w:val="15"/>
                <w:color w:val="auto"/>
              </w:rPr>
            </w:pPr>
          </w:p>
        </w:tc>
        <w:tc>
          <w:tcPr>
            <w:tcW w:w="880" w:type="dxa"/>
            <w:vAlign w:val="bottom"/>
            <w:shd w:val="clear" w:color="auto" w:fill="284993"/>
          </w:tcPr>
          <w:p>
            <w:pPr>
              <w:jc w:val="center"/>
              <w:ind w:right="19"/>
              <w:spacing w:after="0" w:line="181" w:lineRule="exact"/>
              <w:rPr>
                <w:sz w:val="20"/>
                <w:szCs w:val="20"/>
                <w:color w:val="auto"/>
              </w:rPr>
            </w:pPr>
            <w:r>
              <w:rPr>
                <w:rFonts w:ascii="Arial" w:cs="Arial" w:eastAsia="Arial" w:hAnsi="Arial"/>
                <w:sz w:val="16"/>
                <w:szCs w:val="16"/>
                <w:b w:val="1"/>
                <w:bCs w:val="1"/>
                <w:color w:val="FFFFFF"/>
                <w:w w:val="93"/>
              </w:rPr>
              <w:t>Payout</w:t>
            </w:r>
          </w:p>
        </w:tc>
        <w:tc>
          <w:tcPr>
            <w:tcW w:w="13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3"/>
              </w:rPr>
              <w:t>Target</w:t>
            </w:r>
          </w:p>
        </w:tc>
        <w:tc>
          <w:tcPr>
            <w:tcW w:w="1580" w:type="dxa"/>
            <w:vAlign w:val="bottom"/>
            <w:shd w:val="clear" w:color="auto" w:fill="284993"/>
          </w:tcPr>
          <w:p>
            <w:pPr>
              <w:ind w:left="200"/>
              <w:spacing w:after="0" w:line="181" w:lineRule="exact"/>
              <w:rPr>
                <w:sz w:val="20"/>
                <w:szCs w:val="20"/>
                <w:color w:val="auto"/>
              </w:rPr>
            </w:pPr>
            <w:r>
              <w:rPr>
                <w:rFonts w:ascii="Arial" w:cs="Arial" w:eastAsia="Arial" w:hAnsi="Arial"/>
                <w:sz w:val="16"/>
                <w:szCs w:val="16"/>
                <w:b w:val="1"/>
                <w:bCs w:val="1"/>
                <w:color w:val="FFFFFF"/>
              </w:rPr>
              <w:t>Commission</w:t>
            </w:r>
          </w:p>
        </w:tc>
        <w:tc>
          <w:tcPr>
            <w:tcW w:w="1820" w:type="dxa"/>
            <w:vAlign w:val="bottom"/>
            <w:shd w:val="clear" w:color="auto" w:fill="284993"/>
          </w:tcPr>
          <w:p>
            <w:pPr>
              <w:jc w:val="center"/>
              <w:ind w:right="57"/>
              <w:spacing w:after="0" w:line="181" w:lineRule="exact"/>
              <w:rPr>
                <w:sz w:val="20"/>
                <w:szCs w:val="20"/>
                <w:color w:val="auto"/>
              </w:rPr>
            </w:pPr>
            <w:r>
              <w:rPr>
                <w:rFonts w:ascii="Arial" w:cs="Arial" w:eastAsia="Arial" w:hAnsi="Arial"/>
                <w:sz w:val="16"/>
                <w:szCs w:val="16"/>
                <w:b w:val="1"/>
                <w:bCs w:val="1"/>
                <w:color w:val="FFFFFF"/>
                <w:w w:val="98"/>
              </w:rPr>
              <w:t>Actual</w:t>
            </w:r>
          </w:p>
        </w:tc>
        <w:tc>
          <w:tcPr>
            <w:tcW w:w="960" w:type="dxa"/>
            <w:vAlign w:val="bottom"/>
            <w:shd w:val="clear" w:color="auto" w:fill="284993"/>
          </w:tcPr>
          <w:p>
            <w:pPr>
              <w:ind w:left="140"/>
              <w:spacing w:after="0" w:line="181" w:lineRule="exact"/>
              <w:rPr>
                <w:sz w:val="20"/>
                <w:szCs w:val="20"/>
                <w:color w:val="auto"/>
              </w:rPr>
            </w:pPr>
            <w:r>
              <w:rPr>
                <w:rFonts w:ascii="Arial" w:cs="Arial" w:eastAsia="Arial" w:hAnsi="Arial"/>
                <w:sz w:val="16"/>
                <w:szCs w:val="16"/>
                <w:b w:val="1"/>
                <w:bCs w:val="1"/>
                <w:color w:val="FFFFFF"/>
              </w:rPr>
              <w:t>Payout</w:t>
            </w:r>
          </w:p>
        </w:tc>
      </w:tr>
      <w:tr>
        <w:trPr>
          <w:trHeight w:val="195"/>
        </w:trPr>
        <w:tc>
          <w:tcPr>
            <w:tcW w:w="1600" w:type="dxa"/>
            <w:vAlign w:val="bottom"/>
            <w:shd w:val="clear" w:color="auto" w:fill="284993"/>
          </w:tcPr>
          <w:p>
            <w:pPr>
              <w:ind w:left="140"/>
              <w:spacing w:after="0"/>
              <w:rPr>
                <w:sz w:val="20"/>
                <w:szCs w:val="20"/>
                <w:color w:val="auto"/>
              </w:rPr>
            </w:pPr>
            <w:r>
              <w:rPr>
                <w:rFonts w:ascii="Arial" w:cs="Arial" w:eastAsia="Arial" w:hAnsi="Arial"/>
                <w:sz w:val="16"/>
                <w:szCs w:val="16"/>
                <w:b w:val="1"/>
                <w:bCs w:val="1"/>
                <w:color w:val="FFFFFF"/>
              </w:rPr>
              <w:t>Plan Measure</w:t>
            </w:r>
          </w:p>
        </w:tc>
        <w:tc>
          <w:tcPr>
            <w:tcW w:w="1140" w:type="dxa"/>
            <w:vAlign w:val="bottom"/>
            <w:shd w:val="clear" w:color="auto" w:fill="284993"/>
          </w:tcPr>
          <w:p>
            <w:pPr>
              <w:jc w:val="right"/>
              <w:ind w:right="157"/>
              <w:spacing w:after="0"/>
              <w:rPr>
                <w:sz w:val="20"/>
                <w:szCs w:val="20"/>
                <w:color w:val="auto"/>
              </w:rPr>
            </w:pPr>
            <w:r>
              <w:rPr>
                <w:rFonts w:ascii="Arial" w:cs="Arial" w:eastAsia="Arial" w:hAnsi="Arial"/>
                <w:sz w:val="16"/>
                <w:szCs w:val="16"/>
                <w:b w:val="1"/>
                <w:bCs w:val="1"/>
                <w:color w:val="FFFFFF"/>
              </w:rPr>
              <w:t>Weighting</w:t>
            </w:r>
          </w:p>
        </w:tc>
        <w:tc>
          <w:tcPr>
            <w:tcW w:w="880" w:type="dxa"/>
            <w:vAlign w:val="bottom"/>
            <w:shd w:val="clear" w:color="auto" w:fill="284993"/>
          </w:tcPr>
          <w:p>
            <w:pPr>
              <w:jc w:val="center"/>
              <w:ind w:right="19"/>
              <w:spacing w:after="0"/>
              <w:rPr>
                <w:sz w:val="20"/>
                <w:szCs w:val="20"/>
                <w:color w:val="auto"/>
              </w:rPr>
            </w:pPr>
            <w:r>
              <w:rPr>
                <w:rFonts w:ascii="Arial" w:cs="Arial" w:eastAsia="Arial" w:hAnsi="Arial"/>
                <w:sz w:val="16"/>
                <w:szCs w:val="16"/>
                <w:b w:val="1"/>
                <w:bCs w:val="1"/>
                <w:color w:val="FFFFFF"/>
                <w:w w:val="91"/>
              </w:rPr>
              <w:t>($)</w:t>
            </w:r>
          </w:p>
        </w:tc>
        <w:tc>
          <w:tcPr>
            <w:tcW w:w="13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6"/>
              </w:rPr>
              <w:t>Performance</w:t>
            </w:r>
          </w:p>
        </w:tc>
        <w:tc>
          <w:tcPr>
            <w:tcW w:w="1580" w:type="dxa"/>
            <w:vAlign w:val="bottom"/>
            <w:shd w:val="clear" w:color="auto" w:fill="284993"/>
          </w:tcPr>
          <w:p>
            <w:pPr>
              <w:ind w:left="500"/>
              <w:spacing w:after="0"/>
              <w:rPr>
                <w:sz w:val="20"/>
                <w:szCs w:val="20"/>
                <w:color w:val="auto"/>
              </w:rPr>
            </w:pPr>
            <w:r>
              <w:rPr>
                <w:rFonts w:ascii="Arial" w:cs="Arial" w:eastAsia="Arial" w:hAnsi="Arial"/>
                <w:sz w:val="16"/>
                <w:szCs w:val="16"/>
                <w:b w:val="1"/>
                <w:bCs w:val="1"/>
                <w:color w:val="FFFFFF"/>
              </w:rPr>
              <w:t>Rate</w:t>
            </w:r>
          </w:p>
        </w:tc>
        <w:tc>
          <w:tcPr>
            <w:tcW w:w="1820" w:type="dxa"/>
            <w:vAlign w:val="bottom"/>
            <w:shd w:val="clear" w:color="auto" w:fill="284993"/>
          </w:tcPr>
          <w:p>
            <w:pPr>
              <w:jc w:val="center"/>
              <w:ind w:right="57"/>
              <w:spacing w:after="0"/>
              <w:rPr>
                <w:sz w:val="20"/>
                <w:szCs w:val="20"/>
                <w:color w:val="auto"/>
              </w:rPr>
            </w:pPr>
            <w:r>
              <w:rPr>
                <w:rFonts w:ascii="Arial" w:cs="Arial" w:eastAsia="Arial" w:hAnsi="Arial"/>
                <w:sz w:val="16"/>
                <w:szCs w:val="16"/>
                <w:b w:val="1"/>
                <w:bCs w:val="1"/>
                <w:color w:val="FFFFFF"/>
                <w:w w:val="98"/>
              </w:rPr>
              <w:t>Performance</w:t>
            </w:r>
          </w:p>
        </w:tc>
        <w:tc>
          <w:tcPr>
            <w:tcW w:w="960" w:type="dxa"/>
            <w:vAlign w:val="bottom"/>
            <w:shd w:val="clear" w:color="auto" w:fill="284993"/>
          </w:tcPr>
          <w:p>
            <w:pPr>
              <w:jc w:val="center"/>
              <w:ind w:right="77"/>
              <w:spacing w:after="0"/>
              <w:rPr>
                <w:sz w:val="20"/>
                <w:szCs w:val="20"/>
                <w:color w:val="auto"/>
              </w:rPr>
            </w:pPr>
            <w:r>
              <w:rPr>
                <w:rFonts w:ascii="Arial" w:cs="Arial" w:eastAsia="Arial" w:hAnsi="Arial"/>
                <w:sz w:val="16"/>
                <w:szCs w:val="16"/>
                <w:b w:val="1"/>
                <w:bCs w:val="1"/>
                <w:color w:val="FFFFFF"/>
              </w:rPr>
              <w:t>($)</w:t>
            </w:r>
          </w:p>
        </w:tc>
      </w:tr>
      <w:tr>
        <w:trPr>
          <w:trHeight w:val="194"/>
        </w:trPr>
        <w:tc>
          <w:tcPr>
            <w:tcW w:w="1600" w:type="dxa"/>
            <w:vAlign w:val="bottom"/>
          </w:tcPr>
          <w:p>
            <w:pPr>
              <w:ind w:left="100"/>
              <w:spacing w:after="0" w:line="194" w:lineRule="exact"/>
              <w:rPr>
                <w:sz w:val="20"/>
                <w:szCs w:val="20"/>
                <w:color w:val="auto"/>
              </w:rPr>
            </w:pPr>
            <w:r>
              <w:rPr>
                <w:rFonts w:ascii="Arial" w:cs="Arial" w:eastAsia="Arial" w:hAnsi="Arial"/>
                <w:sz w:val="17"/>
                <w:szCs w:val="17"/>
                <w:color w:val="auto"/>
              </w:rPr>
              <w:t>ARR</w:t>
            </w: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35%</w:t>
            </w:r>
          </w:p>
        </w:tc>
        <w:tc>
          <w:tcPr>
            <w:tcW w:w="880" w:type="dxa"/>
            <w:vAlign w:val="bottom"/>
          </w:tcPr>
          <w:p>
            <w:pPr>
              <w:jc w:val="center"/>
              <w:ind w:right="19"/>
              <w:spacing w:after="0" w:line="194" w:lineRule="exact"/>
              <w:rPr>
                <w:sz w:val="20"/>
                <w:szCs w:val="20"/>
                <w:color w:val="auto"/>
              </w:rPr>
            </w:pPr>
            <w:r>
              <w:rPr>
                <w:rFonts w:ascii="Arial" w:cs="Arial" w:eastAsia="Arial" w:hAnsi="Arial"/>
                <w:sz w:val="17"/>
                <w:szCs w:val="17"/>
                <w:color w:val="auto"/>
              </w:rPr>
              <w:t>$32,813</w:t>
            </w:r>
          </w:p>
        </w:tc>
        <w:tc>
          <w:tcPr>
            <w:tcW w:w="1340" w:type="dxa"/>
            <w:vAlign w:val="bottom"/>
          </w:tcPr>
          <w:p>
            <w:pPr>
              <w:jc w:val="center"/>
              <w:spacing w:after="0" w:line="194" w:lineRule="exact"/>
              <w:rPr>
                <w:sz w:val="20"/>
                <w:szCs w:val="20"/>
                <w:color w:val="auto"/>
              </w:rPr>
            </w:pPr>
            <w:r>
              <w:rPr>
                <w:rFonts w:ascii="Arial" w:cs="Arial" w:eastAsia="Arial" w:hAnsi="Arial"/>
                <w:sz w:val="17"/>
                <w:szCs w:val="17"/>
                <w:color w:val="auto"/>
              </w:rPr>
              <w:t>$60,131,507</w:t>
            </w:r>
          </w:p>
        </w:tc>
        <w:tc>
          <w:tcPr>
            <w:tcW w:w="1580" w:type="dxa"/>
            <w:vAlign w:val="bottom"/>
          </w:tcPr>
          <w:p>
            <w:pPr>
              <w:ind w:left="520"/>
              <w:spacing w:after="0" w:line="194" w:lineRule="exact"/>
              <w:rPr>
                <w:sz w:val="20"/>
                <w:szCs w:val="20"/>
                <w:color w:val="auto"/>
              </w:rPr>
            </w:pPr>
            <w:r>
              <w:rPr>
                <w:rFonts w:ascii="Arial" w:cs="Arial" w:eastAsia="Arial" w:hAnsi="Arial"/>
                <w:sz w:val="17"/>
                <w:szCs w:val="17"/>
                <w:color w:val="auto"/>
              </w:rPr>
              <w:t>0.05467%</w:t>
            </w:r>
          </w:p>
        </w:tc>
        <w:tc>
          <w:tcPr>
            <w:tcW w:w="1820" w:type="dxa"/>
            <w:vAlign w:val="bottom"/>
          </w:tcPr>
          <w:p>
            <w:pPr>
              <w:jc w:val="right"/>
              <w:spacing w:after="0" w:line="194" w:lineRule="exact"/>
              <w:rPr>
                <w:sz w:val="20"/>
                <w:szCs w:val="20"/>
                <w:color w:val="auto"/>
              </w:rPr>
            </w:pPr>
            <w:r>
              <w:rPr>
                <w:rFonts w:ascii="Arial" w:cs="Arial" w:eastAsia="Arial" w:hAnsi="Arial"/>
                <w:sz w:val="17"/>
                <w:szCs w:val="17"/>
                <w:color w:val="auto"/>
              </w:rPr>
              <w:t>$54,746,029</w:t>
            </w:r>
          </w:p>
        </w:tc>
        <w:tc>
          <w:tcPr>
            <w:tcW w:w="960" w:type="dxa"/>
            <w:vAlign w:val="bottom"/>
          </w:tcPr>
          <w:p>
            <w:pPr>
              <w:jc w:val="center"/>
              <w:ind w:right="77"/>
              <w:spacing w:after="0" w:line="194" w:lineRule="exact"/>
              <w:rPr>
                <w:sz w:val="20"/>
                <w:szCs w:val="20"/>
                <w:color w:val="auto"/>
              </w:rPr>
            </w:pPr>
            <w:r>
              <w:rPr>
                <w:rFonts w:ascii="Arial" w:cs="Arial" w:eastAsia="Arial" w:hAnsi="Arial"/>
                <w:sz w:val="17"/>
                <w:szCs w:val="17"/>
                <w:color w:val="auto"/>
              </w:rPr>
              <w:t>$29,874</w:t>
            </w:r>
          </w:p>
        </w:tc>
      </w:tr>
      <w:tr>
        <w:trPr>
          <w:trHeight w:val="177"/>
        </w:trPr>
        <w:tc>
          <w:tcPr>
            <w:tcW w:w="1600" w:type="dxa"/>
            <w:vAlign w:val="bottom"/>
            <w:shd w:val="clear" w:color="auto" w:fill="9DBDE4"/>
          </w:tcPr>
          <w:p>
            <w:pPr>
              <w:ind w:left="100"/>
              <w:spacing w:after="0" w:line="177" w:lineRule="exact"/>
              <w:rPr>
                <w:sz w:val="20"/>
                <w:szCs w:val="20"/>
                <w:color w:val="auto"/>
              </w:rPr>
            </w:pPr>
            <w:r>
              <w:rPr>
                <w:rFonts w:ascii="Arial" w:cs="Arial" w:eastAsia="Arial" w:hAnsi="Arial"/>
                <w:sz w:val="17"/>
                <w:szCs w:val="17"/>
                <w:color w:val="auto"/>
              </w:rPr>
              <w:t>License RFS and</w:t>
            </w:r>
          </w:p>
        </w:tc>
        <w:tc>
          <w:tcPr>
            <w:tcW w:w="1140" w:type="dxa"/>
            <w:vAlign w:val="bottom"/>
            <w:shd w:val="clear" w:color="auto" w:fill="9DBDE4"/>
          </w:tcPr>
          <w:p>
            <w:pPr>
              <w:spacing w:after="0"/>
              <w:rPr>
                <w:sz w:val="15"/>
                <w:szCs w:val="15"/>
                <w:color w:val="auto"/>
              </w:rPr>
            </w:pPr>
          </w:p>
        </w:tc>
        <w:tc>
          <w:tcPr>
            <w:tcW w:w="880" w:type="dxa"/>
            <w:vAlign w:val="bottom"/>
            <w:shd w:val="clear" w:color="auto" w:fill="9DBDE4"/>
          </w:tcPr>
          <w:p>
            <w:pPr>
              <w:spacing w:after="0"/>
              <w:rPr>
                <w:sz w:val="15"/>
                <w:szCs w:val="15"/>
                <w:color w:val="auto"/>
              </w:rPr>
            </w:pPr>
          </w:p>
        </w:tc>
        <w:tc>
          <w:tcPr>
            <w:tcW w:w="1340" w:type="dxa"/>
            <w:vAlign w:val="bottom"/>
            <w:shd w:val="clear" w:color="auto" w:fill="9DBDE4"/>
          </w:tcPr>
          <w:p>
            <w:pPr>
              <w:spacing w:after="0"/>
              <w:rPr>
                <w:sz w:val="15"/>
                <w:szCs w:val="15"/>
                <w:color w:val="auto"/>
              </w:rPr>
            </w:pPr>
          </w:p>
        </w:tc>
        <w:tc>
          <w:tcPr>
            <w:tcW w:w="1580" w:type="dxa"/>
            <w:vAlign w:val="bottom"/>
            <w:shd w:val="clear" w:color="auto" w:fill="9DBDE4"/>
          </w:tcPr>
          <w:p>
            <w:pPr>
              <w:spacing w:after="0"/>
              <w:rPr>
                <w:sz w:val="15"/>
                <w:szCs w:val="15"/>
                <w:color w:val="auto"/>
              </w:rPr>
            </w:pPr>
          </w:p>
        </w:tc>
        <w:tc>
          <w:tcPr>
            <w:tcW w:w="1820" w:type="dxa"/>
            <w:vAlign w:val="bottom"/>
            <w:shd w:val="clear" w:color="auto" w:fill="9DBDE4"/>
          </w:tcPr>
          <w:p>
            <w:pPr>
              <w:spacing w:after="0"/>
              <w:rPr>
                <w:sz w:val="15"/>
                <w:szCs w:val="15"/>
                <w:color w:val="auto"/>
              </w:rPr>
            </w:pPr>
          </w:p>
        </w:tc>
        <w:tc>
          <w:tcPr>
            <w:tcW w:w="960" w:type="dxa"/>
            <w:vAlign w:val="bottom"/>
            <w:shd w:val="clear" w:color="auto" w:fill="9DBDE4"/>
          </w:tcPr>
          <w:p>
            <w:pPr>
              <w:spacing w:after="0"/>
              <w:rPr>
                <w:sz w:val="15"/>
                <w:szCs w:val="15"/>
                <w:color w:val="auto"/>
              </w:rPr>
            </w:pPr>
          </w:p>
        </w:tc>
      </w:tr>
      <w:tr>
        <w:trPr>
          <w:trHeight w:val="211"/>
        </w:trPr>
        <w:tc>
          <w:tcPr>
            <w:tcW w:w="1600" w:type="dxa"/>
            <w:vAlign w:val="bottom"/>
            <w:shd w:val="clear" w:color="auto" w:fill="9DBDE4"/>
          </w:tcPr>
          <w:p>
            <w:pPr>
              <w:ind w:left="100"/>
              <w:spacing w:after="0"/>
              <w:rPr>
                <w:sz w:val="20"/>
                <w:szCs w:val="20"/>
                <w:color w:val="auto"/>
              </w:rPr>
            </w:pPr>
            <w:r>
              <w:rPr>
                <w:rFonts w:ascii="Arial" w:cs="Arial" w:eastAsia="Arial" w:hAnsi="Arial"/>
                <w:sz w:val="17"/>
                <w:szCs w:val="17"/>
                <w:color w:val="auto"/>
              </w:rPr>
              <w:t>Services</w:t>
            </w:r>
          </w:p>
        </w:tc>
        <w:tc>
          <w:tcPr>
            <w:tcW w:w="1140" w:type="dxa"/>
            <w:vAlign w:val="bottom"/>
            <w:shd w:val="clear" w:color="auto" w:fill="9DBDE4"/>
          </w:tcPr>
          <w:p>
            <w:pPr>
              <w:jc w:val="right"/>
              <w:spacing w:after="0"/>
              <w:rPr>
                <w:sz w:val="20"/>
                <w:szCs w:val="20"/>
                <w:color w:val="auto"/>
              </w:rPr>
            </w:pPr>
            <w:r>
              <w:rPr>
                <w:rFonts w:ascii="Arial" w:cs="Arial" w:eastAsia="Arial" w:hAnsi="Arial"/>
                <w:sz w:val="17"/>
                <w:szCs w:val="17"/>
                <w:color w:val="auto"/>
              </w:rPr>
              <w:t>65%</w:t>
            </w:r>
          </w:p>
        </w:tc>
        <w:tc>
          <w:tcPr>
            <w:tcW w:w="880" w:type="dxa"/>
            <w:vAlign w:val="bottom"/>
            <w:shd w:val="clear" w:color="auto" w:fill="9DBDE4"/>
          </w:tcPr>
          <w:p>
            <w:pPr>
              <w:jc w:val="center"/>
              <w:ind w:right="19"/>
              <w:spacing w:after="0"/>
              <w:rPr>
                <w:sz w:val="20"/>
                <w:szCs w:val="20"/>
                <w:color w:val="auto"/>
              </w:rPr>
            </w:pPr>
            <w:r>
              <w:rPr>
                <w:rFonts w:ascii="Arial" w:cs="Arial" w:eastAsia="Arial" w:hAnsi="Arial"/>
                <w:sz w:val="17"/>
                <w:szCs w:val="17"/>
                <w:color w:val="auto"/>
              </w:rPr>
              <w:t>$60,938</w:t>
            </w:r>
          </w:p>
        </w:tc>
        <w:tc>
          <w:tcPr>
            <w:tcW w:w="1340" w:type="dxa"/>
            <w:vAlign w:val="bottom"/>
            <w:shd w:val="clear" w:color="auto" w:fill="9DBDE4"/>
          </w:tcPr>
          <w:p>
            <w:pPr>
              <w:jc w:val="center"/>
              <w:spacing w:after="0"/>
              <w:rPr>
                <w:sz w:val="20"/>
                <w:szCs w:val="20"/>
                <w:color w:val="auto"/>
              </w:rPr>
            </w:pPr>
            <w:r>
              <w:rPr>
                <w:rFonts w:ascii="Arial" w:cs="Arial" w:eastAsia="Arial" w:hAnsi="Arial"/>
                <w:sz w:val="17"/>
                <w:szCs w:val="17"/>
                <w:color w:val="auto"/>
              </w:rPr>
              <w:t>$82,005,445</w:t>
            </w:r>
          </w:p>
        </w:tc>
        <w:tc>
          <w:tcPr>
            <w:tcW w:w="1580" w:type="dxa"/>
            <w:vAlign w:val="bottom"/>
            <w:shd w:val="clear" w:color="auto" w:fill="9DBDE4"/>
          </w:tcPr>
          <w:p>
            <w:pPr>
              <w:ind w:left="520"/>
              <w:spacing w:after="0"/>
              <w:rPr>
                <w:sz w:val="20"/>
                <w:szCs w:val="20"/>
                <w:color w:val="auto"/>
              </w:rPr>
            </w:pPr>
            <w:r>
              <w:rPr>
                <w:rFonts w:ascii="Arial" w:cs="Arial" w:eastAsia="Arial" w:hAnsi="Arial"/>
                <w:sz w:val="17"/>
                <w:szCs w:val="17"/>
                <w:color w:val="auto"/>
              </w:rPr>
              <w:t>0.07431%</w:t>
            </w:r>
          </w:p>
        </w:tc>
        <w:tc>
          <w:tcPr>
            <w:tcW w:w="1820" w:type="dxa"/>
            <w:vAlign w:val="bottom"/>
            <w:shd w:val="clear" w:color="auto" w:fill="9DBDE4"/>
          </w:tcPr>
          <w:p>
            <w:pPr>
              <w:jc w:val="right"/>
              <w:spacing w:after="0"/>
              <w:rPr>
                <w:sz w:val="20"/>
                <w:szCs w:val="20"/>
                <w:color w:val="auto"/>
              </w:rPr>
            </w:pPr>
            <w:r>
              <w:rPr>
                <w:rFonts w:ascii="Arial" w:cs="Arial" w:eastAsia="Arial" w:hAnsi="Arial"/>
                <w:sz w:val="17"/>
                <w:szCs w:val="17"/>
                <w:color w:val="auto"/>
              </w:rPr>
              <w:t>$83,815,750</w:t>
            </w:r>
          </w:p>
        </w:tc>
        <w:tc>
          <w:tcPr>
            <w:tcW w:w="960" w:type="dxa"/>
            <w:vAlign w:val="bottom"/>
            <w:shd w:val="clear" w:color="auto" w:fill="9DBDE4"/>
          </w:tcPr>
          <w:p>
            <w:pPr>
              <w:jc w:val="center"/>
              <w:ind w:right="77"/>
              <w:spacing w:after="0"/>
              <w:rPr>
                <w:sz w:val="20"/>
                <w:szCs w:val="20"/>
                <w:color w:val="auto"/>
              </w:rPr>
            </w:pPr>
            <w:r>
              <w:rPr>
                <w:rFonts w:ascii="Arial" w:cs="Arial" w:eastAsia="Arial" w:hAnsi="Arial"/>
                <w:sz w:val="17"/>
                <w:szCs w:val="17"/>
                <w:color w:val="auto"/>
              </w:rPr>
              <w:t>$62,283</w:t>
            </w:r>
          </w:p>
        </w:tc>
      </w:tr>
      <w:tr>
        <w:trPr>
          <w:trHeight w:val="194"/>
        </w:trPr>
        <w:tc>
          <w:tcPr>
            <w:tcW w:w="1600" w:type="dxa"/>
            <w:vAlign w:val="bottom"/>
            <w:tcBorders>
              <w:bottom w:val="single" w:sz="8" w:color="284993"/>
            </w:tcBorders>
          </w:tcPr>
          <w:p>
            <w:pPr>
              <w:spacing w:after="0"/>
              <w:rPr>
                <w:sz w:val="16"/>
                <w:szCs w:val="16"/>
                <w:color w:val="auto"/>
              </w:rPr>
            </w:pPr>
          </w:p>
        </w:tc>
        <w:tc>
          <w:tcPr>
            <w:tcW w:w="1140" w:type="dxa"/>
            <w:vAlign w:val="bottom"/>
            <w:tcBorders>
              <w:bottom w:val="single" w:sz="8" w:color="284993"/>
            </w:tcBorders>
          </w:tcPr>
          <w:p>
            <w:pPr>
              <w:spacing w:after="0"/>
              <w:rPr>
                <w:sz w:val="16"/>
                <w:szCs w:val="16"/>
                <w:color w:val="auto"/>
              </w:rPr>
            </w:pPr>
          </w:p>
        </w:tc>
        <w:tc>
          <w:tcPr>
            <w:tcW w:w="880" w:type="dxa"/>
            <w:vAlign w:val="bottom"/>
            <w:tcBorders>
              <w:bottom w:val="single" w:sz="8" w:color="284993"/>
            </w:tcBorders>
          </w:tcPr>
          <w:p>
            <w:pPr>
              <w:spacing w:after="0"/>
              <w:rPr>
                <w:sz w:val="16"/>
                <w:szCs w:val="16"/>
                <w:color w:val="auto"/>
              </w:rPr>
            </w:pPr>
          </w:p>
        </w:tc>
        <w:tc>
          <w:tcPr>
            <w:tcW w:w="1340" w:type="dxa"/>
            <w:vAlign w:val="bottom"/>
            <w:tcBorders>
              <w:bottom w:val="single" w:sz="8" w:color="284993"/>
            </w:tcBorders>
          </w:tcPr>
          <w:p>
            <w:pPr>
              <w:spacing w:after="0"/>
              <w:rPr>
                <w:sz w:val="16"/>
                <w:szCs w:val="16"/>
                <w:color w:val="auto"/>
              </w:rPr>
            </w:pPr>
          </w:p>
        </w:tc>
        <w:tc>
          <w:tcPr>
            <w:tcW w:w="1580" w:type="dxa"/>
            <w:vAlign w:val="bottom"/>
            <w:tcBorders>
              <w:bottom w:val="single" w:sz="8" w:color="284993"/>
            </w:tcBorders>
          </w:tcPr>
          <w:p>
            <w:pPr>
              <w:spacing w:after="0"/>
              <w:rPr>
                <w:sz w:val="16"/>
                <w:szCs w:val="16"/>
                <w:color w:val="auto"/>
              </w:rPr>
            </w:pPr>
          </w:p>
        </w:tc>
        <w:tc>
          <w:tcPr>
            <w:tcW w:w="1820" w:type="dxa"/>
            <w:vAlign w:val="bottom"/>
            <w:tcBorders>
              <w:bottom w:val="single" w:sz="8" w:color="284993"/>
            </w:tcBorders>
          </w:tcPr>
          <w:p>
            <w:pPr>
              <w:jc w:val="center"/>
              <w:ind w:right="57"/>
              <w:spacing w:after="0" w:line="194" w:lineRule="exact"/>
              <w:rPr>
                <w:sz w:val="20"/>
                <w:szCs w:val="20"/>
                <w:color w:val="auto"/>
              </w:rPr>
            </w:pPr>
            <w:r>
              <w:rPr>
                <w:rFonts w:ascii="Arial" w:cs="Arial" w:eastAsia="Arial" w:hAnsi="Arial"/>
                <w:sz w:val="17"/>
                <w:szCs w:val="17"/>
                <w:b w:val="1"/>
                <w:bCs w:val="1"/>
                <w:color w:val="auto"/>
              </w:rPr>
              <w:t>Total Payout:</w:t>
            </w:r>
          </w:p>
        </w:tc>
        <w:tc>
          <w:tcPr>
            <w:tcW w:w="960" w:type="dxa"/>
            <w:vAlign w:val="bottom"/>
            <w:tcBorders>
              <w:bottom w:val="single" w:sz="8" w:color="284993"/>
            </w:tcBorders>
          </w:tcPr>
          <w:p>
            <w:pPr>
              <w:jc w:val="center"/>
              <w:ind w:right="77"/>
              <w:spacing w:after="0" w:line="194" w:lineRule="exact"/>
              <w:rPr>
                <w:sz w:val="20"/>
                <w:szCs w:val="20"/>
                <w:color w:val="auto"/>
              </w:rPr>
            </w:pPr>
            <w:r>
              <w:rPr>
                <w:rFonts w:ascii="Arial" w:cs="Arial" w:eastAsia="Arial" w:hAnsi="Arial"/>
                <w:sz w:val="17"/>
                <w:szCs w:val="17"/>
                <w:b w:val="1"/>
                <w:bCs w:val="1"/>
                <w:color w:val="auto"/>
              </w:rPr>
              <w:t>$92,156</w:t>
            </w:r>
          </w:p>
        </w:tc>
      </w:tr>
    </w:tbl>
    <w:p>
      <w:pPr>
        <w:spacing w:after="0" w:line="195"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u w:val="single" w:color="auto"/>
          <w:color w:val="auto"/>
        </w:rPr>
        <w:t>Sales Performance Incentive Fund</w:t>
      </w:r>
      <w:r>
        <w:rPr>
          <w:rFonts w:ascii="Arial" w:cs="Arial" w:eastAsia="Arial" w:hAnsi="Arial"/>
          <w:sz w:val="16"/>
          <w:szCs w:val="16"/>
          <w:color w:val="auto"/>
        </w:rPr>
        <w:t>: Mr. Silva was also eligible for a sales performance incentive fund (“SPIF”) bonus based on the extent to which the Company’s license and services revenue from in-year sales during 2022 exceeded $265,000,000. The maximum payment under the SPIF bonus was $200,000, but there was no “target” payout level. The amount of this bonus would be calculated as follows, based on the level of overachievement:</w:t>
      </w:r>
    </w:p>
    <w:p>
      <w:pPr>
        <w:spacing w:after="0" w:line="90" w:lineRule="exact"/>
        <w:rPr>
          <w:sz w:val="20"/>
          <w:szCs w:val="20"/>
          <w:color w:val="auto"/>
        </w:rPr>
      </w:pPr>
    </w:p>
    <w:p>
      <w:pPr>
        <w:ind w:left="180" w:hanging="178"/>
        <w:spacing w:after="0"/>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0.5% of the amount of overachievement up to $5,000,000;</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0.75% of the amount of overachievement above $5,000,000 and up to $10,000,000; and</w:t>
      </w:r>
    </w:p>
    <w:p>
      <w:pPr>
        <w:spacing w:after="0" w:line="113" w:lineRule="exact"/>
        <w:rPr>
          <w:rFonts w:ascii="Arial" w:cs="Arial" w:eastAsia="Arial" w:hAnsi="Arial"/>
          <w:sz w:val="16"/>
          <w:szCs w:val="16"/>
          <w:color w:val="auto"/>
        </w:rPr>
      </w:pPr>
    </w:p>
    <w:p>
      <w:pPr>
        <w:ind w:left="180" w:hanging="178"/>
        <w:spacing w:after="0"/>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1.00% of the amount of overachievement above $10,000,000.</w:t>
      </w:r>
    </w:p>
    <w:p>
      <w:pPr>
        <w:spacing w:after="0" w:line="205"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As a result of our achievement of license and services revenue from in-year sales during 2022 of approximately $274 million, Mr. Silva earned a SPIF payout of $49,000.</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Special Relocation Bonus</w:t>
      </w:r>
    </w:p>
    <w:p>
      <w:pPr>
        <w:spacing w:after="0" w:line="107"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connection with the relocation of our headquarters from Naples Florida to Miami Florida and the consolidation of the executive team at our corporate headquarters, we paid a relocation bonus to Ms. Guerra who needed to relocate. This special relocation bonus was for $31,967 plus an additional payment for the income taxes owed on the bonus.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New Hire Package</w:t>
      </w:r>
    </w:p>
    <w:p>
      <w:pPr>
        <w:spacing w:after="0" w:line="107" w:lineRule="exact"/>
        <w:rPr>
          <w:sz w:val="20"/>
          <w:szCs w:val="20"/>
          <w:color w:val="auto"/>
        </w:rPr>
      </w:pPr>
    </w:p>
    <w:p>
      <w:pPr>
        <w:ind w:right="100"/>
        <w:spacing w:after="0" w:line="335" w:lineRule="auto"/>
        <w:rPr>
          <w:sz w:val="20"/>
          <w:szCs w:val="20"/>
          <w:color w:val="auto"/>
        </w:rPr>
      </w:pPr>
      <w:r>
        <w:rPr>
          <w:rFonts w:ascii="Arial" w:cs="Arial" w:eastAsia="Arial" w:hAnsi="Arial"/>
          <w:sz w:val="14"/>
          <w:szCs w:val="14"/>
          <w:color w:val="auto"/>
        </w:rPr>
        <w:t>As part of his employment offer made in 2021, Mr. Puppala received a tuition fee reimbursement of $40,380 in 2022 for continuation of his EMBA program. In addition, Mr. Puppala received an additional payment for income taxes owed on this special payment.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Sign-on Bonuses</w:t>
      </w:r>
    </w:p>
    <w:p>
      <w:pPr>
        <w:spacing w:after="0" w:line="107"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In January 2022, in accordance with their 2021 offers of employment, the Company paid a cash bonus of $225,000 to Mr. Silva and a cash bonus of $300,000 to Mr. Puppala.</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Long-Term Incentive Compensation</w:t>
      </w:r>
    </w:p>
    <w:p>
      <w:pPr>
        <w:spacing w:after="0" w:line="107"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Our long-term incentive program provides for the grant of equity awards to our executive officers, including our Named Executive Officers, and other key employees whose responsibilities and decisions directly impact our long-term business results. We use equity awards to both incentivize these individuals and to address special situations as they may arise from time to time, such as promotions and retention arrangements. Our equity award grant practices are designed to reflect a balance between our desire to motivate and retain executive talent, our belief in the benefits that accrue to us by aligning the interests of our management team with those of our stockholders, our need to remain competitive in recruiting and our need to effectively manage the dilution of stockholders’ interests.</w:t>
      </w:r>
    </w:p>
    <w:p>
      <w:pPr>
        <w:spacing w:after="0" w:line="156"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In March 2022, the Compensation Committee granted regular annual long-term incentive compensation to our Named Executive Officers, including our Former CEO, using a combination of RSUs and an rTSR Performance Share Awards that may be earned, if at all, based on the performance of the total shareholder return of our common stock relative to the S&amp;P MidCap 400 Index, over a three-year performance period. For our Former CEO, the rTSR Performance Share Awards comprised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81915</wp:posOffset>
            </wp:positionV>
            <wp:extent cx="699135" cy="1314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62</w:t>
      </w:r>
    </w:p>
    <w:p>
      <w:pPr>
        <w:sectPr>
          <w:pgSz w:w="11900" w:h="16838" w:orient="portrait"/>
          <w:cols w:equalWidth="0" w:num="1">
            <w:col w:w="9320"/>
          </w:cols>
          <w:pgMar w:left="1280" w:top="290" w:right="1299" w:bottom="1440" w:gutter="0" w:footer="0" w:header="0"/>
        </w:sectPr>
      </w:pPr>
    </w:p>
    <w:bookmarkStart w:id="68" w:name="page69"/>
    <w:bookmarkEnd w:id="68"/>
    <w:p>
      <w:pPr>
        <w:ind w:right="60"/>
        <w:spacing w:after="0" w:line="24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approximately 65% of the accounting grant value delivered pursuant to these equity awards, while the RSUs comprised approximately 35% of the accounting grant value delivered. For our other executive officers, including our Named Executive Officers (excluding our CRO and CPO), the grants were a combination of approximately 50% RSUs and approximately 50% rTSR Performance Share Awards based on accounting grant value.</w:t>
      </w:r>
    </w:p>
    <w:p>
      <w:pPr>
        <w:spacing w:after="0" w:line="181" w:lineRule="exact"/>
        <w:rPr>
          <w:sz w:val="20"/>
          <w:szCs w:val="20"/>
          <w:color w:val="auto"/>
        </w:rPr>
      </w:pPr>
    </w:p>
    <w:p>
      <w:pPr>
        <w:ind w:right="220"/>
        <w:spacing w:after="0" w:line="245" w:lineRule="auto"/>
        <w:rPr>
          <w:sz w:val="20"/>
          <w:szCs w:val="20"/>
          <w:color w:val="auto"/>
        </w:rPr>
      </w:pPr>
      <w:r>
        <w:rPr>
          <w:rFonts w:ascii="Arial" w:cs="Arial" w:eastAsia="Arial" w:hAnsi="Arial"/>
          <w:sz w:val="16"/>
          <w:szCs w:val="16"/>
          <w:color w:val="auto"/>
        </w:rPr>
        <w:t>In March 2022, our CRO and CPO received an annual grant that reflected approximately 50% RSUs and 50% rTSR Performance Share Awards based on accounting grant value. In August 2022, each received additional RSUs for their respective promotions. The combination of the annual awards and promotion awards resulted in approximately 85% of the accounting grant value delivered in RSUs and approximately 15% delivered in rTSR Performance Share Awards.</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Compensation Committee decided to use a combination of rTSR Performance Share Awards and RSUs to incentivize performance as well as promote retention.</w:t>
      </w:r>
    </w:p>
    <w:p>
      <w:pPr>
        <w:spacing w:after="0" w:line="167"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Our performance share awards enable our executive officers to earn shares of our common stock based on our performance over a three-year performance period. These awards provide an equity opportunity that motivates and rewards our executives for successful long-term performance. We believe our rTSR Performance Share Awards can provide strong upside potential in the event of outperformance relative to the competitive market, with the ability to earn a target award even in a down market with strong relative performance. In addition, our rTSR Performance Share Awards provide a direct link between compensation and stockholder return, thereby motivating our executive officers to focus on and strive to achieve both our annual and long-term business objectives.</w:t>
      </w:r>
    </w:p>
    <w:p>
      <w:pPr>
        <w:spacing w:after="0" w:line="156"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We provided grants of RSUs in 2022 to increase the long-term retention power of our equity compensation and to align with the competitive market. Since the ultimate value of the RSUs is based on our stock price at the time the RSU vests, we believe that there is still strong alignment with stockholders’ interests while increasing our retention hold on our key executive and employee talent.</w:t>
      </w:r>
    </w:p>
    <w:p>
      <w:pPr>
        <w:spacing w:after="0" w:line="143"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Typically, the size and form of the equity awards for our executive officers are determined in the discretion of the Compensation Committee based on the recommendation of our CEO (except with respect to his own equity award) and based on the level that the Compensation Committee believes is competitive with current market conditions using our compensation consultant’s analysis of competitive market data, the proportion of our total shares outstanding used for annual employee long-term incentive compensation awards (our “burn rate”) in relation to that of the companies in our compensation peer group, the potential dilution to our stockholders (our “overhang”) in relation to the median practice of the companies in our compensation peer group and the other factors described under “Compensation-Setting Process – Factors Considered in Compensation Deliberations” above.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target grant date fair values of the 2022 regular annual equity awards for the following Named Executive Officers were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such officers’ 2021 levels: Mr. Almeida’s was increased from $7,250,000 to $7,500,000; Ms. Aretakis’ was increased from</w:t>
      </w:r>
    </w:p>
    <w:p>
      <w:pPr>
        <w:spacing w:after="0"/>
        <w:rPr>
          <w:sz w:val="20"/>
          <w:szCs w:val="20"/>
          <w:color w:val="auto"/>
        </w:rPr>
      </w:pPr>
      <w:r>
        <w:rPr>
          <w:rFonts w:ascii="Arial" w:cs="Arial" w:eastAsia="Arial" w:hAnsi="Arial"/>
          <w:sz w:val="14"/>
          <w:szCs w:val="14"/>
          <w:color w:val="auto"/>
        </w:rPr>
        <w:t>$1,800,000 to $1,900,000; and Mr. Wilmot’s was increased from $1,300,000 to $1,400,000. Because Mr. Puppala received only a new</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hire equity award in 2021, 2022 was the first year in which he received regular annual equity awards, and his target opportunity was</w:t>
      </w:r>
    </w:p>
    <w:p>
      <w:pPr>
        <w:spacing w:after="0"/>
        <w:rPr>
          <w:sz w:val="20"/>
          <w:szCs w:val="20"/>
          <w:color w:val="auto"/>
        </w:rPr>
      </w:pPr>
      <w:r>
        <w:rPr>
          <w:rFonts w:ascii="Arial" w:cs="Arial" w:eastAsia="Arial" w:hAnsi="Arial"/>
          <w:sz w:val="14"/>
          <w:szCs w:val="14"/>
          <w:color w:val="auto"/>
        </w:rPr>
        <w:t>established at $1,900,000. These increases were intended to better align the Named Executive Officers’ equity award opportunities with</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market practices for similar positions, to reflect the performance of the Named Executive Officers and the Company during the prior</w:t>
      </w:r>
    </w:p>
    <w:p>
      <w:pPr>
        <w:spacing w:after="0"/>
        <w:rPr>
          <w:sz w:val="20"/>
          <w:szCs w:val="20"/>
          <w:color w:val="auto"/>
        </w:rPr>
      </w:pPr>
      <w:r>
        <w:rPr>
          <w:rFonts w:ascii="Arial" w:cs="Arial" w:eastAsia="Arial" w:hAnsi="Arial"/>
          <w:sz w:val="14"/>
          <w:szCs w:val="14"/>
          <w:color w:val="auto"/>
        </w:rPr>
        <w:t>year and the desire of the Compensation Committee to emphasize long term performance-based compensation in its top executives’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compensation.</w:t>
      </w:r>
    </w:p>
    <w:p>
      <w:pPr>
        <w:spacing w:after="0" w:line="191"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In connection with his appointment to CRO, Mr. Silva received an additional long-term equity award of RSUs that vest quarterly over a three-year period. In connection with her appointment to CPO, Ms. Guerra received an additional long-term equity award of RSUs that vest quarterly over a three-year period.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63</w:t>
      </w:r>
    </w:p>
    <w:p>
      <w:pPr>
        <w:sectPr>
          <w:pgSz w:w="11900" w:h="16838" w:orient="portrait"/>
          <w:cols w:equalWidth="0" w:num="1">
            <w:col w:w="9320"/>
          </w:cols>
          <w:pgMar w:left="1280" w:top="296" w:right="1299" w:bottom="1440" w:gutter="0" w:footer="0" w:header="0"/>
        </w:sectPr>
      </w:pPr>
    </w:p>
    <w:bookmarkStart w:id="69" w:name="page70"/>
    <w:bookmarkEnd w:id="69"/>
    <w:p>
      <w:pPr>
        <w:ind w:right="340"/>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The annual equity awards and underlying number of shares of our common stock granted to our Named Executive Officers in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130175</wp:posOffset>
            </wp:positionV>
            <wp:extent cx="8255" cy="13404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1340485"/>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130175</wp:posOffset>
            </wp:positionV>
            <wp:extent cx="8255" cy="13404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1340485"/>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130175</wp:posOffset>
            </wp:positionV>
            <wp:extent cx="8255" cy="13404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134048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shd w:val="clear" w:color="auto" w:fill="284993"/>
          </w:tcPr>
          <w:p>
            <w:pPr>
              <w:spacing w:after="0"/>
              <w:rPr>
                <w:sz w:val="16"/>
                <w:szCs w:val="16"/>
                <w:color w:val="auto"/>
              </w:rPr>
            </w:pPr>
          </w:p>
        </w:tc>
        <w:tc>
          <w:tcPr>
            <w:tcW w:w="2560" w:type="dxa"/>
            <w:vAlign w:val="bottom"/>
            <w:shd w:val="clear" w:color="auto" w:fill="284993"/>
          </w:tcPr>
          <w:p>
            <w:pPr>
              <w:spacing w:after="0"/>
              <w:rPr>
                <w:sz w:val="16"/>
                <w:szCs w:val="16"/>
                <w:color w:val="auto"/>
              </w:rPr>
            </w:pPr>
          </w:p>
        </w:tc>
        <w:tc>
          <w:tcPr>
            <w:tcW w:w="20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8"/>
              </w:rPr>
              <w:t>Relative TSR</w:t>
            </w:r>
          </w:p>
        </w:tc>
        <w:tc>
          <w:tcPr>
            <w:tcW w:w="1800" w:type="dxa"/>
            <w:vAlign w:val="bottom"/>
            <w:shd w:val="clear" w:color="auto" w:fill="284993"/>
          </w:tcPr>
          <w:p>
            <w:pPr>
              <w:spacing w:after="0"/>
              <w:rPr>
                <w:sz w:val="16"/>
                <w:szCs w:val="16"/>
                <w:color w:val="auto"/>
              </w:rPr>
            </w:pPr>
          </w:p>
        </w:tc>
      </w:tr>
      <w:tr>
        <w:trPr>
          <w:trHeight w:val="181"/>
        </w:trPr>
        <w:tc>
          <w:tcPr>
            <w:tcW w:w="2920" w:type="dxa"/>
            <w:vAlign w:val="bottom"/>
            <w:shd w:val="clear" w:color="auto" w:fill="284993"/>
          </w:tcPr>
          <w:p>
            <w:pPr>
              <w:spacing w:after="0"/>
              <w:rPr>
                <w:sz w:val="15"/>
                <w:szCs w:val="15"/>
                <w:color w:val="auto"/>
              </w:rPr>
            </w:pPr>
          </w:p>
        </w:tc>
        <w:tc>
          <w:tcPr>
            <w:tcW w:w="2560" w:type="dxa"/>
            <w:vAlign w:val="bottom"/>
            <w:shd w:val="clear" w:color="auto" w:fill="284993"/>
          </w:tcPr>
          <w:p>
            <w:pPr>
              <w:jc w:val="right"/>
              <w:ind w:right="236"/>
              <w:spacing w:after="0" w:line="181" w:lineRule="exact"/>
              <w:rPr>
                <w:sz w:val="20"/>
                <w:szCs w:val="20"/>
                <w:color w:val="auto"/>
              </w:rPr>
            </w:pPr>
            <w:r>
              <w:rPr>
                <w:rFonts w:ascii="Arial" w:cs="Arial" w:eastAsia="Arial" w:hAnsi="Arial"/>
                <w:sz w:val="16"/>
                <w:szCs w:val="16"/>
                <w:b w:val="1"/>
                <w:bCs w:val="1"/>
                <w:color w:val="FFFFFF"/>
              </w:rPr>
              <w:t>Restricted Share</w:t>
            </w:r>
          </w:p>
        </w:tc>
        <w:tc>
          <w:tcPr>
            <w:tcW w:w="20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8"/>
              </w:rPr>
              <w:t>Performance</w:t>
            </w:r>
          </w:p>
        </w:tc>
        <w:tc>
          <w:tcPr>
            <w:tcW w:w="1800" w:type="dxa"/>
            <w:vAlign w:val="bottom"/>
            <w:shd w:val="clear" w:color="auto" w:fill="284993"/>
          </w:tcPr>
          <w:p>
            <w:pPr>
              <w:jc w:val="center"/>
              <w:ind w:left="36"/>
              <w:spacing w:after="0" w:line="181" w:lineRule="exact"/>
              <w:rPr>
                <w:sz w:val="20"/>
                <w:szCs w:val="20"/>
                <w:color w:val="auto"/>
              </w:rPr>
            </w:pPr>
            <w:r>
              <w:rPr>
                <w:rFonts w:ascii="Arial" w:cs="Arial" w:eastAsia="Arial" w:hAnsi="Arial"/>
                <w:sz w:val="16"/>
                <w:szCs w:val="16"/>
                <w:b w:val="1"/>
                <w:bCs w:val="1"/>
                <w:color w:val="FFFFFF"/>
                <w:w w:val="96"/>
              </w:rPr>
              <w:t>Aggregate Target</w:t>
            </w:r>
          </w:p>
        </w:tc>
      </w:tr>
      <w:tr>
        <w:trPr>
          <w:trHeight w:val="181"/>
        </w:trPr>
        <w:tc>
          <w:tcPr>
            <w:tcW w:w="2920" w:type="dxa"/>
            <w:vAlign w:val="bottom"/>
            <w:shd w:val="clear" w:color="auto" w:fill="284993"/>
          </w:tcPr>
          <w:p>
            <w:pPr>
              <w:spacing w:after="0"/>
              <w:rPr>
                <w:sz w:val="15"/>
                <w:szCs w:val="15"/>
                <w:color w:val="auto"/>
              </w:rPr>
            </w:pPr>
          </w:p>
        </w:tc>
        <w:tc>
          <w:tcPr>
            <w:tcW w:w="2560" w:type="dxa"/>
            <w:vAlign w:val="bottom"/>
            <w:shd w:val="clear" w:color="auto" w:fill="284993"/>
          </w:tcPr>
          <w:p>
            <w:pPr>
              <w:jc w:val="right"/>
              <w:ind w:right="396"/>
              <w:spacing w:after="0" w:line="181" w:lineRule="exact"/>
              <w:rPr>
                <w:sz w:val="20"/>
                <w:szCs w:val="20"/>
                <w:color w:val="auto"/>
              </w:rPr>
            </w:pPr>
            <w:r>
              <w:rPr>
                <w:rFonts w:ascii="Arial" w:cs="Arial" w:eastAsia="Arial" w:hAnsi="Arial"/>
                <w:sz w:val="16"/>
                <w:szCs w:val="16"/>
                <w:b w:val="1"/>
                <w:bCs w:val="1"/>
                <w:color w:val="FFFFFF"/>
              </w:rPr>
              <w:t>Unit Awards</w:t>
            </w:r>
          </w:p>
        </w:tc>
        <w:tc>
          <w:tcPr>
            <w:tcW w:w="2040" w:type="dxa"/>
            <w:vAlign w:val="bottom"/>
            <w:shd w:val="clear" w:color="auto" w:fill="284993"/>
          </w:tcPr>
          <w:p>
            <w:pPr>
              <w:jc w:val="center"/>
              <w:spacing w:after="0" w:line="181" w:lineRule="exact"/>
              <w:rPr>
                <w:sz w:val="20"/>
                <w:szCs w:val="20"/>
                <w:color w:val="auto"/>
              </w:rPr>
            </w:pPr>
            <w:r>
              <w:rPr>
                <w:rFonts w:ascii="Arial" w:cs="Arial" w:eastAsia="Arial" w:hAnsi="Arial"/>
                <w:sz w:val="16"/>
                <w:szCs w:val="16"/>
                <w:b w:val="1"/>
                <w:bCs w:val="1"/>
                <w:color w:val="FFFFFF"/>
                <w:w w:val="97"/>
              </w:rPr>
              <w:t>Share Awards</w:t>
            </w:r>
          </w:p>
        </w:tc>
        <w:tc>
          <w:tcPr>
            <w:tcW w:w="1800" w:type="dxa"/>
            <w:vAlign w:val="bottom"/>
            <w:shd w:val="clear" w:color="auto" w:fill="284993"/>
          </w:tcPr>
          <w:p>
            <w:pPr>
              <w:jc w:val="center"/>
              <w:ind w:left="36"/>
              <w:spacing w:after="0" w:line="181" w:lineRule="exact"/>
              <w:rPr>
                <w:sz w:val="20"/>
                <w:szCs w:val="20"/>
                <w:color w:val="auto"/>
              </w:rPr>
            </w:pPr>
            <w:r>
              <w:rPr>
                <w:rFonts w:ascii="Arial" w:cs="Arial" w:eastAsia="Arial" w:hAnsi="Arial"/>
                <w:sz w:val="16"/>
                <w:szCs w:val="16"/>
                <w:b w:val="1"/>
                <w:bCs w:val="1"/>
                <w:color w:val="FFFFFF"/>
                <w:w w:val="97"/>
              </w:rPr>
              <w:t>Grant Date</w:t>
            </w:r>
          </w:p>
        </w:tc>
      </w:tr>
      <w:tr>
        <w:trPr>
          <w:trHeight w:val="208"/>
        </w:trPr>
        <w:tc>
          <w:tcPr>
            <w:tcW w:w="2920" w:type="dxa"/>
            <w:vAlign w:val="bottom"/>
            <w:shd w:val="clear" w:color="auto" w:fill="284993"/>
          </w:tcPr>
          <w:p>
            <w:pPr>
              <w:ind w:left="80"/>
              <w:spacing w:after="0"/>
              <w:rPr>
                <w:sz w:val="20"/>
                <w:szCs w:val="20"/>
                <w:color w:val="auto"/>
              </w:rPr>
            </w:pPr>
            <w:r>
              <w:rPr>
                <w:rFonts w:ascii="Arial" w:cs="Arial" w:eastAsia="Arial" w:hAnsi="Arial"/>
                <w:sz w:val="16"/>
                <w:szCs w:val="16"/>
                <w:b w:val="1"/>
                <w:bCs w:val="1"/>
                <w:color w:val="FFFFFF"/>
              </w:rPr>
              <w:t>Named Executive Officer</w:t>
            </w:r>
          </w:p>
        </w:tc>
        <w:tc>
          <w:tcPr>
            <w:tcW w:w="2560" w:type="dxa"/>
            <w:vAlign w:val="bottom"/>
            <w:shd w:val="clear" w:color="auto" w:fill="284993"/>
          </w:tcPr>
          <w:p>
            <w:pPr>
              <w:jc w:val="right"/>
              <w:ind w:right="396"/>
              <w:spacing w:after="0"/>
              <w:rPr>
                <w:sz w:val="20"/>
                <w:szCs w:val="20"/>
                <w:color w:val="auto"/>
              </w:rPr>
            </w:pPr>
            <w:r>
              <w:rPr>
                <w:rFonts w:ascii="Arial" w:cs="Arial" w:eastAsia="Arial" w:hAnsi="Arial"/>
                <w:sz w:val="16"/>
                <w:szCs w:val="16"/>
                <w:b w:val="1"/>
                <w:bCs w:val="1"/>
                <w:color w:val="FFFFFF"/>
              </w:rPr>
              <w:t>(# of shares)</w:t>
            </w:r>
          </w:p>
        </w:tc>
        <w:tc>
          <w:tcPr>
            <w:tcW w:w="204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(target # of shares)</w:t>
            </w:r>
          </w:p>
        </w:tc>
        <w:tc>
          <w:tcPr>
            <w:tcW w:w="1800" w:type="dxa"/>
            <w:vAlign w:val="bottom"/>
            <w:shd w:val="clear" w:color="auto" w:fill="284993"/>
          </w:tcPr>
          <w:p>
            <w:pPr>
              <w:jc w:val="center"/>
              <w:ind w:left="36"/>
              <w:spacing w:after="0"/>
              <w:rPr>
                <w:sz w:val="20"/>
                <w:szCs w:val="20"/>
                <w:color w:val="auto"/>
              </w:rPr>
            </w:pPr>
            <w:r>
              <w:rPr>
                <w:rFonts w:ascii="Arial" w:cs="Arial" w:eastAsia="Arial" w:hAnsi="Arial"/>
                <w:sz w:val="16"/>
                <w:szCs w:val="16"/>
                <w:b w:val="1"/>
                <w:bCs w:val="1"/>
                <w:color w:val="FFFFFF"/>
                <w:w w:val="94"/>
              </w:rPr>
              <w:t>Fair Value</w:t>
            </w:r>
          </w:p>
        </w:tc>
      </w:tr>
      <w:tr>
        <w:trPr>
          <w:trHeight w:val="194"/>
        </w:trPr>
        <w:tc>
          <w:tcPr>
            <w:tcW w:w="2920" w:type="dxa"/>
            <w:vAlign w:val="bottom"/>
          </w:tcPr>
          <w:p>
            <w:pPr>
              <w:ind w:left="80"/>
              <w:spacing w:after="0" w:line="194" w:lineRule="exact"/>
              <w:rPr>
                <w:sz w:val="20"/>
                <w:szCs w:val="20"/>
                <w:color w:val="auto"/>
              </w:rPr>
            </w:pPr>
            <w:r>
              <w:rPr>
                <w:rFonts w:ascii="Arial" w:cs="Arial" w:eastAsia="Arial" w:hAnsi="Arial"/>
                <w:sz w:val="17"/>
                <w:szCs w:val="17"/>
                <w:color w:val="auto"/>
              </w:rPr>
              <w:t>Odilon Almeida</w:t>
            </w:r>
          </w:p>
        </w:tc>
        <w:tc>
          <w:tcPr>
            <w:tcW w:w="2560" w:type="dxa"/>
            <w:vAlign w:val="bottom"/>
          </w:tcPr>
          <w:p>
            <w:pPr>
              <w:jc w:val="right"/>
              <w:ind w:right="236"/>
              <w:spacing w:after="0" w:line="194" w:lineRule="exact"/>
              <w:rPr>
                <w:sz w:val="20"/>
                <w:szCs w:val="20"/>
                <w:color w:val="auto"/>
              </w:rPr>
            </w:pPr>
            <w:r>
              <w:rPr>
                <w:rFonts w:ascii="Arial" w:cs="Arial" w:eastAsia="Arial" w:hAnsi="Arial"/>
                <w:sz w:val="17"/>
                <w:szCs w:val="17"/>
                <w:color w:val="auto"/>
              </w:rPr>
              <w:t>82,834</w:t>
            </w:r>
          </w:p>
        </w:tc>
        <w:tc>
          <w:tcPr>
            <w:tcW w:w="2040" w:type="dxa"/>
            <w:vAlign w:val="bottom"/>
          </w:tcPr>
          <w:p>
            <w:pPr>
              <w:jc w:val="right"/>
              <w:ind w:right="237"/>
              <w:spacing w:after="0" w:line="194" w:lineRule="exact"/>
              <w:rPr>
                <w:sz w:val="20"/>
                <w:szCs w:val="20"/>
                <w:color w:val="auto"/>
              </w:rPr>
            </w:pPr>
            <w:r>
              <w:rPr>
                <w:rFonts w:ascii="Arial" w:cs="Arial" w:eastAsia="Arial" w:hAnsi="Arial"/>
                <w:sz w:val="17"/>
                <w:szCs w:val="17"/>
                <w:color w:val="auto"/>
              </w:rPr>
              <w:t>113,398</w:t>
            </w:r>
          </w:p>
        </w:tc>
        <w:tc>
          <w:tcPr>
            <w:tcW w:w="1800" w:type="dxa"/>
            <w:vAlign w:val="bottom"/>
          </w:tcPr>
          <w:p>
            <w:pPr>
              <w:jc w:val="right"/>
              <w:ind w:right="116"/>
              <w:spacing w:after="0" w:line="194" w:lineRule="exact"/>
              <w:rPr>
                <w:sz w:val="20"/>
                <w:szCs w:val="20"/>
                <w:color w:val="auto"/>
              </w:rPr>
            </w:pPr>
            <w:r>
              <w:rPr>
                <w:rFonts w:ascii="Arial" w:cs="Arial" w:eastAsia="Arial" w:hAnsi="Arial"/>
                <w:sz w:val="17"/>
                <w:szCs w:val="17"/>
                <w:color w:val="auto"/>
              </w:rPr>
              <w:t>$7,500,000</w:t>
            </w:r>
          </w:p>
        </w:tc>
      </w:tr>
      <w:tr>
        <w:trPr>
          <w:trHeight w:val="194"/>
        </w:trPr>
        <w:tc>
          <w:tcPr>
            <w:tcW w:w="2920" w:type="dxa"/>
            <w:vAlign w:val="bottom"/>
            <w:shd w:val="clear" w:color="auto" w:fill="9DBDE4"/>
          </w:tcPr>
          <w:p>
            <w:pPr>
              <w:ind w:left="80"/>
              <w:spacing w:after="0" w:line="194" w:lineRule="exact"/>
              <w:rPr>
                <w:sz w:val="20"/>
                <w:szCs w:val="20"/>
                <w:color w:val="auto"/>
              </w:rPr>
            </w:pPr>
            <w:r>
              <w:rPr>
                <w:rFonts w:ascii="Arial" w:cs="Arial" w:eastAsia="Arial" w:hAnsi="Arial"/>
                <w:sz w:val="17"/>
                <w:szCs w:val="17"/>
                <w:color w:val="auto"/>
              </w:rPr>
              <w:t>Scott W. Behrens</w:t>
            </w:r>
          </w:p>
        </w:tc>
        <w:tc>
          <w:tcPr>
            <w:tcW w:w="2560" w:type="dxa"/>
            <w:vAlign w:val="bottom"/>
            <w:shd w:val="clear" w:color="auto" w:fill="9DBDE4"/>
          </w:tcPr>
          <w:p>
            <w:pPr>
              <w:jc w:val="right"/>
              <w:ind w:right="236"/>
              <w:spacing w:after="0" w:line="194" w:lineRule="exact"/>
              <w:rPr>
                <w:sz w:val="20"/>
                <w:szCs w:val="20"/>
                <w:color w:val="auto"/>
              </w:rPr>
            </w:pPr>
            <w:r>
              <w:rPr>
                <w:rFonts w:ascii="Arial" w:cs="Arial" w:eastAsia="Arial" w:hAnsi="Arial"/>
                <w:sz w:val="17"/>
                <w:szCs w:val="17"/>
                <w:color w:val="auto"/>
              </w:rPr>
              <w:t>41,022</w:t>
            </w:r>
          </w:p>
        </w:tc>
        <w:tc>
          <w:tcPr>
            <w:tcW w:w="2040" w:type="dxa"/>
            <w:vAlign w:val="bottom"/>
            <w:shd w:val="clear" w:color="auto" w:fill="9DBDE4"/>
          </w:tcPr>
          <w:p>
            <w:pPr>
              <w:jc w:val="right"/>
              <w:ind w:right="237"/>
              <w:spacing w:after="0" w:line="194" w:lineRule="exact"/>
              <w:rPr>
                <w:sz w:val="20"/>
                <w:szCs w:val="20"/>
                <w:color w:val="auto"/>
              </w:rPr>
            </w:pPr>
            <w:r>
              <w:rPr>
                <w:rFonts w:ascii="Arial" w:cs="Arial" w:eastAsia="Arial" w:hAnsi="Arial"/>
                <w:sz w:val="17"/>
                <w:szCs w:val="17"/>
                <w:color w:val="auto"/>
              </w:rPr>
              <w:t>30,240</w:t>
            </w:r>
          </w:p>
        </w:tc>
        <w:tc>
          <w:tcPr>
            <w:tcW w:w="1800" w:type="dxa"/>
            <w:vAlign w:val="bottom"/>
            <w:shd w:val="clear" w:color="auto" w:fill="9DBDE4"/>
          </w:tcPr>
          <w:p>
            <w:pPr>
              <w:jc w:val="right"/>
              <w:ind w:right="116"/>
              <w:spacing w:after="0" w:line="194" w:lineRule="exact"/>
              <w:rPr>
                <w:sz w:val="20"/>
                <w:szCs w:val="20"/>
                <w:color w:val="auto"/>
              </w:rPr>
            </w:pPr>
            <w:r>
              <w:rPr>
                <w:rFonts w:ascii="Arial" w:cs="Arial" w:eastAsia="Arial" w:hAnsi="Arial"/>
                <w:sz w:val="17"/>
                <w:szCs w:val="17"/>
                <w:color w:val="auto"/>
              </w:rPr>
              <w:t>$2,600,000</w:t>
            </w:r>
          </w:p>
        </w:tc>
      </w:tr>
      <w:tr>
        <w:trPr>
          <w:trHeight w:val="194"/>
        </w:trPr>
        <w:tc>
          <w:tcPr>
            <w:tcW w:w="2920" w:type="dxa"/>
            <w:vAlign w:val="bottom"/>
          </w:tcPr>
          <w:p>
            <w:pPr>
              <w:ind w:left="80"/>
              <w:spacing w:after="0" w:line="194" w:lineRule="exact"/>
              <w:rPr>
                <w:sz w:val="20"/>
                <w:szCs w:val="20"/>
                <w:color w:val="auto"/>
              </w:rPr>
            </w:pPr>
            <w:r>
              <w:rPr>
                <w:rFonts w:ascii="Arial" w:cs="Arial" w:eastAsia="Arial" w:hAnsi="Arial"/>
                <w:sz w:val="17"/>
                <w:szCs w:val="17"/>
                <w:color w:val="auto"/>
              </w:rPr>
              <w:t>Ram K. Puppala</w:t>
            </w:r>
          </w:p>
        </w:tc>
        <w:tc>
          <w:tcPr>
            <w:tcW w:w="2560" w:type="dxa"/>
            <w:vAlign w:val="bottom"/>
          </w:tcPr>
          <w:p>
            <w:pPr>
              <w:jc w:val="right"/>
              <w:ind w:right="236"/>
              <w:spacing w:after="0" w:line="194" w:lineRule="exact"/>
              <w:rPr>
                <w:sz w:val="20"/>
                <w:szCs w:val="20"/>
                <w:color w:val="auto"/>
              </w:rPr>
            </w:pPr>
            <w:r>
              <w:rPr>
                <w:rFonts w:ascii="Arial" w:cs="Arial" w:eastAsia="Arial" w:hAnsi="Arial"/>
                <w:sz w:val="17"/>
                <w:szCs w:val="17"/>
                <w:color w:val="auto"/>
              </w:rPr>
              <w:t>29,978</w:t>
            </w:r>
          </w:p>
        </w:tc>
        <w:tc>
          <w:tcPr>
            <w:tcW w:w="2040" w:type="dxa"/>
            <w:vAlign w:val="bottom"/>
          </w:tcPr>
          <w:p>
            <w:pPr>
              <w:jc w:val="right"/>
              <w:ind w:right="237"/>
              <w:spacing w:after="0" w:line="194" w:lineRule="exact"/>
              <w:rPr>
                <w:sz w:val="20"/>
                <w:szCs w:val="20"/>
                <w:color w:val="auto"/>
              </w:rPr>
            </w:pPr>
            <w:r>
              <w:rPr>
                <w:rFonts w:ascii="Arial" w:cs="Arial" w:eastAsia="Arial" w:hAnsi="Arial"/>
                <w:sz w:val="17"/>
                <w:szCs w:val="17"/>
                <w:color w:val="auto"/>
              </w:rPr>
              <w:t>22,098</w:t>
            </w:r>
          </w:p>
        </w:tc>
        <w:tc>
          <w:tcPr>
            <w:tcW w:w="1800" w:type="dxa"/>
            <w:vAlign w:val="bottom"/>
          </w:tcPr>
          <w:p>
            <w:pPr>
              <w:jc w:val="right"/>
              <w:ind w:right="116"/>
              <w:spacing w:after="0" w:line="194" w:lineRule="exact"/>
              <w:rPr>
                <w:sz w:val="20"/>
                <w:szCs w:val="20"/>
                <w:color w:val="auto"/>
              </w:rPr>
            </w:pPr>
            <w:r>
              <w:rPr>
                <w:rFonts w:ascii="Arial" w:cs="Arial" w:eastAsia="Arial" w:hAnsi="Arial"/>
                <w:sz w:val="17"/>
                <w:szCs w:val="17"/>
                <w:color w:val="auto"/>
              </w:rPr>
              <w:t>$1,900,000</w:t>
            </w:r>
          </w:p>
        </w:tc>
      </w:tr>
      <w:tr>
        <w:trPr>
          <w:trHeight w:val="194"/>
        </w:trPr>
        <w:tc>
          <w:tcPr>
            <w:tcW w:w="2920" w:type="dxa"/>
            <w:vAlign w:val="bottom"/>
            <w:shd w:val="clear" w:color="auto" w:fill="9DBDE4"/>
          </w:tcPr>
          <w:p>
            <w:pPr>
              <w:ind w:left="80"/>
              <w:spacing w:after="0" w:line="194" w:lineRule="exact"/>
              <w:rPr>
                <w:sz w:val="20"/>
                <w:szCs w:val="20"/>
                <w:color w:val="auto"/>
              </w:rPr>
            </w:pPr>
            <w:r>
              <w:rPr>
                <w:rFonts w:ascii="Arial" w:cs="Arial" w:eastAsia="Arial" w:hAnsi="Arial"/>
                <w:sz w:val="15"/>
                <w:szCs w:val="15"/>
                <w:color w:val="auto"/>
              </w:rPr>
              <w:t>Alessandro Silva</w:t>
            </w:r>
            <w:r>
              <w:rPr>
                <w:rFonts w:ascii="Arial" w:cs="Arial" w:eastAsia="Arial" w:hAnsi="Arial"/>
                <w:sz w:val="22"/>
                <w:szCs w:val="22"/>
                <w:color w:val="auto"/>
                <w:vertAlign w:val="superscript"/>
              </w:rPr>
              <w:t>(1)</w:t>
            </w:r>
          </w:p>
        </w:tc>
        <w:tc>
          <w:tcPr>
            <w:tcW w:w="2560" w:type="dxa"/>
            <w:vAlign w:val="bottom"/>
            <w:shd w:val="clear" w:color="auto" w:fill="9DBDE4"/>
          </w:tcPr>
          <w:p>
            <w:pPr>
              <w:jc w:val="right"/>
              <w:ind w:right="236"/>
              <w:spacing w:after="0" w:line="194" w:lineRule="exact"/>
              <w:rPr>
                <w:sz w:val="20"/>
                <w:szCs w:val="20"/>
                <w:color w:val="auto"/>
              </w:rPr>
            </w:pPr>
            <w:r>
              <w:rPr>
                <w:rFonts w:ascii="Arial" w:cs="Arial" w:eastAsia="Arial" w:hAnsi="Arial"/>
                <w:sz w:val="17"/>
                <w:szCs w:val="17"/>
                <w:color w:val="auto"/>
              </w:rPr>
              <w:t>38,469</w:t>
            </w:r>
          </w:p>
        </w:tc>
        <w:tc>
          <w:tcPr>
            <w:tcW w:w="2040" w:type="dxa"/>
            <w:vAlign w:val="bottom"/>
            <w:shd w:val="clear" w:color="auto" w:fill="9DBDE4"/>
          </w:tcPr>
          <w:p>
            <w:pPr>
              <w:jc w:val="right"/>
              <w:ind w:right="237"/>
              <w:spacing w:after="0" w:line="194" w:lineRule="exact"/>
              <w:rPr>
                <w:sz w:val="20"/>
                <w:szCs w:val="20"/>
                <w:color w:val="auto"/>
              </w:rPr>
            </w:pPr>
            <w:r>
              <w:rPr>
                <w:rFonts w:ascii="Arial" w:cs="Arial" w:eastAsia="Arial" w:hAnsi="Arial"/>
                <w:sz w:val="17"/>
                <w:szCs w:val="17"/>
                <w:color w:val="auto"/>
              </w:rPr>
              <w:t>6,978</w:t>
            </w:r>
          </w:p>
        </w:tc>
        <w:tc>
          <w:tcPr>
            <w:tcW w:w="1800" w:type="dxa"/>
            <w:vAlign w:val="bottom"/>
            <w:shd w:val="clear" w:color="auto" w:fill="9DBDE4"/>
          </w:tcPr>
          <w:p>
            <w:pPr>
              <w:jc w:val="right"/>
              <w:ind w:right="116"/>
              <w:spacing w:after="0" w:line="194" w:lineRule="exact"/>
              <w:rPr>
                <w:sz w:val="20"/>
                <w:szCs w:val="20"/>
                <w:color w:val="auto"/>
              </w:rPr>
            </w:pPr>
            <w:r>
              <w:rPr>
                <w:rFonts w:ascii="Arial" w:cs="Arial" w:eastAsia="Arial" w:hAnsi="Arial"/>
                <w:sz w:val="17"/>
                <w:szCs w:val="17"/>
                <w:color w:val="auto"/>
              </w:rPr>
              <w:t>$1,350,000</w:t>
            </w:r>
          </w:p>
        </w:tc>
      </w:tr>
      <w:tr>
        <w:trPr>
          <w:trHeight w:val="194"/>
        </w:trPr>
        <w:tc>
          <w:tcPr>
            <w:tcW w:w="2920" w:type="dxa"/>
            <w:vAlign w:val="bottom"/>
          </w:tcPr>
          <w:p>
            <w:pPr>
              <w:ind w:left="80"/>
              <w:spacing w:after="0" w:line="194" w:lineRule="exact"/>
              <w:rPr>
                <w:sz w:val="20"/>
                <w:szCs w:val="20"/>
                <w:color w:val="auto"/>
              </w:rPr>
            </w:pPr>
            <w:r>
              <w:rPr>
                <w:rFonts w:ascii="Arial" w:cs="Arial" w:eastAsia="Arial" w:hAnsi="Arial"/>
                <w:sz w:val="15"/>
                <w:szCs w:val="15"/>
                <w:color w:val="auto"/>
              </w:rPr>
              <w:t>Deborah L. Guerra</w:t>
            </w:r>
            <w:r>
              <w:rPr>
                <w:rFonts w:ascii="Arial" w:cs="Arial" w:eastAsia="Arial" w:hAnsi="Arial"/>
                <w:sz w:val="22"/>
                <w:szCs w:val="22"/>
                <w:color w:val="auto"/>
                <w:vertAlign w:val="superscript"/>
              </w:rPr>
              <w:t>(2)</w:t>
            </w:r>
          </w:p>
        </w:tc>
        <w:tc>
          <w:tcPr>
            <w:tcW w:w="2560" w:type="dxa"/>
            <w:vAlign w:val="bottom"/>
          </w:tcPr>
          <w:p>
            <w:pPr>
              <w:jc w:val="right"/>
              <w:ind w:right="236"/>
              <w:spacing w:after="0" w:line="194" w:lineRule="exact"/>
              <w:rPr>
                <w:sz w:val="20"/>
                <w:szCs w:val="20"/>
                <w:color w:val="auto"/>
              </w:rPr>
            </w:pPr>
            <w:r>
              <w:rPr>
                <w:rFonts w:ascii="Arial" w:cs="Arial" w:eastAsia="Arial" w:hAnsi="Arial"/>
                <w:sz w:val="17"/>
                <w:szCs w:val="17"/>
                <w:color w:val="auto"/>
              </w:rPr>
              <w:t>20,634</w:t>
            </w:r>
          </w:p>
        </w:tc>
        <w:tc>
          <w:tcPr>
            <w:tcW w:w="2040" w:type="dxa"/>
            <w:vAlign w:val="bottom"/>
          </w:tcPr>
          <w:p>
            <w:pPr>
              <w:jc w:val="right"/>
              <w:ind w:right="237"/>
              <w:spacing w:after="0" w:line="194" w:lineRule="exact"/>
              <w:rPr>
                <w:sz w:val="20"/>
                <w:szCs w:val="20"/>
                <w:color w:val="auto"/>
              </w:rPr>
            </w:pPr>
            <w:r>
              <w:rPr>
                <w:rFonts w:ascii="Arial" w:cs="Arial" w:eastAsia="Arial" w:hAnsi="Arial"/>
                <w:sz w:val="17"/>
                <w:szCs w:val="17"/>
                <w:color w:val="auto"/>
              </w:rPr>
              <w:t>5,234</w:t>
            </w:r>
          </w:p>
        </w:tc>
        <w:tc>
          <w:tcPr>
            <w:tcW w:w="1800" w:type="dxa"/>
            <w:vAlign w:val="bottom"/>
          </w:tcPr>
          <w:p>
            <w:pPr>
              <w:jc w:val="right"/>
              <w:ind w:right="116"/>
              <w:spacing w:after="0" w:line="194" w:lineRule="exact"/>
              <w:rPr>
                <w:sz w:val="20"/>
                <w:szCs w:val="20"/>
                <w:color w:val="auto"/>
              </w:rPr>
            </w:pPr>
            <w:r>
              <w:rPr>
                <w:rFonts w:ascii="Arial" w:cs="Arial" w:eastAsia="Arial" w:hAnsi="Arial"/>
                <w:sz w:val="17"/>
                <w:szCs w:val="17"/>
                <w:color w:val="auto"/>
              </w:rPr>
              <w:t>$800,000</w:t>
            </w:r>
          </w:p>
        </w:tc>
      </w:tr>
      <w:tr>
        <w:trPr>
          <w:trHeight w:val="194"/>
        </w:trPr>
        <w:tc>
          <w:tcPr>
            <w:tcW w:w="2920" w:type="dxa"/>
            <w:vAlign w:val="bottom"/>
            <w:shd w:val="clear" w:color="auto" w:fill="9DBDE4"/>
          </w:tcPr>
          <w:p>
            <w:pPr>
              <w:ind w:left="80"/>
              <w:spacing w:after="0" w:line="194" w:lineRule="exact"/>
              <w:rPr>
                <w:sz w:val="20"/>
                <w:szCs w:val="20"/>
                <w:color w:val="auto"/>
              </w:rPr>
            </w:pPr>
            <w:r>
              <w:rPr>
                <w:rFonts w:ascii="Arial" w:cs="Arial" w:eastAsia="Arial" w:hAnsi="Arial"/>
                <w:sz w:val="17"/>
                <w:szCs w:val="17"/>
                <w:color w:val="auto"/>
              </w:rPr>
              <w:t>Evanthia Aretakis</w:t>
            </w:r>
          </w:p>
        </w:tc>
        <w:tc>
          <w:tcPr>
            <w:tcW w:w="2560" w:type="dxa"/>
            <w:vAlign w:val="bottom"/>
            <w:shd w:val="clear" w:color="auto" w:fill="9DBDE4"/>
          </w:tcPr>
          <w:p>
            <w:pPr>
              <w:jc w:val="right"/>
              <w:ind w:right="236"/>
              <w:spacing w:after="0" w:line="194" w:lineRule="exact"/>
              <w:rPr>
                <w:sz w:val="20"/>
                <w:szCs w:val="20"/>
                <w:color w:val="auto"/>
              </w:rPr>
            </w:pPr>
            <w:r>
              <w:rPr>
                <w:rFonts w:ascii="Arial" w:cs="Arial" w:eastAsia="Arial" w:hAnsi="Arial"/>
                <w:sz w:val="17"/>
                <w:szCs w:val="17"/>
                <w:color w:val="auto"/>
              </w:rPr>
              <w:t>29,978</w:t>
            </w:r>
          </w:p>
        </w:tc>
        <w:tc>
          <w:tcPr>
            <w:tcW w:w="2040" w:type="dxa"/>
            <w:vAlign w:val="bottom"/>
            <w:shd w:val="clear" w:color="auto" w:fill="9DBDE4"/>
          </w:tcPr>
          <w:p>
            <w:pPr>
              <w:jc w:val="right"/>
              <w:ind w:right="237"/>
              <w:spacing w:after="0" w:line="194" w:lineRule="exact"/>
              <w:rPr>
                <w:sz w:val="20"/>
                <w:szCs w:val="20"/>
                <w:color w:val="auto"/>
              </w:rPr>
            </w:pPr>
            <w:r>
              <w:rPr>
                <w:rFonts w:ascii="Arial" w:cs="Arial" w:eastAsia="Arial" w:hAnsi="Arial"/>
                <w:sz w:val="17"/>
                <w:szCs w:val="17"/>
                <w:color w:val="auto"/>
              </w:rPr>
              <w:t>22,098</w:t>
            </w:r>
          </w:p>
        </w:tc>
        <w:tc>
          <w:tcPr>
            <w:tcW w:w="1800" w:type="dxa"/>
            <w:vAlign w:val="bottom"/>
            <w:shd w:val="clear" w:color="auto" w:fill="9DBDE4"/>
          </w:tcPr>
          <w:p>
            <w:pPr>
              <w:jc w:val="right"/>
              <w:ind w:right="116"/>
              <w:spacing w:after="0" w:line="194" w:lineRule="exact"/>
              <w:rPr>
                <w:sz w:val="20"/>
                <w:szCs w:val="20"/>
                <w:color w:val="auto"/>
              </w:rPr>
            </w:pPr>
            <w:r>
              <w:rPr>
                <w:rFonts w:ascii="Arial" w:cs="Arial" w:eastAsia="Arial" w:hAnsi="Arial"/>
                <w:sz w:val="17"/>
                <w:szCs w:val="17"/>
                <w:color w:val="auto"/>
              </w:rPr>
              <w:t>$1,900,000</w:t>
            </w:r>
          </w:p>
        </w:tc>
      </w:tr>
      <w:tr>
        <w:trPr>
          <w:trHeight w:val="194"/>
        </w:trPr>
        <w:tc>
          <w:tcPr>
            <w:tcW w:w="2920" w:type="dxa"/>
            <w:vAlign w:val="bottom"/>
            <w:tcBorders>
              <w:bottom w:val="single" w:sz="8" w:color="284993"/>
            </w:tcBorders>
          </w:tcPr>
          <w:p>
            <w:pPr>
              <w:ind w:left="80"/>
              <w:spacing w:after="0" w:line="194" w:lineRule="exact"/>
              <w:rPr>
                <w:sz w:val="20"/>
                <w:szCs w:val="20"/>
                <w:color w:val="auto"/>
              </w:rPr>
            </w:pPr>
            <w:r>
              <w:rPr>
                <w:rFonts w:ascii="Arial" w:cs="Arial" w:eastAsia="Arial" w:hAnsi="Arial"/>
                <w:sz w:val="17"/>
                <w:szCs w:val="17"/>
                <w:color w:val="auto"/>
              </w:rPr>
              <w:t>Jeremy M. Wilmot</w:t>
            </w:r>
          </w:p>
        </w:tc>
        <w:tc>
          <w:tcPr>
            <w:tcW w:w="2560" w:type="dxa"/>
            <w:vAlign w:val="bottom"/>
            <w:tcBorders>
              <w:bottom w:val="single" w:sz="8" w:color="284993"/>
            </w:tcBorders>
          </w:tcPr>
          <w:p>
            <w:pPr>
              <w:jc w:val="right"/>
              <w:ind w:right="236"/>
              <w:spacing w:after="0" w:line="194" w:lineRule="exact"/>
              <w:rPr>
                <w:sz w:val="20"/>
                <w:szCs w:val="20"/>
                <w:color w:val="auto"/>
              </w:rPr>
            </w:pPr>
            <w:r>
              <w:rPr>
                <w:rFonts w:ascii="Arial" w:cs="Arial" w:eastAsia="Arial" w:hAnsi="Arial"/>
                <w:sz w:val="17"/>
                <w:szCs w:val="17"/>
                <w:color w:val="auto"/>
              </w:rPr>
              <w:t>22,089</w:t>
            </w:r>
          </w:p>
        </w:tc>
        <w:tc>
          <w:tcPr>
            <w:tcW w:w="2040" w:type="dxa"/>
            <w:vAlign w:val="bottom"/>
            <w:tcBorders>
              <w:bottom w:val="single" w:sz="8" w:color="284993"/>
            </w:tcBorders>
          </w:tcPr>
          <w:p>
            <w:pPr>
              <w:jc w:val="right"/>
              <w:ind w:right="237"/>
              <w:spacing w:after="0" w:line="194" w:lineRule="exact"/>
              <w:rPr>
                <w:sz w:val="20"/>
                <w:szCs w:val="20"/>
                <w:color w:val="auto"/>
              </w:rPr>
            </w:pPr>
            <w:r>
              <w:rPr>
                <w:rFonts w:ascii="Arial" w:cs="Arial" w:eastAsia="Arial" w:hAnsi="Arial"/>
                <w:sz w:val="17"/>
                <w:szCs w:val="17"/>
                <w:color w:val="auto"/>
              </w:rPr>
              <w:t>16,283</w:t>
            </w:r>
          </w:p>
        </w:tc>
        <w:tc>
          <w:tcPr>
            <w:tcW w:w="1800" w:type="dxa"/>
            <w:vAlign w:val="bottom"/>
            <w:tcBorders>
              <w:bottom w:val="single" w:sz="8" w:color="284993"/>
            </w:tcBorders>
          </w:tcPr>
          <w:p>
            <w:pPr>
              <w:jc w:val="right"/>
              <w:ind w:right="116"/>
              <w:spacing w:after="0" w:line="194" w:lineRule="exact"/>
              <w:rPr>
                <w:sz w:val="20"/>
                <w:szCs w:val="20"/>
                <w:color w:val="auto"/>
              </w:rPr>
            </w:pPr>
            <w:r>
              <w:rPr>
                <w:rFonts w:ascii="Arial" w:cs="Arial" w:eastAsia="Arial" w:hAnsi="Arial"/>
                <w:sz w:val="17"/>
                <w:szCs w:val="17"/>
                <w:color w:val="auto"/>
              </w:rPr>
              <w:t>$1,400,000</w:t>
            </w:r>
          </w:p>
        </w:tc>
      </w:tr>
    </w:tbl>
    <w:p>
      <w:pPr>
        <w:spacing w:after="0" w:line="60" w:lineRule="exact"/>
        <w:rPr>
          <w:sz w:val="20"/>
          <w:szCs w:val="20"/>
          <w:color w:val="auto"/>
        </w:rPr>
      </w:pPr>
    </w:p>
    <w:p>
      <w:pPr>
        <w:ind w:left="280" w:right="460" w:hanging="278"/>
        <w:spacing w:after="0" w:line="188" w:lineRule="auto"/>
        <w:tabs>
          <w:tab w:leader="none" w:pos="280" w:val="left"/>
        </w:tabs>
        <w:numPr>
          <w:ilvl w:val="0"/>
          <w:numId w:val="47"/>
        </w:numPr>
        <w:rPr>
          <w:rFonts w:ascii="Arial" w:cs="Arial" w:eastAsia="Arial" w:hAnsi="Arial"/>
          <w:sz w:val="18"/>
          <w:szCs w:val="18"/>
          <w:color w:val="auto"/>
          <w:vertAlign w:val="superscript"/>
        </w:rPr>
      </w:pPr>
      <w:r>
        <w:rPr>
          <w:rFonts w:ascii="Arial" w:cs="Arial" w:eastAsia="Arial" w:hAnsi="Arial"/>
          <w:sz w:val="12"/>
          <w:szCs w:val="12"/>
          <w:color w:val="auto"/>
        </w:rPr>
        <w:t>Mr. Silva was promoted on May 6, 2022. The grants above reflect his annual grant prior to promotion consisting of 9,467 RSUs and a target award of 6,978 rTSR Performance Shares, as well as a promotion grant consisting of 29,002 RSUs.</w:t>
      </w:r>
    </w:p>
    <w:p>
      <w:pPr>
        <w:ind w:left="280" w:right="320" w:hanging="278"/>
        <w:spacing w:after="0" w:line="192" w:lineRule="auto"/>
        <w:tabs>
          <w:tab w:leader="none" w:pos="280" w:val="left"/>
        </w:tabs>
        <w:numPr>
          <w:ilvl w:val="0"/>
          <w:numId w:val="47"/>
        </w:numPr>
        <w:rPr>
          <w:rFonts w:ascii="Arial" w:cs="Arial" w:eastAsia="Arial" w:hAnsi="Arial"/>
          <w:sz w:val="18"/>
          <w:szCs w:val="18"/>
          <w:color w:val="auto"/>
          <w:vertAlign w:val="superscript"/>
        </w:rPr>
      </w:pPr>
      <w:r>
        <w:rPr>
          <w:rFonts w:ascii="Arial" w:cs="Arial" w:eastAsia="Arial" w:hAnsi="Arial"/>
          <w:sz w:val="12"/>
          <w:szCs w:val="12"/>
          <w:color w:val="auto"/>
        </w:rPr>
        <w:t>Ms. Guerra was promoted on July 5, 2022. The grants above reflect her annual grant prior to promotion consisting of 7,100 RSUs and a target award of 5,234 rTSR Performance Shares, as well as a promotion grant consisting of 13,534 RSUs.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284993"/>
        </w:rPr>
        <w:t>Relative TSR Performance Share Awards</w:t>
      </w:r>
    </w:p>
    <w:p>
      <w:pPr>
        <w:spacing w:after="0" w:line="107"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The rTSR Performance Share Awards are to be earned, if at all, over a three-year performance period (March 1, 2022 through February 28, 2025) based on the performance of the total shareholder return of our common stock relative to the S&amp;P 400 MidCap Index, an index that tracks the investment results of similarly sized U.S. public companies and of which we are a constituent. The rTSR Performance Share Awards may be earned based on the following terms:</w:t>
      </w:r>
    </w:p>
    <w:p>
      <w:pPr>
        <w:spacing w:after="0" w:line="90" w:lineRule="exact"/>
        <w:rPr>
          <w:sz w:val="20"/>
          <w:szCs w:val="20"/>
          <w:color w:val="auto"/>
        </w:rPr>
      </w:pPr>
    </w:p>
    <w:p>
      <w:pPr>
        <w:ind w:left="360" w:right="180" w:hanging="267"/>
        <w:spacing w:after="0" w:line="263" w:lineRule="auto"/>
        <w:tabs>
          <w:tab w:leader="none" w:pos="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relative total shareholder return performance of our common stock does not achieve the threshold performance level, then our executive officers will not earn any shares of our common stock.</w:t>
      </w:r>
    </w:p>
    <w:p>
      <w:pPr>
        <w:spacing w:after="0" w:line="75" w:lineRule="exact"/>
        <w:rPr>
          <w:rFonts w:ascii="Arial" w:cs="Arial" w:eastAsia="Arial" w:hAnsi="Arial"/>
          <w:sz w:val="16"/>
          <w:szCs w:val="16"/>
          <w:color w:val="auto"/>
        </w:rPr>
      </w:pPr>
    </w:p>
    <w:p>
      <w:pPr>
        <w:ind w:left="360" w:right="200" w:hanging="267"/>
        <w:spacing w:after="0" w:line="263" w:lineRule="auto"/>
        <w:tabs>
          <w:tab w:leader="none" w:pos="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relative total shareholder return performance of our common stock achieves at least the threshold performance level, then our executive officers will earn shares of our common stock based on a performance matrix that provides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130175</wp:posOffset>
            </wp:positionV>
            <wp:extent cx="8255" cy="8636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63600"/>
                    </a:xfrm>
                    <a:prstGeom prst="rect">
                      <a:avLst/>
                    </a:prstGeom>
                    <a:noFill/>
                  </pic:spPr>
                </pic:pic>
              </a:graphicData>
            </a:graphic>
          </wp:anchor>
        </w:drawing>
      </w:r>
    </w:p>
    <w:p>
      <w:pPr>
        <w:spacing w:after="0" w:line="168"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440" w:type="dxa"/>
            <w:vAlign w:val="bottom"/>
            <w:shd w:val="clear" w:color="auto" w:fill="284993"/>
          </w:tcPr>
          <w:p>
            <w:pPr>
              <w:ind w:left="1860"/>
              <w:spacing w:after="0"/>
              <w:rPr>
                <w:sz w:val="20"/>
                <w:szCs w:val="20"/>
                <w:color w:val="auto"/>
              </w:rPr>
            </w:pPr>
            <w:r>
              <w:rPr>
                <w:rFonts w:ascii="Arial" w:cs="Arial" w:eastAsia="Arial" w:hAnsi="Arial"/>
                <w:sz w:val="16"/>
                <w:szCs w:val="16"/>
                <w:b w:val="1"/>
                <w:bCs w:val="1"/>
                <w:color w:val="FFFFFF"/>
              </w:rPr>
              <w:t>Performance</w:t>
            </w:r>
          </w:p>
        </w:tc>
        <w:tc>
          <w:tcPr>
            <w:tcW w:w="4320" w:type="dxa"/>
            <w:vAlign w:val="bottom"/>
            <w:shd w:val="clear" w:color="auto" w:fill="284993"/>
          </w:tcPr>
          <w:p>
            <w:pPr>
              <w:jc w:val="center"/>
              <w:ind w:left="136"/>
              <w:spacing w:after="0"/>
              <w:rPr>
                <w:sz w:val="20"/>
                <w:szCs w:val="20"/>
                <w:color w:val="auto"/>
              </w:rPr>
            </w:pPr>
            <w:r>
              <w:rPr>
                <w:rFonts w:ascii="Arial" w:cs="Arial" w:eastAsia="Arial" w:hAnsi="Arial"/>
                <w:sz w:val="16"/>
                <w:szCs w:val="16"/>
                <w:b w:val="1"/>
                <w:bCs w:val="1"/>
                <w:color w:val="FFFFFF"/>
                <w:w w:val="97"/>
              </w:rPr>
              <w:t>Percent of rTSR Performance</w:t>
            </w:r>
          </w:p>
        </w:tc>
      </w:tr>
      <w:tr>
        <w:trPr>
          <w:trHeight w:val="208"/>
        </w:trPr>
        <w:tc>
          <w:tcPr>
            <w:tcW w:w="4440" w:type="dxa"/>
            <w:vAlign w:val="bottom"/>
            <w:shd w:val="clear" w:color="auto" w:fill="284993"/>
          </w:tcPr>
          <w:p>
            <w:pPr>
              <w:jc w:val="center"/>
              <w:ind w:left="103"/>
              <w:spacing w:after="0"/>
              <w:rPr>
                <w:sz w:val="20"/>
                <w:szCs w:val="20"/>
                <w:color w:val="auto"/>
              </w:rPr>
            </w:pPr>
            <w:r>
              <w:rPr>
                <w:rFonts w:ascii="Arial" w:cs="Arial" w:eastAsia="Arial" w:hAnsi="Arial"/>
                <w:sz w:val="16"/>
                <w:szCs w:val="16"/>
                <w:b w:val="1"/>
                <w:bCs w:val="1"/>
                <w:color w:val="FFFFFF"/>
                <w:w w:val="96"/>
              </w:rPr>
              <w:t>(Percentile Ranking)</w:t>
            </w:r>
          </w:p>
        </w:tc>
        <w:tc>
          <w:tcPr>
            <w:tcW w:w="4320" w:type="dxa"/>
            <w:vAlign w:val="bottom"/>
            <w:shd w:val="clear" w:color="auto" w:fill="284993"/>
          </w:tcPr>
          <w:p>
            <w:pPr>
              <w:jc w:val="center"/>
              <w:ind w:left="116"/>
              <w:spacing w:after="0"/>
              <w:rPr>
                <w:sz w:val="20"/>
                <w:szCs w:val="20"/>
                <w:color w:val="auto"/>
              </w:rPr>
            </w:pPr>
            <w:r>
              <w:rPr>
                <w:rFonts w:ascii="Arial" w:cs="Arial" w:eastAsia="Arial" w:hAnsi="Arial"/>
                <w:sz w:val="16"/>
                <w:szCs w:val="16"/>
                <w:b w:val="1"/>
                <w:bCs w:val="1"/>
                <w:color w:val="FFFFFF"/>
                <w:w w:val="97"/>
              </w:rPr>
              <w:t>Shares</w:t>
            </w:r>
          </w:p>
        </w:tc>
      </w:tr>
      <w:tr>
        <w:trPr>
          <w:trHeight w:val="194"/>
        </w:trPr>
        <w:tc>
          <w:tcPr>
            <w:tcW w:w="4440" w:type="dxa"/>
            <w:vAlign w:val="bottom"/>
          </w:tcPr>
          <w:p>
            <w:pPr>
              <w:jc w:val="center"/>
              <w:ind w:left="103"/>
              <w:spacing w:after="0" w:line="194" w:lineRule="exact"/>
              <w:rPr>
                <w:sz w:val="20"/>
                <w:szCs w:val="20"/>
                <w:color w:val="auto"/>
              </w:rPr>
            </w:pPr>
            <w:r>
              <w:rPr>
                <w:rFonts w:ascii="Arial" w:cs="Arial" w:eastAsia="Arial" w:hAnsi="Arial"/>
                <w:sz w:val="15"/>
                <w:szCs w:val="15"/>
                <w:color w:val="auto"/>
              </w:rPr>
              <w:t>Less than 25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w:t>
            </w:r>
          </w:p>
        </w:tc>
        <w:tc>
          <w:tcPr>
            <w:tcW w:w="4320" w:type="dxa"/>
            <w:vAlign w:val="bottom"/>
          </w:tcPr>
          <w:p>
            <w:pPr>
              <w:jc w:val="center"/>
              <w:ind w:left="136"/>
              <w:spacing w:after="0" w:line="194" w:lineRule="exact"/>
              <w:rPr>
                <w:sz w:val="20"/>
                <w:szCs w:val="20"/>
                <w:color w:val="auto"/>
              </w:rPr>
            </w:pPr>
            <w:r>
              <w:rPr>
                <w:rFonts w:ascii="Arial" w:cs="Arial" w:eastAsia="Arial" w:hAnsi="Arial"/>
                <w:sz w:val="17"/>
                <w:szCs w:val="17"/>
                <w:color w:val="auto"/>
                <w:w w:val="99"/>
              </w:rPr>
              <w:t>0% Vesting</w:t>
            </w:r>
          </w:p>
        </w:tc>
      </w:tr>
      <w:tr>
        <w:trPr>
          <w:trHeight w:val="194"/>
        </w:trPr>
        <w:tc>
          <w:tcPr>
            <w:tcW w:w="4440" w:type="dxa"/>
            <w:vAlign w:val="bottom"/>
            <w:shd w:val="clear" w:color="auto" w:fill="9DBDE4"/>
          </w:tcPr>
          <w:p>
            <w:pPr>
              <w:jc w:val="center"/>
              <w:ind w:left="103"/>
              <w:spacing w:after="0" w:line="194" w:lineRule="exact"/>
              <w:rPr>
                <w:sz w:val="20"/>
                <w:szCs w:val="20"/>
                <w:color w:val="auto"/>
              </w:rPr>
            </w:pPr>
            <w:r>
              <w:rPr>
                <w:rFonts w:ascii="Arial" w:cs="Arial" w:eastAsia="Arial" w:hAnsi="Arial"/>
                <w:sz w:val="15"/>
                <w:szCs w:val="15"/>
                <w:color w:val="auto"/>
              </w:rPr>
              <w:t>25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w:t>
            </w:r>
          </w:p>
        </w:tc>
        <w:tc>
          <w:tcPr>
            <w:tcW w:w="4320" w:type="dxa"/>
            <w:vAlign w:val="bottom"/>
            <w:shd w:val="clear" w:color="auto" w:fill="9DBDE4"/>
          </w:tcPr>
          <w:p>
            <w:pPr>
              <w:jc w:val="center"/>
              <w:ind w:left="116"/>
              <w:spacing w:after="0" w:line="194" w:lineRule="exact"/>
              <w:rPr>
                <w:sz w:val="20"/>
                <w:szCs w:val="20"/>
                <w:color w:val="auto"/>
              </w:rPr>
            </w:pPr>
            <w:r>
              <w:rPr>
                <w:rFonts w:ascii="Arial" w:cs="Arial" w:eastAsia="Arial" w:hAnsi="Arial"/>
                <w:sz w:val="17"/>
                <w:szCs w:val="17"/>
                <w:color w:val="auto"/>
              </w:rPr>
              <w:t>50% Vesting</w:t>
            </w:r>
          </w:p>
        </w:tc>
      </w:tr>
      <w:tr>
        <w:trPr>
          <w:trHeight w:val="194"/>
        </w:trPr>
        <w:tc>
          <w:tcPr>
            <w:tcW w:w="4440" w:type="dxa"/>
            <w:vAlign w:val="bottom"/>
          </w:tcPr>
          <w:p>
            <w:pPr>
              <w:jc w:val="center"/>
              <w:ind w:left="103"/>
              <w:spacing w:after="0" w:line="194" w:lineRule="exact"/>
              <w:rPr>
                <w:sz w:val="20"/>
                <w:szCs w:val="20"/>
                <w:color w:val="auto"/>
              </w:rPr>
            </w:pPr>
            <w:r>
              <w:rPr>
                <w:rFonts w:ascii="Arial" w:cs="Arial" w:eastAsia="Arial" w:hAnsi="Arial"/>
                <w:sz w:val="15"/>
                <w:szCs w:val="15"/>
                <w:color w:val="auto"/>
              </w:rPr>
              <w:t>50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w:t>
            </w:r>
          </w:p>
        </w:tc>
        <w:tc>
          <w:tcPr>
            <w:tcW w:w="4320" w:type="dxa"/>
            <w:vAlign w:val="bottom"/>
          </w:tcPr>
          <w:p>
            <w:pPr>
              <w:jc w:val="center"/>
              <w:ind w:left="116"/>
              <w:spacing w:after="0" w:line="194" w:lineRule="exact"/>
              <w:rPr>
                <w:sz w:val="20"/>
                <w:szCs w:val="20"/>
                <w:color w:val="auto"/>
              </w:rPr>
            </w:pPr>
            <w:r>
              <w:rPr>
                <w:rFonts w:ascii="Arial" w:cs="Arial" w:eastAsia="Arial" w:hAnsi="Arial"/>
                <w:sz w:val="17"/>
                <w:szCs w:val="17"/>
                <w:color w:val="auto"/>
              </w:rPr>
              <w:t>95% Vesting</w:t>
            </w:r>
          </w:p>
        </w:tc>
      </w:tr>
      <w:tr>
        <w:trPr>
          <w:trHeight w:val="194"/>
        </w:trPr>
        <w:tc>
          <w:tcPr>
            <w:tcW w:w="4440" w:type="dxa"/>
            <w:vAlign w:val="bottom"/>
            <w:shd w:val="clear" w:color="auto" w:fill="9DBDE4"/>
          </w:tcPr>
          <w:p>
            <w:pPr>
              <w:jc w:val="center"/>
              <w:ind w:left="103"/>
              <w:spacing w:after="0" w:line="194" w:lineRule="exact"/>
              <w:rPr>
                <w:sz w:val="20"/>
                <w:szCs w:val="20"/>
                <w:color w:val="auto"/>
              </w:rPr>
            </w:pPr>
            <w:r>
              <w:rPr>
                <w:rFonts w:ascii="Arial" w:cs="Arial" w:eastAsia="Arial" w:hAnsi="Arial"/>
                <w:sz w:val="15"/>
                <w:szCs w:val="15"/>
                <w:color w:val="auto"/>
              </w:rPr>
              <w:t>55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w:t>
            </w:r>
          </w:p>
        </w:tc>
        <w:tc>
          <w:tcPr>
            <w:tcW w:w="4320" w:type="dxa"/>
            <w:vAlign w:val="bottom"/>
            <w:shd w:val="clear" w:color="auto" w:fill="9DBDE4"/>
          </w:tcPr>
          <w:p>
            <w:pPr>
              <w:jc w:val="center"/>
              <w:ind w:left="136"/>
              <w:spacing w:after="0" w:line="194" w:lineRule="exact"/>
              <w:rPr>
                <w:sz w:val="20"/>
                <w:szCs w:val="20"/>
                <w:color w:val="auto"/>
              </w:rPr>
            </w:pPr>
            <w:r>
              <w:rPr>
                <w:rFonts w:ascii="Arial" w:cs="Arial" w:eastAsia="Arial" w:hAnsi="Arial"/>
                <w:sz w:val="17"/>
                <w:szCs w:val="17"/>
                <w:color w:val="auto"/>
                <w:w w:val="99"/>
              </w:rPr>
              <w:t>100% Vesting (Target)</w:t>
            </w:r>
          </w:p>
        </w:tc>
      </w:tr>
      <w:tr>
        <w:trPr>
          <w:trHeight w:val="194"/>
        </w:trPr>
        <w:tc>
          <w:tcPr>
            <w:tcW w:w="4440" w:type="dxa"/>
            <w:vAlign w:val="bottom"/>
            <w:tcBorders>
              <w:bottom w:val="single" w:sz="8" w:color="284993"/>
            </w:tcBorders>
          </w:tcPr>
          <w:p>
            <w:pPr>
              <w:jc w:val="center"/>
              <w:ind w:left="103"/>
              <w:spacing w:after="0" w:line="194" w:lineRule="exact"/>
              <w:rPr>
                <w:sz w:val="20"/>
                <w:szCs w:val="20"/>
                <w:color w:val="auto"/>
              </w:rPr>
            </w:pPr>
            <w:r>
              <w:rPr>
                <w:rFonts w:ascii="Arial" w:cs="Arial" w:eastAsia="Arial" w:hAnsi="Arial"/>
                <w:sz w:val="15"/>
                <w:szCs w:val="15"/>
                <w:color w:val="auto"/>
              </w:rPr>
              <w:t>75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w:t>
            </w:r>
          </w:p>
        </w:tc>
        <w:tc>
          <w:tcPr>
            <w:tcW w:w="4320" w:type="dxa"/>
            <w:vAlign w:val="bottom"/>
            <w:tcBorders>
              <w:bottom w:val="single" w:sz="8" w:color="284993"/>
            </w:tcBorders>
          </w:tcPr>
          <w:p>
            <w:pPr>
              <w:jc w:val="center"/>
              <w:ind w:left="136"/>
              <w:spacing w:after="0" w:line="194" w:lineRule="exact"/>
              <w:rPr>
                <w:sz w:val="20"/>
                <w:szCs w:val="20"/>
                <w:color w:val="auto"/>
              </w:rPr>
            </w:pPr>
            <w:r>
              <w:rPr>
                <w:rFonts w:ascii="Arial" w:cs="Arial" w:eastAsia="Arial" w:hAnsi="Arial"/>
                <w:sz w:val="17"/>
                <w:szCs w:val="17"/>
                <w:color w:val="auto"/>
              </w:rPr>
              <w:t>200% Vesting</w:t>
            </w:r>
          </w:p>
        </w:tc>
      </w:tr>
    </w:tbl>
    <w:p>
      <w:pPr>
        <w:spacing w:after="0" w:line="104" w:lineRule="exact"/>
        <w:rPr>
          <w:sz w:val="20"/>
          <w:szCs w:val="20"/>
          <w:color w:val="auto"/>
        </w:rPr>
      </w:pPr>
    </w:p>
    <w:p>
      <w:pPr>
        <w:ind w:left="360" w:right="40" w:hanging="267"/>
        <w:spacing w:after="0" w:line="249" w:lineRule="auto"/>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relative total shareholder return performance of our common stock is between the specified percentage ranges in the performance matrix, the Compensation Committee will determine the award percentage earned by mathematical interpolation and rounded to the nearest whole share.</w:t>
      </w:r>
    </w:p>
    <w:p>
      <w:pPr>
        <w:spacing w:after="0" w:line="87" w:lineRule="exact"/>
        <w:rPr>
          <w:rFonts w:ascii="Arial" w:cs="Arial" w:eastAsia="Arial" w:hAnsi="Arial"/>
          <w:sz w:val="16"/>
          <w:szCs w:val="16"/>
          <w:color w:val="auto"/>
        </w:rPr>
      </w:pPr>
    </w:p>
    <w:p>
      <w:pPr>
        <w:ind w:left="360" w:right="60" w:hanging="267"/>
        <w:spacing w:after="0" w:line="263" w:lineRule="auto"/>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absolute total shareholder return performance of our common stock is negative, the shares that may be earned is capped at 100% (Target) regardless of the extent to which we have outperformed the S&amp;P 400 MidCap Index.</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284993"/>
        </w:rPr>
        <w:t>Restricted Share Units</w:t>
      </w:r>
    </w:p>
    <w:p>
      <w:pPr>
        <w:spacing w:after="0" w:line="107"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The RSUs granted to our executive officers as part of our regular annual long-term incentive program generally vest in three equal annual installments commencing on the first anniversary of the date of grant, subject to our executives’ continued employment as of each vesting date.</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promotional RSUs granted to Mr. Silva and Ms. Guerra vest quarterly over three years, subject to their continued employment as of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72390</wp:posOffset>
            </wp:positionV>
            <wp:extent cx="699135" cy="1314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64</w:t>
      </w:r>
    </w:p>
    <w:p>
      <w:pPr>
        <w:sectPr>
          <w:pgSz w:w="11900" w:h="16838" w:orient="portrait"/>
          <w:cols w:equalWidth="0" w:num="1">
            <w:col w:w="9320"/>
          </w:cols>
          <w:pgMar w:left="1280" w:top="296" w:right="1299" w:bottom="1440" w:gutter="0" w:footer="0" w:header="0"/>
        </w:sectPr>
      </w:pPr>
    </w:p>
    <w:bookmarkStart w:id="70" w:name="page71"/>
    <w:bookmarkEnd w:id="70"/>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Performance Results for Prior Year Awards</w:t>
      </w:r>
    </w:p>
    <w:p>
      <w:pPr>
        <w:spacing w:after="0" w:line="12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2020, we granted to our Named Executive Officers performance share units that could be earned based on relative total shareholder return (“rTSR awards”) performance and service-based restricted stock units (“RSU awards”). The rTSR awards had a three-year performance period beginning on January 1, 2020 and ending on December 31, 2022.</w:t>
      </w:r>
    </w:p>
    <w:p>
      <w:pPr>
        <w:spacing w:after="0" w:line="178"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For the rTSR awards, we measured ACI’s total shareholder return relative to the S&amp;P 400 MidCap Index over the three-year performance period. Based on performance relative to the S&amp;P 400 MidCap Index, the rTSR awards could be earned as illustrated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2978150</wp:posOffset>
            </wp:positionH>
            <wp:positionV relativeFrom="paragraph">
              <wp:posOffset>137795</wp:posOffset>
            </wp:positionV>
            <wp:extent cx="8255" cy="7404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740410"/>
                    </a:xfrm>
                    <a:prstGeom prst="rect">
                      <a:avLst/>
                    </a:prstGeom>
                    <a:noFill/>
                  </pic:spPr>
                </pic:pic>
              </a:graphicData>
            </a:graphic>
          </wp:anchor>
        </w:drawing>
      </w:r>
    </w:p>
    <w:p>
      <w:pPr>
        <w:spacing w:after="0" w:line="194" w:lineRule="exact"/>
        <w:rPr>
          <w:sz w:val="20"/>
          <w:szCs w:val="20"/>
          <w:color w:val="auto"/>
        </w:rPr>
      </w:pPr>
    </w:p>
    <w:tbl>
      <w:tblPr>
        <w:tblLayout w:type="fixed"/>
        <w:tblInd w:w="2340" w:type="dxa"/>
        <w:tblCellMar>
          <w:top w:w="0" w:type="dxa"/>
          <w:left w:w="0" w:type="dxa"/>
          <w:bottom w:w="0" w:type="dxa"/>
          <w:right w:w="0" w:type="dxa"/>
        </w:tblCellMar>
      </w:tblPr>
      <w:tr>
        <w:trPr>
          <w:trHeight w:val="184"/>
        </w:trPr>
        <w:tc>
          <w:tcPr>
            <w:tcW w:w="2360" w:type="dxa"/>
            <w:vAlign w:val="bottom"/>
            <w:shd w:val="clear" w:color="auto" w:fill="284993"/>
          </w:tcPr>
          <w:p>
            <w:pPr>
              <w:jc w:val="center"/>
              <w:spacing w:after="0"/>
              <w:rPr>
                <w:sz w:val="20"/>
                <w:szCs w:val="20"/>
                <w:color w:val="auto"/>
              </w:rPr>
            </w:pPr>
            <w:r>
              <w:rPr>
                <w:rFonts w:ascii="Arial" w:cs="Arial" w:eastAsia="Arial" w:hAnsi="Arial"/>
                <w:sz w:val="16"/>
                <w:szCs w:val="16"/>
                <w:b w:val="1"/>
                <w:bCs w:val="1"/>
                <w:color w:val="FFFFFF"/>
                <w:w w:val="97"/>
              </w:rPr>
              <w:t>Percentile Ranking</w:t>
            </w:r>
          </w:p>
        </w:tc>
        <w:tc>
          <w:tcPr>
            <w:tcW w:w="2300" w:type="dxa"/>
            <w:vAlign w:val="bottom"/>
            <w:shd w:val="clear" w:color="auto" w:fill="284993"/>
          </w:tcPr>
          <w:p>
            <w:pPr>
              <w:ind w:left="500"/>
              <w:spacing w:after="0"/>
              <w:rPr>
                <w:sz w:val="20"/>
                <w:szCs w:val="20"/>
                <w:color w:val="auto"/>
              </w:rPr>
            </w:pPr>
            <w:r>
              <w:rPr>
                <w:rFonts w:ascii="Arial" w:cs="Arial" w:eastAsia="Arial" w:hAnsi="Arial"/>
                <w:sz w:val="16"/>
                <w:szCs w:val="16"/>
                <w:b w:val="1"/>
                <w:bCs w:val="1"/>
                <w:color w:val="FFFFFF"/>
              </w:rPr>
              <w:t>Payout Percentage</w:t>
            </w:r>
          </w:p>
        </w:tc>
      </w:tr>
      <w:tr>
        <w:trPr>
          <w:trHeight w:val="194"/>
        </w:trPr>
        <w:tc>
          <w:tcPr>
            <w:tcW w:w="2360" w:type="dxa"/>
            <w:vAlign w:val="bottom"/>
          </w:tcPr>
          <w:p>
            <w:pPr>
              <w:jc w:val="center"/>
              <w:spacing w:after="0" w:line="194" w:lineRule="exact"/>
              <w:rPr>
                <w:sz w:val="20"/>
                <w:szCs w:val="20"/>
                <w:color w:val="auto"/>
              </w:rPr>
            </w:pPr>
            <w:r>
              <w:rPr>
                <w:rFonts w:ascii="Arial" w:cs="Arial" w:eastAsia="Arial" w:hAnsi="Arial"/>
                <w:sz w:val="15"/>
                <w:szCs w:val="15"/>
                <w:color w:val="auto"/>
              </w:rPr>
              <w:t>&lt;25</w:t>
            </w:r>
            <w:r>
              <w:rPr>
                <w:rFonts w:ascii="Arial" w:cs="Arial" w:eastAsia="Arial" w:hAnsi="Arial"/>
                <w:sz w:val="22"/>
                <w:szCs w:val="22"/>
                <w:color w:val="auto"/>
                <w:vertAlign w:val="superscript"/>
              </w:rPr>
              <w:t>th</w:t>
            </w:r>
          </w:p>
        </w:tc>
        <w:tc>
          <w:tcPr>
            <w:tcW w:w="2300" w:type="dxa"/>
            <w:vAlign w:val="bottom"/>
          </w:tcPr>
          <w:p>
            <w:pPr>
              <w:jc w:val="center"/>
              <w:ind w:left="15"/>
              <w:spacing w:after="0" w:line="194" w:lineRule="exact"/>
              <w:rPr>
                <w:sz w:val="20"/>
                <w:szCs w:val="20"/>
                <w:color w:val="auto"/>
              </w:rPr>
            </w:pPr>
            <w:r>
              <w:rPr>
                <w:rFonts w:ascii="Arial" w:cs="Arial" w:eastAsia="Arial" w:hAnsi="Arial"/>
                <w:sz w:val="17"/>
                <w:szCs w:val="17"/>
                <w:color w:val="auto"/>
                <w:w w:val="97"/>
              </w:rPr>
              <w:t>0%</w:t>
            </w:r>
          </w:p>
        </w:tc>
      </w:tr>
      <w:tr>
        <w:trPr>
          <w:trHeight w:val="194"/>
        </w:trPr>
        <w:tc>
          <w:tcPr>
            <w:tcW w:w="2360" w:type="dxa"/>
            <w:vAlign w:val="bottom"/>
            <w:shd w:val="clear" w:color="auto" w:fill="9DBDE4"/>
          </w:tcPr>
          <w:p>
            <w:pPr>
              <w:jc w:val="center"/>
              <w:spacing w:after="0" w:line="194" w:lineRule="exact"/>
              <w:rPr>
                <w:sz w:val="20"/>
                <w:szCs w:val="20"/>
                <w:color w:val="auto"/>
              </w:rPr>
            </w:pPr>
            <w:r>
              <w:rPr>
                <w:rFonts w:ascii="Arial" w:cs="Arial" w:eastAsia="Arial" w:hAnsi="Arial"/>
                <w:sz w:val="15"/>
                <w:szCs w:val="15"/>
                <w:color w:val="auto"/>
              </w:rPr>
              <w:t>25</w:t>
            </w:r>
            <w:r>
              <w:rPr>
                <w:rFonts w:ascii="Arial" w:cs="Arial" w:eastAsia="Arial" w:hAnsi="Arial"/>
                <w:sz w:val="22"/>
                <w:szCs w:val="22"/>
                <w:color w:val="auto"/>
                <w:vertAlign w:val="superscript"/>
              </w:rPr>
              <w:t>th</w:t>
            </w:r>
          </w:p>
        </w:tc>
        <w:tc>
          <w:tcPr>
            <w:tcW w:w="2300" w:type="dxa"/>
            <w:vAlign w:val="bottom"/>
            <w:shd w:val="clear" w:color="auto" w:fill="9DBDE4"/>
          </w:tcPr>
          <w:p>
            <w:pPr>
              <w:jc w:val="center"/>
              <w:ind w:left="15"/>
              <w:spacing w:after="0" w:line="194" w:lineRule="exact"/>
              <w:rPr>
                <w:sz w:val="20"/>
                <w:szCs w:val="20"/>
                <w:color w:val="auto"/>
              </w:rPr>
            </w:pPr>
            <w:r>
              <w:rPr>
                <w:rFonts w:ascii="Arial" w:cs="Arial" w:eastAsia="Arial" w:hAnsi="Arial"/>
                <w:sz w:val="17"/>
                <w:szCs w:val="17"/>
                <w:color w:val="auto"/>
              </w:rPr>
              <w:t>50%</w:t>
            </w:r>
          </w:p>
        </w:tc>
      </w:tr>
      <w:tr>
        <w:trPr>
          <w:trHeight w:val="194"/>
        </w:trPr>
        <w:tc>
          <w:tcPr>
            <w:tcW w:w="2360" w:type="dxa"/>
            <w:vAlign w:val="bottom"/>
          </w:tcPr>
          <w:p>
            <w:pPr>
              <w:jc w:val="center"/>
              <w:spacing w:after="0" w:line="194" w:lineRule="exact"/>
              <w:rPr>
                <w:sz w:val="20"/>
                <w:szCs w:val="20"/>
                <w:color w:val="auto"/>
              </w:rPr>
            </w:pPr>
            <w:r>
              <w:rPr>
                <w:rFonts w:ascii="Arial" w:cs="Arial" w:eastAsia="Arial" w:hAnsi="Arial"/>
                <w:sz w:val="15"/>
                <w:szCs w:val="15"/>
                <w:color w:val="auto"/>
              </w:rPr>
              <w:t>50</w:t>
            </w:r>
            <w:r>
              <w:rPr>
                <w:rFonts w:ascii="Arial" w:cs="Arial" w:eastAsia="Arial" w:hAnsi="Arial"/>
                <w:sz w:val="22"/>
                <w:szCs w:val="22"/>
                <w:color w:val="auto"/>
                <w:vertAlign w:val="superscript"/>
              </w:rPr>
              <w:t>th</w:t>
            </w:r>
          </w:p>
        </w:tc>
        <w:tc>
          <w:tcPr>
            <w:tcW w:w="2300" w:type="dxa"/>
            <w:vAlign w:val="bottom"/>
          </w:tcPr>
          <w:p>
            <w:pPr>
              <w:jc w:val="center"/>
              <w:ind w:left="15"/>
              <w:spacing w:after="0" w:line="194" w:lineRule="exact"/>
              <w:rPr>
                <w:sz w:val="20"/>
                <w:szCs w:val="20"/>
                <w:color w:val="auto"/>
              </w:rPr>
            </w:pPr>
            <w:r>
              <w:rPr>
                <w:rFonts w:ascii="Arial" w:cs="Arial" w:eastAsia="Arial" w:hAnsi="Arial"/>
                <w:sz w:val="17"/>
                <w:szCs w:val="17"/>
                <w:color w:val="auto"/>
              </w:rPr>
              <w:t>95%</w:t>
            </w:r>
          </w:p>
        </w:tc>
      </w:tr>
      <w:tr>
        <w:trPr>
          <w:trHeight w:val="194"/>
        </w:trPr>
        <w:tc>
          <w:tcPr>
            <w:tcW w:w="2360" w:type="dxa"/>
            <w:vAlign w:val="bottom"/>
            <w:shd w:val="clear" w:color="auto" w:fill="9DBDE4"/>
          </w:tcPr>
          <w:p>
            <w:pPr>
              <w:jc w:val="center"/>
              <w:spacing w:after="0" w:line="194" w:lineRule="exact"/>
              <w:rPr>
                <w:sz w:val="20"/>
                <w:szCs w:val="20"/>
                <w:color w:val="auto"/>
              </w:rPr>
            </w:pPr>
            <w:r>
              <w:rPr>
                <w:rFonts w:ascii="Arial" w:cs="Arial" w:eastAsia="Arial" w:hAnsi="Arial"/>
                <w:sz w:val="22"/>
                <w:szCs w:val="22"/>
                <w:color w:val="auto"/>
                <w:vertAlign w:val="subscript"/>
              </w:rPr>
              <w:t>55</w:t>
            </w:r>
            <w:r>
              <w:rPr>
                <w:rFonts w:ascii="Arial" w:cs="Arial" w:eastAsia="Arial" w:hAnsi="Arial"/>
                <w:sz w:val="10"/>
                <w:szCs w:val="10"/>
                <w:color w:val="auto"/>
              </w:rPr>
              <w:t>th</w:t>
            </w:r>
          </w:p>
        </w:tc>
        <w:tc>
          <w:tcPr>
            <w:tcW w:w="2300" w:type="dxa"/>
            <w:vAlign w:val="bottom"/>
            <w:shd w:val="clear" w:color="auto" w:fill="9DBDE4"/>
          </w:tcPr>
          <w:p>
            <w:pPr>
              <w:jc w:val="center"/>
              <w:ind w:left="15"/>
              <w:spacing w:after="0" w:line="194" w:lineRule="exact"/>
              <w:rPr>
                <w:sz w:val="20"/>
                <w:szCs w:val="20"/>
                <w:color w:val="auto"/>
              </w:rPr>
            </w:pPr>
            <w:r>
              <w:rPr>
                <w:rFonts w:ascii="Arial" w:cs="Arial" w:eastAsia="Arial" w:hAnsi="Arial"/>
                <w:sz w:val="17"/>
                <w:szCs w:val="17"/>
                <w:color w:val="auto"/>
              </w:rPr>
              <w:t>100%</w:t>
            </w:r>
          </w:p>
        </w:tc>
      </w:tr>
      <w:tr>
        <w:trPr>
          <w:trHeight w:val="194"/>
        </w:trPr>
        <w:tc>
          <w:tcPr>
            <w:tcW w:w="2360" w:type="dxa"/>
            <w:vAlign w:val="bottom"/>
            <w:tcBorders>
              <w:bottom w:val="single" w:sz="8" w:color="284993"/>
            </w:tcBorders>
          </w:tcPr>
          <w:p>
            <w:pPr>
              <w:jc w:val="center"/>
              <w:spacing w:after="0" w:line="194" w:lineRule="exact"/>
              <w:rPr>
                <w:sz w:val="20"/>
                <w:szCs w:val="20"/>
                <w:color w:val="auto"/>
              </w:rPr>
            </w:pPr>
            <w:r>
              <w:rPr>
                <w:rFonts w:ascii="Arial" w:cs="Arial" w:eastAsia="Arial" w:hAnsi="Arial"/>
                <w:sz w:val="15"/>
                <w:szCs w:val="15"/>
                <w:color w:val="auto"/>
              </w:rPr>
              <w:t>&gt;=75</w:t>
            </w:r>
            <w:r>
              <w:rPr>
                <w:rFonts w:ascii="Arial" w:cs="Arial" w:eastAsia="Arial" w:hAnsi="Arial"/>
                <w:sz w:val="22"/>
                <w:szCs w:val="22"/>
                <w:color w:val="auto"/>
                <w:vertAlign w:val="superscript"/>
              </w:rPr>
              <w:t>th</w:t>
            </w:r>
          </w:p>
        </w:tc>
        <w:tc>
          <w:tcPr>
            <w:tcW w:w="2300" w:type="dxa"/>
            <w:vAlign w:val="bottom"/>
            <w:tcBorders>
              <w:bottom w:val="single" w:sz="8" w:color="284993"/>
            </w:tcBorders>
          </w:tcPr>
          <w:p>
            <w:pPr>
              <w:jc w:val="center"/>
              <w:ind w:left="15"/>
              <w:spacing w:after="0" w:line="194" w:lineRule="exact"/>
              <w:rPr>
                <w:sz w:val="20"/>
                <w:szCs w:val="20"/>
                <w:color w:val="auto"/>
              </w:rPr>
            </w:pPr>
            <w:r>
              <w:rPr>
                <w:rFonts w:ascii="Arial" w:cs="Arial" w:eastAsia="Arial" w:hAnsi="Arial"/>
                <w:sz w:val="17"/>
                <w:szCs w:val="17"/>
                <w:color w:val="auto"/>
              </w:rPr>
              <w:t>200%</w:t>
            </w:r>
          </w:p>
        </w:tc>
      </w:tr>
    </w:tbl>
    <w:p>
      <w:pPr>
        <w:spacing w:after="0" w:line="195"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Based on ACI’s TSR of -42.76% during the period, we ranked at the 8th percentile of the S&amp;P 400 MidCap Index, which resulted in no payout of the award.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Employee Benefit Plans</w:t>
      </w:r>
    </w:p>
    <w:p>
      <w:pPr>
        <w:spacing w:after="0" w:line="107" w:lineRule="exact"/>
        <w:rPr>
          <w:sz w:val="20"/>
          <w:szCs w:val="20"/>
          <w:color w:val="auto"/>
        </w:rPr>
      </w:pPr>
    </w:p>
    <w:p>
      <w:pPr>
        <w:ind w:right="80"/>
        <w:spacing w:after="0"/>
        <w:rPr>
          <w:sz w:val="20"/>
          <w:szCs w:val="20"/>
          <w:color w:val="auto"/>
        </w:rPr>
      </w:pPr>
      <w:r>
        <w:rPr>
          <w:rFonts w:ascii="Arial" w:cs="Arial" w:eastAsia="Arial" w:hAnsi="Arial"/>
          <w:sz w:val="16"/>
          <w:szCs w:val="16"/>
          <w:color w:val="auto"/>
        </w:rPr>
        <w:t>We seek to provide our executive officers, including our Named Executive Officers, with health, retirement and other benefits at a reasonable cost consistent with the health, retirement and other benefits provided at the companies with which we compete for executive talent. We maintain a tax-qualified Section 401(k) retirement plan that provides for broad-based employee participation. For 2022, we matched contributions made to the plan by our employees, including our Named Executive Officers, beginning on the first anniversary of a participant’s date of hire, up to 6% of the participant’s base salary with an annual match limit of $5,000 per participant. All employer and employee contributions are 100% vested immediately. We intend for the plan to qualify under Section 401(a) of the Internal Revenue Code of 1986, as amended (the “Internal Revenue Code”) so that contributions by participants to the plan, and income earned on plan contributions, are not taxable to participants until withdrawn from the plan.</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also offer substantially all our employees, including our Named Executive Officers, the opportunity to purchase shares of our common stock at a discount under our employee stock purchase plan. Under this plan, participants may contribute up to 10% of their base salary (subject to certain Internal Revenue Service limits) to purchase shares of our common stock at the end of each participation period. Participation periods are the three months ending on April 30, July 31, October 31 and January 31 of each year. Shares are purchased at a price equal to 85% of the fair market value of our common stock on the last day of a participation period.</w:t>
      </w:r>
    </w:p>
    <w:p>
      <w:pPr>
        <w:spacing w:after="0" w:line="154"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color w:val="auto"/>
        </w:rPr>
        <w:t>In addition, we provide other benefits to our Named Executive Officers on the same basis as all of our full-time employees. These benefits include medical, dental and vision insurance; medical and dependent care flexible spending accounts; health savings account; short-term and long-term disability insurance; accidental death and dismemberment insurance; and basic life insurance coverage.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Non-Qualified Deferred Compensation Plan</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We seek to provide our executive officers, including our Named Executive Officers, with market-competitive benefit programs consistent with the programs provided at the companies with which we compete for executive talent. We maintain a non-qualified deferred compensation plan (the “Deferred Compensation Plan”) in which a select group of executive officers and other highly compensated employees, including our Named Executive Officers, may elect to participate as part of our market-competitive benefit programs.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Perquisites and Other Personal Benefits</w:t>
      </w:r>
    </w:p>
    <w:p>
      <w:pPr>
        <w:spacing w:after="0" w:line="107"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Beginning January 1, 2022 we introduced an annual health check-up for our executive officers, including our named</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65</w:t>
      </w:r>
    </w:p>
    <w:p>
      <w:pPr>
        <w:sectPr>
          <w:pgSz w:w="11900" w:h="16838" w:orient="portrait"/>
          <w:cols w:equalWidth="0" w:num="1">
            <w:col w:w="9320"/>
          </w:cols>
          <w:pgMar w:left="1280" w:top="285" w:right="1299" w:bottom="1440" w:gutter="0" w:footer="0" w:header="0"/>
        </w:sectPr>
      </w:pPr>
    </w:p>
    <w:bookmarkStart w:id="71" w:name="page72"/>
    <w:bookmarkEnd w:id="71"/>
    <w:p>
      <w:pPr>
        <w:ind w:right="140"/>
        <w:spacing w:after="0" w:line="24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Executive Officers by have access to the Mayo Clinic Executive Health Program. Accordingly, we do not provide any significant perquisites to our executive officers, including our Named Executive Officers, except in situations where we believe it is appropriate to assist an individual in the performance of his or her duties, to make our executive officers more efficient and effective, and for recruitment and retention purposes.</w:t>
      </w:r>
    </w:p>
    <w:p>
      <w:pPr>
        <w:spacing w:after="0" w:line="18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We do not expect that future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Post-Employment Compensation Arrangements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Severance and Change in Control Arrangements</w:t>
      </w:r>
    </w:p>
    <w:p>
      <w:pPr>
        <w:spacing w:after="0" w:line="107"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We seek to provide our executive officers, including our Named Executive Officers, with market competitive post-employment compensation arrangements consistent with the post-employment payments and benefits provided at the companies with which we compete for executive talent. We believe that having reasonable and competitive post-employment compensation arrangements is essential to attracting and retaining highly qualified executive officers. Our post-employment compensation arrangements are designed to provide reasonable compensation to executive officers who leave us under certain circumstances to facilitate their transition to new employment and are intended to keep executive officers working to achieve our goals despite a possible change in control of the Company. Our change in control arrangements are intended to keep our most senior executive officers focused on pursuing corporate transactions that are in the best interests of our stockholders regardless of whether those transactions may result in their own job loss. Further, we seek to mitigate any potential employer liability and avoid future disputes or litigation by requiring a departing executive officer to sign a separation and release agreement acceptable to us as a condition to receiving post-employment compensation payments or benefits. As such, we believe that these arrangements appropriately align the interests of management and stockholders when considering our long-term future.</w:t>
      </w:r>
    </w:p>
    <w:p>
      <w:pPr>
        <w:spacing w:after="0" w:line="184"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We provide policy-based severance for top executives, including our Named Executive Officers (other than the Interim CEO), in the event of involuntary termination of employment without cause other than pursuant to a change in control. We were also party to an individual severance agreement with our Former CEO. We have also entered into change in control agreements with each of our Named Executive Officers (other than the Interim CEO) that provide participating Named Executive Officers with the opportunity to receive certain post-employment payments and benefits in the event of a termination of employment under certain circumstances in connection with a change in control of the Company . Each of these agreements was approved by the Compensation Committee or, in certain instances, by our Board. The terms of these arrangements are described below under “Potential Payments Upon Termination or Change in Control.” In addition, we provide an estimate of the potential and actual payments and benefits payable under these arrangements as of the end of 2022 in the section titled “Potential Post-Termination Benefits Table.” Due to the temporary nature of his service, our Interim CEO is not covered by any severance compensation arrangements.</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determining payment and benefit levels under the various circumstances triggering the post-employment compensation provisions of our change in control agreements, the Compensation Committee has drawn a distinction between (i) terminations of employment by us for cause and voluntary terminations of employment without good reason and (ii) terminations of employment by us without cause or by a participating Named Executive Officer with good reason in connection to a change in control of the Company. Payment in the event of a termination by us without cause or by a participating Named Executive Officer with good reason in connection a change in control of the Company has been deemed appropriate in light of the benefits to us described above, as well as the likelihood that the participating Named Executive Officer’s departure is due, at least in part, to circumstances not within his or her control. In contrast, we believe that payments are not appropriate in the event of a termination of employment for cause or a voluntary resignation without good reason because such events often reflect either inadequate performance or a decision by a participating Named Executive Officer to end his relationship with us.</w:t>
      </w:r>
    </w:p>
    <w:p>
      <w:pPr>
        <w:spacing w:after="0" w:line="188"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Payments and benefits in the event of a change in control of the Company are generally payable only if there is a qualifying loss of employment by a participating Named Executive Officer (commonly referred to as a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82550</wp:posOffset>
            </wp:positionV>
            <wp:extent cx="699135" cy="1314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66</w:t>
      </w:r>
    </w:p>
    <w:p>
      <w:pPr>
        <w:sectPr>
          <w:pgSz w:w="11900" w:h="16838" w:orient="portrait"/>
          <w:cols w:equalWidth="0" w:num="1">
            <w:col w:w="9300"/>
          </w:cols>
          <w:pgMar w:left="1280" w:top="296" w:right="131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i w:val="1"/>
          <w:i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Departures During 2022</w:t>
      </w:r>
    </w:p>
    <w:p>
      <w:pPr>
        <w:spacing w:after="0" w:line="107"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In connection with Mr. Almeida’s termination by the Company without “Cause” in November 2022, Mr. Almeida was eligible for severance compensation and benefits in accordance with severance agreement, as further described below under “Potential Payments Upon Termination or Change in Control.” We also entered into a transition services agreement with Mr. Almeida, pursuant to which Mr. Almeida agreed to be available to, and cooperate with, the Interim CO until November 30, 2022. Mr. Almeida was paid a total of $44,000 for consulting services under the transition services agreement.</w:t>
      </w:r>
    </w:p>
    <w:p>
      <w:pPr>
        <w:spacing w:after="0" w:line="182" w:lineRule="exact"/>
        <w:rPr>
          <w:sz w:val="20"/>
          <w:szCs w:val="20"/>
          <w:color w:val="auto"/>
        </w:rPr>
      </w:pPr>
    </w:p>
    <w:p>
      <w:pPr>
        <w:ind w:right="720"/>
        <w:spacing w:after="0" w:line="263" w:lineRule="auto"/>
        <w:rPr>
          <w:sz w:val="20"/>
          <w:szCs w:val="20"/>
          <w:color w:val="auto"/>
        </w:rPr>
      </w:pPr>
      <w:r>
        <w:rPr>
          <w:rFonts w:ascii="Arial" w:cs="Arial" w:eastAsia="Arial" w:hAnsi="Arial"/>
          <w:sz w:val="16"/>
          <w:szCs w:val="16"/>
          <w:color w:val="auto"/>
        </w:rPr>
        <w:t>In connection with Ms. Aretakis’ voluntary termination of her employment in May 2022, she was not eligible for any severance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Compensation-Related Policies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Stock Ownership Guidelines</w:t>
      </w:r>
    </w:p>
    <w:p>
      <w:pPr>
        <w:spacing w:after="0" w:line="107"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We maintain stock ownership guidelines for our executive officers, including our Named Executive Officers (other than the Interim CEO), and our directors that link their financial interests with the interests of our stockholders. In the case of our executive officers, these guidelines provide that they hold specific beneficial ownership positions in our common stock that are expressed as a dollar value calculated based on a specific multiple of base salary. Pursuant to these guidelines:</w:t>
      </w:r>
    </w:p>
    <w:p>
      <w:pPr>
        <w:spacing w:after="0" w:line="90" w:lineRule="exact"/>
        <w:rPr>
          <w:sz w:val="20"/>
          <w:szCs w:val="20"/>
          <w:color w:val="auto"/>
        </w:rPr>
      </w:pPr>
    </w:p>
    <w:p>
      <w:pPr>
        <w:ind w:left="180" w:right="100" w:hanging="178"/>
        <w:spacing w:after="0" w:line="263" w:lineRule="auto"/>
        <w:tabs>
          <w:tab w:leader="none" w:pos="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permanent CEO is generally expected to own shares of our common stock with a value equal to at least six times his base salary; and</w:t>
      </w:r>
    </w:p>
    <w:p>
      <w:pPr>
        <w:spacing w:after="0" w:line="75" w:lineRule="exact"/>
        <w:rPr>
          <w:rFonts w:ascii="Arial" w:cs="Arial" w:eastAsia="Arial" w:hAnsi="Arial"/>
          <w:sz w:val="16"/>
          <w:szCs w:val="16"/>
          <w:color w:val="auto"/>
        </w:rPr>
      </w:pPr>
    </w:p>
    <w:p>
      <w:pPr>
        <w:ind w:left="180" w:right="620" w:hanging="178"/>
        <w:spacing w:after="0" w:line="263" w:lineRule="auto"/>
        <w:tabs>
          <w:tab w:leader="none" w:pos="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other executive officers, including our Named Executive Officers other than the CEO, are expected to own shares of our common stock with a value equal to at least three times their base salary.</w:t>
      </w:r>
    </w:p>
    <w:p>
      <w:pPr>
        <w:spacing w:after="0" w:line="167" w:lineRule="exact"/>
        <w:rPr>
          <w:sz w:val="20"/>
          <w:szCs w:val="20"/>
          <w:color w:val="auto"/>
        </w:rPr>
      </w:pPr>
    </w:p>
    <w:p>
      <w:pPr>
        <w:ind w:right="400"/>
        <w:spacing w:after="0" w:line="249" w:lineRule="auto"/>
        <w:rPr>
          <w:sz w:val="20"/>
          <w:szCs w:val="20"/>
          <w:color w:val="auto"/>
        </w:rPr>
      </w:pPr>
      <w:r>
        <w:rPr>
          <w:rFonts w:ascii="Arial" w:cs="Arial" w:eastAsia="Arial" w:hAnsi="Arial"/>
          <w:sz w:val="16"/>
          <w:szCs w:val="16"/>
          <w:color w:val="auto"/>
        </w:rPr>
        <w:t>Shares of our common stock used to calculate compliance with the guidelines include direct share purchases on the open market, shares acquired through any employee benefit plan, as well as common stock obtained upon the vesting of restricted stock, performance shares and the vested “in-the-money” portion of any option to purchase shares of our common stock.</w:t>
      </w:r>
    </w:p>
    <w:p>
      <w:pPr>
        <w:spacing w:after="0" w:line="17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Each executive officer has five years from the date of his or her appointment to an executive officer position to achieve the prescribed ownership level. An executive officer who is promoted into a role which changes the ownership level receives an additional two years to reach the prescribed ownership level. An executive officer who fails to meet the ownership guidelines within the five-year period may not be eligible for further equity awards and must retain 50% of the “after-tax” shares he or she receives from the exercise of options to purchase shares of our common stock, the vesting of stock appreciation rights for shares of our common stock, and the vesting of any other equity awards granted under our equity compensation plans until he or she achieves his or her prescribed ownership level. Currently, all of our continuing Named Executive Officers either meet the ownership requirements of our guidelines or are still within the five-year period to meet the guidelines.</w:t>
      </w:r>
    </w:p>
    <w:p>
      <w:pPr>
        <w:spacing w:after="0" w:line="186" w:lineRule="exact"/>
        <w:rPr>
          <w:sz w:val="20"/>
          <w:szCs w:val="20"/>
          <w:color w:val="auto"/>
        </w:rPr>
      </w:pPr>
    </w:p>
    <w:p>
      <w:pPr>
        <w:ind w:right="580"/>
        <w:spacing w:after="0" w:line="263" w:lineRule="auto"/>
        <w:rPr>
          <w:sz w:val="20"/>
          <w:szCs w:val="20"/>
          <w:color w:val="auto"/>
        </w:rPr>
      </w:pPr>
      <w:r>
        <w:rPr>
          <w:rFonts w:ascii="Arial" w:cs="Arial" w:eastAsia="Arial" w:hAnsi="Arial"/>
          <w:sz w:val="16"/>
          <w:szCs w:val="16"/>
          <w:color w:val="auto"/>
        </w:rPr>
        <w:t>Due to the temporary nature of our Interim CEO’s service as CEO, he remains subject to the stock ownership guidelines for our non-employee directors, as described above in the section titled “Director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Compensation Recovery (“Clawback”) Policy</w:t>
      </w:r>
    </w:p>
    <w:p>
      <w:pPr>
        <w:spacing w:after="0" w:line="107"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Our recoupment policy, which applies to all award recipients, including Named Executive Officers, provides that (a) if the Company is required to restate its consolidated financial statements because of material noncompliance due to irregularities with the federal securities laws, which restatement is due, in whole or in part, to the misconduct of the employee, or (b) it is determined that the employee has otherwise engaged in misconduct (whether or not such misconduct is discovered prior to the termination of the employee’s employment), the Company has the right to (a) cause the forfeiture or cancellation of any unvested and/or vested portion of an option, any unvested restricted shares or RSUs, or any unearned performance shares; (b) cause the transfer of ownership back to the Company of any vested shares not subject to transfer restrictions, common shares issued as payment for earned performance shares or RSUs, or cash received as payment for earned performance shares or RSUs; (c) recoup any proceeds from (i) the exercise or vesting of an option, (ii) the vesting of the restricted shares, (iii) the sale of shares of our common stock issued pursuant to the exercise of the option or as payment for earned performance shares or RSUs and (iv) the sale of any unrestricted shares, along with any other action the Company determines is necessary or appropriate and in the best interest of the Company and its stockholders; and (d) recoup any annual incentive cash-based payouts.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67</w:t>
      </w:r>
    </w:p>
    <w:p>
      <w:pPr>
        <w:sectPr>
          <w:pgSz w:w="11900" w:h="16838" w:orient="portrait"/>
          <w:cols w:equalWidth="0" w:num="1">
            <w:col w:w="9320"/>
          </w:cols>
          <w:pgMar w:left="1280" w:top="291" w:right="129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i w:val="1"/>
          <w:i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Prohibition on Hedging and Pledging</w:t>
      </w:r>
    </w:p>
    <w:p>
      <w:pPr>
        <w:spacing w:after="0" w:line="107" w:lineRule="exact"/>
        <w:rPr>
          <w:sz w:val="20"/>
          <w:szCs w:val="20"/>
          <w:color w:val="auto"/>
        </w:rPr>
      </w:pPr>
    </w:p>
    <w:p>
      <w:pPr>
        <w:jc w:val="both"/>
        <w:ind w:right="160"/>
        <w:spacing w:after="0" w:line="249" w:lineRule="auto"/>
        <w:rPr>
          <w:sz w:val="20"/>
          <w:szCs w:val="20"/>
          <w:color w:val="auto"/>
        </w:rPr>
      </w:pPr>
      <w:r>
        <w:rPr>
          <w:rFonts w:ascii="Arial" w:cs="Arial" w:eastAsia="Arial" w:hAnsi="Arial"/>
          <w:sz w:val="16"/>
          <w:szCs w:val="16"/>
          <w:color w:val="auto"/>
        </w:rPr>
        <w:t>We have a policy that prohibits “short” sales and the use of derivatives by employees and directors. In addition, we prohibit any equity awards from being sold, exchanged, assigned, transferred, pledged, encumbered or otherwise disposed of by the recipient until they become vested.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Equity Grant Policy</w:t>
      </w:r>
    </w:p>
    <w:p>
      <w:pPr>
        <w:spacing w:after="0" w:line="107"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Our Compensation Committee grants all equity awards to management, including our CEO and other executive officers. Our Board grants equity awards to independent directors based upon the recommendation of our Corporate Governance Committee. Annual awards to executives are granted based on a specified dollar amount, with the number of RSUs, restricted stock award shares or performance shares (other than rTSR performance shares) (as applicable) based upon the closing market price of our stock on the grant date, the number of rTSR performance shares based upon a Monte-Carlo simulation of the value of that award, and with respect to options, using a Black-Scholes calculation aligned with our financial accounting using the closing market price of our stock on the grant date. The exercise price of stock option awards is the closing market price of our stock on the grant date.</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Tax and Accounting Matters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Deductibility of Executive Compensation</w:t>
      </w:r>
    </w:p>
    <w:p>
      <w:pPr>
        <w:spacing w:after="0" w:line="10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Generally, Section 162(m) of the Internal Revenue Code disallows a federal income tax deduction for public corporations of remuneration in excess of $1 million paid in any fiscal year to certain current and former executive officers. For taxable years beginning before January 1, 2018, qualifying “performance-based compensation” was not subject to this deduction limit if specified requirements were met. In this latter regard, the compensation income realized upon the exercise of stock options granted under a stockholder-approved stock option plan in taxable years beginning before January 1, 2018, generally would be deductible so long as the options were granted by a committee whose members were non-employee directors and certain other conditions were satisfied.</w:t>
      </w:r>
    </w:p>
    <w:p>
      <w:pPr>
        <w:spacing w:after="0" w:line="156"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Pursuant to tax reform legislation that was signed into law on December 22, 2017 (the “Tax Act”), for taxable years beginning after December 31, 2017, subject to certain transition rules (which apply to remuneration provided pursuant to written binding contracts which were in effect on November 2, 2017 and which are not subsequently modified in any material respect), the exemption from the deduction limit for “performance-based compensation” is no longer available. Consequently, for fiscal years beginning after December 31, 2017, remuneration in excess of $1 million paid to a covered executive or former executive will generally not be deductible unless it qualifies for the transition exception.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establishing the cash and equity incentive compensation plans and arrangements for our executive officers, including our Named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our Compensation Committee considers a variety of relevant factors, including the potential impact of the</w:t>
      </w:r>
    </w:p>
    <w:p>
      <w:pPr>
        <w:spacing w:after="0"/>
        <w:rPr>
          <w:sz w:val="20"/>
          <w:szCs w:val="20"/>
          <w:color w:val="auto"/>
        </w:rPr>
      </w:pPr>
      <w:r>
        <w:rPr>
          <w:rFonts w:ascii="Arial" w:cs="Arial" w:eastAsia="Arial" w:hAnsi="Arial"/>
          <w:sz w:val="14"/>
          <w:szCs w:val="14"/>
          <w:color w:val="auto"/>
        </w:rPr>
        <w:t>Section 162(m) deduction limit. However, our Compensation Committee will not necessarily limit executive compensation to that which</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is or may be deductible under Section 162(m). The deductibility of some types of compensation depends upon the timing of an</w:t>
      </w:r>
    </w:p>
    <w:p>
      <w:pPr>
        <w:spacing w:after="0" w:line="236" w:lineRule="auto"/>
        <w:rPr>
          <w:sz w:val="20"/>
          <w:szCs w:val="20"/>
          <w:color w:val="auto"/>
        </w:rPr>
      </w:pPr>
      <w:r>
        <w:rPr>
          <w:rFonts w:ascii="Arial" w:cs="Arial" w:eastAsia="Arial" w:hAnsi="Arial"/>
          <w:sz w:val="16"/>
          <w:szCs w:val="16"/>
          <w:color w:val="auto"/>
        </w:rPr>
        <w:t>executive officer’s vesting or exercise of previously granted rights. Further, interpretations of and changes in the tax laws, and other</w:t>
      </w:r>
    </w:p>
    <w:p>
      <w:pPr>
        <w:spacing w:after="0"/>
        <w:rPr>
          <w:sz w:val="20"/>
          <w:szCs w:val="20"/>
          <w:color w:val="auto"/>
        </w:rPr>
      </w:pPr>
      <w:r>
        <w:rPr>
          <w:rFonts w:ascii="Arial" w:cs="Arial" w:eastAsia="Arial" w:hAnsi="Arial"/>
          <w:sz w:val="14"/>
          <w:szCs w:val="14"/>
          <w:color w:val="auto"/>
        </w:rPr>
        <w:t>factors beyond our Compensation Committee’s control also affect the deductibility of compensation. Our Compensation Committee will</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consider various alternatives to preserving the deductibility of compensation payments and benefits to the extent consistent with its</w:t>
      </w:r>
    </w:p>
    <w:p>
      <w:pPr>
        <w:spacing w:after="0"/>
        <w:rPr>
          <w:sz w:val="20"/>
          <w:szCs w:val="20"/>
          <w:color w:val="auto"/>
        </w:rPr>
      </w:pPr>
      <w:r>
        <w:rPr>
          <w:rFonts w:ascii="Arial" w:cs="Arial" w:eastAsia="Arial" w:hAnsi="Arial"/>
          <w:sz w:val="16"/>
          <w:szCs w:val="16"/>
          <w:color w:val="auto"/>
        </w:rPr>
        <w:t>compensation objectives.</w:t>
      </w:r>
    </w:p>
    <w:p>
      <w:pPr>
        <w:spacing w:after="0" w:line="191"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To maintain flexibility to compensate our executive officers in a manner designed to promote our short-term and long-term corporate goals and objectives, our Compensation Committee has not adopted a policy that all compensation must be deductible. Our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Accounting for Stock-Based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follow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for our stock-based compensation awards. FASB ASC Topic 718 requires us to measure the compensation expense for all share-based payments made to our employees and the members of our Board, including options to purchase shares of our common stock and other stock-based awards, based on the grant date “fair value” of these awards. This calculation is performed for financial accounting purposes and reported in the compensation tables below, even though recipients may never realize any value from their awards. FASB ASC Topic 718 also requires us to recognize the compensation cost of our share-based compensation awards in our income statements over the period that a recipient is required to render services in exchange for the option or other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86360</wp:posOffset>
            </wp:positionV>
            <wp:extent cx="699135" cy="1314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68</w:t>
      </w:r>
    </w:p>
    <w:p>
      <w:pPr>
        <w:sectPr>
          <w:pgSz w:w="11900" w:h="16838" w:orient="portrait"/>
          <w:cols w:equalWidth="0" w:num="1">
            <w:col w:w="9320"/>
          </w:cols>
          <w:pgMar w:left="1280" w:top="291" w:right="1299" w:bottom="1440" w:gutter="0" w:footer="0" w:header="0"/>
        </w:sectPr>
      </w:pPr>
    </w:p>
    <w:bookmarkStart w:id="74" w:name="page75"/>
    <w:bookmarkEnd w:id="74"/>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59207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both"/>
        <w:ind w:right="440"/>
        <w:spacing w:after="0" w:line="249"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Based on our review and discussions, we have recommended to the Board that the “Compensation Discussion and Analysis” be included in this Proxy Statement and in our Annual Report.</w:t>
      </w:r>
    </w:p>
    <w:p>
      <w:pPr>
        <w:spacing w:after="0" w:line="204" w:lineRule="exact"/>
        <w:rPr>
          <w:sz w:val="20"/>
          <w:szCs w:val="20"/>
          <w:color w:val="auto"/>
        </w:rPr>
      </w:pPr>
    </w:p>
    <w:p>
      <w:pPr>
        <w:jc w:val="center"/>
        <w:ind w:left="4840"/>
        <w:spacing w:after="0"/>
        <w:rPr>
          <w:sz w:val="20"/>
          <w:szCs w:val="20"/>
          <w:color w:val="auto"/>
        </w:rPr>
      </w:pPr>
      <w:r>
        <w:rPr>
          <w:rFonts w:ascii="Arial" w:cs="Arial" w:eastAsia="Arial" w:hAnsi="Arial"/>
          <w:sz w:val="16"/>
          <w:szCs w:val="16"/>
          <w:color w:val="auto"/>
        </w:rPr>
        <w:t>Members of the Compensation Committee</w:t>
      </w:r>
    </w:p>
    <w:p>
      <w:pPr>
        <w:spacing w:after="0" w:line="230" w:lineRule="exact"/>
        <w:rPr>
          <w:sz w:val="20"/>
          <w:szCs w:val="20"/>
          <w:color w:val="auto"/>
        </w:rPr>
      </w:pPr>
    </w:p>
    <w:p>
      <w:pPr>
        <w:jc w:val="center"/>
        <w:ind w:left="4840"/>
        <w:spacing w:after="0"/>
        <w:rPr>
          <w:sz w:val="20"/>
          <w:szCs w:val="20"/>
          <w:color w:val="auto"/>
        </w:rPr>
      </w:pPr>
      <w:r>
        <w:rPr>
          <w:rFonts w:ascii="Arial" w:cs="Arial" w:eastAsia="Arial" w:hAnsi="Arial"/>
          <w:sz w:val="16"/>
          <w:szCs w:val="16"/>
          <w:color w:val="auto"/>
        </w:rPr>
        <w:t>Samir Zabaneh, Chair</w:t>
      </w:r>
    </w:p>
    <w:p>
      <w:pPr>
        <w:spacing w:after="0" w:line="9" w:lineRule="exact"/>
        <w:rPr>
          <w:sz w:val="20"/>
          <w:szCs w:val="20"/>
          <w:color w:val="auto"/>
        </w:rPr>
      </w:pPr>
    </w:p>
    <w:p>
      <w:pPr>
        <w:jc w:val="center"/>
        <w:ind w:left="4840"/>
        <w:spacing w:after="0"/>
        <w:rPr>
          <w:sz w:val="20"/>
          <w:szCs w:val="20"/>
          <w:color w:val="auto"/>
        </w:rPr>
      </w:pPr>
      <w:r>
        <w:rPr>
          <w:rFonts w:ascii="Arial" w:cs="Arial" w:eastAsia="Arial" w:hAnsi="Arial"/>
          <w:sz w:val="16"/>
          <w:szCs w:val="16"/>
          <w:color w:val="auto"/>
        </w:rPr>
        <w:t>James C. Hale III</w:t>
      </w:r>
    </w:p>
    <w:p>
      <w:pPr>
        <w:jc w:val="center"/>
        <w:ind w:left="4840"/>
        <w:spacing w:after="0" w:line="236" w:lineRule="auto"/>
        <w:rPr>
          <w:sz w:val="20"/>
          <w:szCs w:val="20"/>
          <w:color w:val="auto"/>
        </w:rPr>
      </w:pPr>
      <w:r>
        <w:rPr>
          <w:rFonts w:ascii="Arial" w:cs="Arial" w:eastAsia="Arial" w:hAnsi="Arial"/>
          <w:sz w:val="16"/>
          <w:szCs w:val="16"/>
          <w:color w:val="auto"/>
        </w:rPr>
        <w:t>Mary P. Harman</w:t>
      </w:r>
    </w:p>
    <w:p>
      <w:pPr>
        <w:jc w:val="center"/>
        <w:ind w:left="4840"/>
        <w:spacing w:after="0"/>
        <w:rPr>
          <w:sz w:val="20"/>
          <w:szCs w:val="20"/>
          <w:color w:val="auto"/>
        </w:rPr>
      </w:pPr>
      <w:r>
        <w:rPr>
          <w:rFonts w:ascii="Arial" w:cs="Arial" w:eastAsia="Arial" w:hAnsi="Arial"/>
          <w:sz w:val="16"/>
          <w:szCs w:val="16"/>
          <w:color w:val="auto"/>
        </w:rPr>
        <w:t>Didier R. Lamouche</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69</w:t>
      </w:r>
    </w:p>
    <w:p>
      <w:pPr>
        <w:sectPr>
          <w:pgSz w:w="11900" w:h="16838" w:orient="portrait"/>
          <w:cols w:equalWidth="0" w:num="1">
            <w:col w:w="9320"/>
          </w:cols>
          <w:pgMar w:left="1280" w:top="253" w:right="1299" w:bottom="1440" w:gutter="0" w:footer="0" w:header="0"/>
        </w:sectPr>
      </w:pPr>
    </w:p>
    <w:bookmarkStart w:id="75" w:name="page76"/>
    <w:bookmarkEnd w:id="75"/>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59207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2022 Summary Compensation Table</w:t>
      </w:r>
    </w:p>
    <w:p>
      <w:pPr>
        <w:spacing w:after="0" w:line="123"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following table sets forth the compensation paid to, earned by or awarded to the individuals who served as our Principal Executive Officer during 2022, our Principal Financial Officer, the next three most highly compensated executive officers who were serving in such capacity as of December 31, 2022, and two persons who ceased serving as executive officers during 2022. We refer to the executive officers included in the “summary compensation table” below collectively as our “Named Executive Officers.” No disclosures are provided for Mr. Puppala for 2020, or Mr. Warsop, Mrs. Guerra, and Mr. Silva for 2021 and 2020 as they were not Named Executive Officers for such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5920740" cy="5429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20740" cy="54292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shd w:val="clear" w:color="auto" w:fill="284993"/>
          </w:tcPr>
          <w:p>
            <w:pPr>
              <w:spacing w:after="0"/>
              <w:rPr>
                <w:sz w:val="14"/>
                <w:szCs w:val="14"/>
                <w:color w:val="auto"/>
              </w:rPr>
            </w:pPr>
          </w:p>
        </w:tc>
        <w:tc>
          <w:tcPr>
            <w:tcW w:w="580" w:type="dxa"/>
            <w:vAlign w:val="bottom"/>
            <w:shd w:val="clear" w:color="auto" w:fill="284993"/>
          </w:tcPr>
          <w:p>
            <w:pPr>
              <w:spacing w:after="0"/>
              <w:rPr>
                <w:sz w:val="14"/>
                <w:szCs w:val="14"/>
                <w:color w:val="auto"/>
              </w:rPr>
            </w:pPr>
          </w:p>
        </w:tc>
        <w:tc>
          <w:tcPr>
            <w:tcW w:w="760" w:type="dxa"/>
            <w:vAlign w:val="bottom"/>
            <w:shd w:val="clear" w:color="auto" w:fill="284993"/>
          </w:tcPr>
          <w:p>
            <w:pPr>
              <w:spacing w:after="0"/>
              <w:rPr>
                <w:sz w:val="14"/>
                <w:szCs w:val="14"/>
                <w:color w:val="auto"/>
              </w:rPr>
            </w:pPr>
          </w:p>
        </w:tc>
        <w:tc>
          <w:tcPr>
            <w:tcW w:w="760" w:type="dxa"/>
            <w:vAlign w:val="bottom"/>
            <w:shd w:val="clear" w:color="auto" w:fill="284993"/>
          </w:tcPr>
          <w:p>
            <w:pPr>
              <w:spacing w:after="0"/>
              <w:rPr>
                <w:sz w:val="14"/>
                <w:szCs w:val="14"/>
                <w:color w:val="auto"/>
              </w:rPr>
            </w:pPr>
          </w:p>
        </w:tc>
        <w:tc>
          <w:tcPr>
            <w:tcW w:w="880" w:type="dxa"/>
            <w:vAlign w:val="bottom"/>
            <w:shd w:val="clear" w:color="auto" w:fill="284993"/>
          </w:tcPr>
          <w:p>
            <w:pPr>
              <w:spacing w:after="0"/>
              <w:rPr>
                <w:sz w:val="14"/>
                <w:szCs w:val="14"/>
                <w:color w:val="auto"/>
              </w:rPr>
            </w:pPr>
          </w:p>
        </w:tc>
        <w:tc>
          <w:tcPr>
            <w:tcW w:w="110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9"/>
              </w:rPr>
              <w:t>Non-Equity</w:t>
            </w:r>
          </w:p>
        </w:tc>
        <w:tc>
          <w:tcPr>
            <w:tcW w:w="1140" w:type="dxa"/>
            <w:vAlign w:val="bottom"/>
            <w:shd w:val="clear" w:color="auto" w:fill="284993"/>
          </w:tcPr>
          <w:p>
            <w:pPr>
              <w:spacing w:after="0"/>
              <w:rPr>
                <w:sz w:val="14"/>
                <w:szCs w:val="14"/>
                <w:color w:val="auto"/>
              </w:rPr>
            </w:pPr>
          </w:p>
        </w:tc>
        <w:tc>
          <w:tcPr>
            <w:tcW w:w="960" w:type="dxa"/>
            <w:vAlign w:val="bottom"/>
            <w:shd w:val="clear" w:color="auto" w:fill="28499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40" w:type="dxa"/>
            <w:vAlign w:val="bottom"/>
            <w:shd w:val="clear" w:color="auto" w:fill="284993"/>
          </w:tcPr>
          <w:p>
            <w:pPr>
              <w:spacing w:after="0"/>
              <w:rPr>
                <w:sz w:val="13"/>
                <w:szCs w:val="13"/>
                <w:color w:val="auto"/>
              </w:rPr>
            </w:pPr>
          </w:p>
        </w:tc>
        <w:tc>
          <w:tcPr>
            <w:tcW w:w="580" w:type="dxa"/>
            <w:vAlign w:val="bottom"/>
            <w:shd w:val="clear" w:color="auto" w:fill="284993"/>
          </w:tcPr>
          <w:p>
            <w:pPr>
              <w:spacing w:after="0"/>
              <w:rPr>
                <w:sz w:val="13"/>
                <w:szCs w:val="13"/>
                <w:color w:val="auto"/>
              </w:rPr>
            </w:pPr>
          </w:p>
        </w:tc>
        <w:tc>
          <w:tcPr>
            <w:tcW w:w="760" w:type="dxa"/>
            <w:vAlign w:val="bottom"/>
            <w:shd w:val="clear" w:color="auto" w:fill="284993"/>
          </w:tcPr>
          <w:p>
            <w:pPr>
              <w:spacing w:after="0"/>
              <w:rPr>
                <w:sz w:val="13"/>
                <w:szCs w:val="13"/>
                <w:color w:val="auto"/>
              </w:rPr>
            </w:pPr>
          </w:p>
        </w:tc>
        <w:tc>
          <w:tcPr>
            <w:tcW w:w="760" w:type="dxa"/>
            <w:vAlign w:val="bottom"/>
            <w:shd w:val="clear" w:color="auto" w:fill="284993"/>
          </w:tcPr>
          <w:p>
            <w:pPr>
              <w:spacing w:after="0"/>
              <w:rPr>
                <w:sz w:val="13"/>
                <w:szCs w:val="13"/>
                <w:color w:val="auto"/>
              </w:rPr>
            </w:pPr>
          </w:p>
        </w:tc>
        <w:tc>
          <w:tcPr>
            <w:tcW w:w="88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4"/>
              </w:rPr>
              <w:t>Stock</w:t>
            </w:r>
          </w:p>
        </w:tc>
        <w:tc>
          <w:tcPr>
            <w:tcW w:w="110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7"/>
              </w:rPr>
              <w:t>Incentive Plan</w:t>
            </w:r>
          </w:p>
        </w:tc>
        <w:tc>
          <w:tcPr>
            <w:tcW w:w="114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8"/>
              </w:rPr>
              <w:t>All Other</w:t>
            </w:r>
          </w:p>
        </w:tc>
        <w:tc>
          <w:tcPr>
            <w:tcW w:w="960" w:type="dxa"/>
            <w:vAlign w:val="bottom"/>
            <w:vMerge w:val="restart"/>
            <w:shd w:val="clear" w:color="auto" w:fill="284993"/>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142"/>
        </w:trPr>
        <w:tc>
          <w:tcPr>
            <w:tcW w:w="3140" w:type="dxa"/>
            <w:vAlign w:val="bottom"/>
            <w:shd w:val="clear" w:color="auto" w:fill="284993"/>
          </w:tcPr>
          <w:p>
            <w:pPr>
              <w:spacing w:after="0"/>
              <w:rPr>
                <w:sz w:val="12"/>
                <w:szCs w:val="12"/>
                <w:color w:val="auto"/>
              </w:rPr>
            </w:pPr>
          </w:p>
        </w:tc>
        <w:tc>
          <w:tcPr>
            <w:tcW w:w="580" w:type="dxa"/>
            <w:vAlign w:val="bottom"/>
            <w:shd w:val="clear" w:color="auto" w:fill="284993"/>
          </w:tcPr>
          <w:p>
            <w:pPr>
              <w:spacing w:after="0"/>
              <w:rPr>
                <w:sz w:val="12"/>
                <w:szCs w:val="12"/>
                <w:color w:val="auto"/>
              </w:rPr>
            </w:pPr>
          </w:p>
        </w:tc>
        <w:tc>
          <w:tcPr>
            <w:tcW w:w="760" w:type="dxa"/>
            <w:vAlign w:val="bottom"/>
            <w:shd w:val="clear" w:color="auto" w:fill="284993"/>
          </w:tcPr>
          <w:p>
            <w:pPr>
              <w:jc w:val="right"/>
              <w:ind w:right="124"/>
              <w:spacing w:after="0" w:line="143" w:lineRule="exact"/>
              <w:rPr>
                <w:sz w:val="20"/>
                <w:szCs w:val="20"/>
                <w:color w:val="auto"/>
              </w:rPr>
            </w:pPr>
            <w:r>
              <w:rPr>
                <w:rFonts w:ascii="Arial" w:cs="Arial" w:eastAsia="Arial" w:hAnsi="Arial"/>
                <w:sz w:val="14"/>
                <w:szCs w:val="14"/>
                <w:b w:val="1"/>
                <w:bCs w:val="1"/>
                <w:color w:val="FFFFFF"/>
              </w:rPr>
              <w:t>Salary</w:t>
            </w:r>
          </w:p>
        </w:tc>
        <w:tc>
          <w:tcPr>
            <w:tcW w:w="760" w:type="dxa"/>
            <w:vAlign w:val="bottom"/>
            <w:shd w:val="clear" w:color="auto" w:fill="284993"/>
          </w:tcPr>
          <w:p>
            <w:pPr>
              <w:jc w:val="center"/>
              <w:spacing w:after="0" w:line="143" w:lineRule="exact"/>
              <w:rPr>
                <w:sz w:val="20"/>
                <w:szCs w:val="20"/>
                <w:color w:val="auto"/>
              </w:rPr>
            </w:pPr>
            <w:r>
              <w:rPr>
                <w:rFonts w:ascii="Arial" w:cs="Arial" w:eastAsia="Arial" w:hAnsi="Arial"/>
                <w:sz w:val="14"/>
                <w:szCs w:val="14"/>
                <w:b w:val="1"/>
                <w:bCs w:val="1"/>
                <w:color w:val="FFFFFF"/>
                <w:w w:val="96"/>
              </w:rPr>
              <w:t>Bonus</w:t>
            </w:r>
          </w:p>
        </w:tc>
        <w:tc>
          <w:tcPr>
            <w:tcW w:w="880" w:type="dxa"/>
            <w:vAlign w:val="bottom"/>
            <w:shd w:val="clear" w:color="auto" w:fill="284993"/>
          </w:tcPr>
          <w:p>
            <w:pPr>
              <w:jc w:val="center"/>
              <w:spacing w:after="0" w:line="143" w:lineRule="exact"/>
              <w:rPr>
                <w:sz w:val="20"/>
                <w:szCs w:val="20"/>
                <w:color w:val="auto"/>
              </w:rPr>
            </w:pPr>
            <w:r>
              <w:rPr>
                <w:rFonts w:ascii="Arial" w:cs="Arial" w:eastAsia="Arial" w:hAnsi="Arial"/>
                <w:sz w:val="14"/>
                <w:szCs w:val="14"/>
                <w:b w:val="1"/>
                <w:bCs w:val="1"/>
                <w:color w:val="FFFFFF"/>
                <w:w w:val="94"/>
              </w:rPr>
              <w:t>Awards</w:t>
            </w:r>
          </w:p>
        </w:tc>
        <w:tc>
          <w:tcPr>
            <w:tcW w:w="1100" w:type="dxa"/>
            <w:vAlign w:val="bottom"/>
            <w:shd w:val="clear" w:color="auto" w:fill="284993"/>
          </w:tcPr>
          <w:p>
            <w:pPr>
              <w:jc w:val="center"/>
              <w:spacing w:after="0" w:line="143" w:lineRule="exact"/>
              <w:rPr>
                <w:sz w:val="20"/>
                <w:szCs w:val="20"/>
                <w:color w:val="auto"/>
              </w:rPr>
            </w:pPr>
            <w:r>
              <w:rPr>
                <w:rFonts w:ascii="Arial" w:cs="Arial" w:eastAsia="Arial" w:hAnsi="Arial"/>
                <w:sz w:val="14"/>
                <w:szCs w:val="14"/>
                <w:b w:val="1"/>
                <w:bCs w:val="1"/>
                <w:color w:val="FFFFFF"/>
                <w:w w:val="98"/>
              </w:rPr>
              <w:t>Compensation</w:t>
            </w:r>
          </w:p>
        </w:tc>
        <w:tc>
          <w:tcPr>
            <w:tcW w:w="1140" w:type="dxa"/>
            <w:vAlign w:val="bottom"/>
            <w:shd w:val="clear" w:color="auto" w:fill="284993"/>
          </w:tcPr>
          <w:p>
            <w:pPr>
              <w:jc w:val="center"/>
              <w:spacing w:after="0" w:line="143" w:lineRule="exact"/>
              <w:rPr>
                <w:sz w:val="20"/>
                <w:szCs w:val="20"/>
                <w:color w:val="auto"/>
              </w:rPr>
            </w:pPr>
            <w:r>
              <w:rPr>
                <w:rFonts w:ascii="Arial" w:cs="Arial" w:eastAsia="Arial" w:hAnsi="Arial"/>
                <w:sz w:val="14"/>
                <w:szCs w:val="14"/>
                <w:b w:val="1"/>
                <w:bCs w:val="1"/>
                <w:color w:val="FFFFFF"/>
                <w:w w:val="98"/>
              </w:rPr>
              <w:t>Compensation</w:t>
            </w:r>
          </w:p>
        </w:tc>
        <w:tc>
          <w:tcPr>
            <w:tcW w:w="960" w:type="dxa"/>
            <w:vAlign w:val="bottom"/>
            <w:vMerge w:val="continue"/>
            <w:shd w:val="clear" w:color="auto" w:fill="284993"/>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140" w:type="dxa"/>
            <w:vAlign w:val="bottom"/>
            <w:shd w:val="clear" w:color="auto" w:fill="284993"/>
          </w:tcPr>
          <w:p>
            <w:pPr>
              <w:ind w:left="80"/>
              <w:spacing w:after="0"/>
              <w:rPr>
                <w:sz w:val="20"/>
                <w:szCs w:val="20"/>
                <w:color w:val="auto"/>
              </w:rPr>
            </w:pPr>
            <w:r>
              <w:rPr>
                <w:rFonts w:ascii="Arial" w:cs="Arial" w:eastAsia="Arial" w:hAnsi="Arial"/>
                <w:sz w:val="14"/>
                <w:szCs w:val="14"/>
                <w:b w:val="1"/>
                <w:bCs w:val="1"/>
                <w:color w:val="FFFFFF"/>
              </w:rPr>
              <w:t>Name and Principal Position</w:t>
            </w:r>
          </w:p>
        </w:tc>
        <w:tc>
          <w:tcPr>
            <w:tcW w:w="580" w:type="dxa"/>
            <w:vAlign w:val="bottom"/>
            <w:shd w:val="clear" w:color="auto" w:fill="284993"/>
          </w:tcPr>
          <w:p>
            <w:pPr>
              <w:ind w:left="120"/>
              <w:spacing w:after="0"/>
              <w:rPr>
                <w:sz w:val="20"/>
                <w:szCs w:val="20"/>
                <w:color w:val="auto"/>
              </w:rPr>
            </w:pPr>
            <w:r>
              <w:rPr>
                <w:rFonts w:ascii="Arial" w:cs="Arial" w:eastAsia="Arial" w:hAnsi="Arial"/>
                <w:sz w:val="14"/>
                <w:szCs w:val="14"/>
                <w:b w:val="1"/>
                <w:bCs w:val="1"/>
                <w:color w:val="FFFFFF"/>
              </w:rPr>
              <w:t>Year</w:t>
            </w:r>
          </w:p>
        </w:tc>
        <w:tc>
          <w:tcPr>
            <w:tcW w:w="760" w:type="dxa"/>
            <w:vAlign w:val="bottom"/>
            <w:shd w:val="clear" w:color="auto" w:fill="284993"/>
          </w:tcPr>
          <w:p>
            <w:pPr>
              <w:jc w:val="right"/>
              <w:ind w:right="244"/>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284993"/>
          </w:tcPr>
          <w:p>
            <w:pPr>
              <w:jc w:val="center"/>
              <w:spacing w:after="0" w:line="178"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0"/>
                <w:szCs w:val="20"/>
                <w:b w:val="1"/>
                <w:bCs w:val="1"/>
                <w:color w:val="FFFFFF"/>
                <w:w w:val="89"/>
                <w:vertAlign w:val="superscript"/>
              </w:rPr>
              <w:t>(1)</w:t>
            </w:r>
          </w:p>
        </w:tc>
        <w:tc>
          <w:tcPr>
            <w:tcW w:w="880" w:type="dxa"/>
            <w:vAlign w:val="bottom"/>
            <w:shd w:val="clear" w:color="auto" w:fill="284993"/>
          </w:tcPr>
          <w:p>
            <w:pPr>
              <w:jc w:val="center"/>
              <w:spacing w:after="0" w:line="178" w:lineRule="exact"/>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(2)</w:t>
            </w:r>
          </w:p>
        </w:tc>
        <w:tc>
          <w:tcPr>
            <w:tcW w:w="1100" w:type="dxa"/>
            <w:vAlign w:val="bottom"/>
            <w:shd w:val="clear" w:color="auto" w:fill="284993"/>
          </w:tcPr>
          <w:p>
            <w:pPr>
              <w:jc w:val="center"/>
              <w:spacing w:after="0" w:line="178"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0"/>
                <w:szCs w:val="20"/>
                <w:b w:val="1"/>
                <w:bCs w:val="1"/>
                <w:color w:val="FFFFFF"/>
                <w:w w:val="89"/>
                <w:vertAlign w:val="superscript"/>
              </w:rPr>
              <w:t>(3)</w:t>
            </w:r>
          </w:p>
        </w:tc>
        <w:tc>
          <w:tcPr>
            <w:tcW w:w="1140" w:type="dxa"/>
            <w:vAlign w:val="bottom"/>
            <w:shd w:val="clear" w:color="auto" w:fill="284993"/>
          </w:tcPr>
          <w:p>
            <w:pPr>
              <w:jc w:val="center"/>
              <w:spacing w:after="0" w:line="178" w:lineRule="exact"/>
              <w:rPr>
                <w:sz w:val="20"/>
                <w:szCs w:val="20"/>
                <w:color w:val="auto"/>
              </w:rPr>
            </w:pPr>
            <w:r>
              <w:rPr>
                <w:rFonts w:ascii="Arial" w:cs="Arial" w:eastAsia="Arial" w:hAnsi="Arial"/>
                <w:sz w:val="14"/>
                <w:szCs w:val="14"/>
                <w:b w:val="1"/>
                <w:bCs w:val="1"/>
                <w:color w:val="FFFFFF"/>
                <w:w w:val="83"/>
              </w:rPr>
              <w:t>($)</w:t>
            </w:r>
            <w:r>
              <w:rPr>
                <w:rFonts w:ascii="Arial" w:cs="Arial" w:eastAsia="Arial" w:hAnsi="Arial"/>
                <w:sz w:val="20"/>
                <w:szCs w:val="20"/>
                <w:b w:val="1"/>
                <w:bCs w:val="1"/>
                <w:color w:val="FFFFFF"/>
                <w:w w:val="83"/>
                <w:vertAlign w:val="superscript"/>
              </w:rPr>
              <w:t>(4)</w:t>
            </w:r>
          </w:p>
        </w:tc>
        <w:tc>
          <w:tcPr>
            <w:tcW w:w="96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284993"/>
            </w:tcBorders>
            <w:shd w:val="clear" w:color="auto" w:fill="284993"/>
          </w:tcPr>
          <w:p>
            <w:pPr>
              <w:ind w:left="80"/>
              <w:spacing w:after="0"/>
              <w:rPr>
                <w:sz w:val="20"/>
                <w:szCs w:val="20"/>
                <w:color w:val="auto"/>
              </w:rPr>
            </w:pPr>
            <w:r>
              <w:rPr>
                <w:rFonts w:ascii="Arial" w:cs="Arial" w:eastAsia="Arial" w:hAnsi="Arial"/>
                <w:sz w:val="14"/>
                <w:szCs w:val="14"/>
                <w:b w:val="1"/>
                <w:bCs w:val="1"/>
                <w:color w:val="FFFFFF"/>
              </w:rPr>
              <w:t>(a)</w:t>
            </w:r>
          </w:p>
        </w:tc>
        <w:tc>
          <w:tcPr>
            <w:tcW w:w="580" w:type="dxa"/>
            <w:vAlign w:val="bottom"/>
            <w:tcBorders>
              <w:bottom w:val="single" w:sz="8" w:color="284993"/>
            </w:tcBorders>
            <w:shd w:val="clear" w:color="auto" w:fill="284993"/>
          </w:tcPr>
          <w:p>
            <w:pPr>
              <w:ind w:left="180"/>
              <w:spacing w:after="0"/>
              <w:rPr>
                <w:sz w:val="20"/>
                <w:szCs w:val="20"/>
                <w:color w:val="auto"/>
              </w:rPr>
            </w:pPr>
            <w:r>
              <w:rPr>
                <w:rFonts w:ascii="Arial" w:cs="Arial" w:eastAsia="Arial" w:hAnsi="Arial"/>
                <w:sz w:val="14"/>
                <w:szCs w:val="14"/>
                <w:b w:val="1"/>
                <w:bCs w:val="1"/>
                <w:color w:val="FFFFFF"/>
              </w:rPr>
              <w:t>(b)</w:t>
            </w:r>
          </w:p>
        </w:tc>
        <w:tc>
          <w:tcPr>
            <w:tcW w:w="760" w:type="dxa"/>
            <w:vAlign w:val="bottom"/>
            <w:tcBorders>
              <w:bottom w:val="single" w:sz="8" w:color="284993"/>
            </w:tcBorders>
            <w:shd w:val="clear" w:color="auto" w:fill="284993"/>
          </w:tcPr>
          <w:p>
            <w:pPr>
              <w:jc w:val="right"/>
              <w:ind w:right="244"/>
              <w:spacing w:after="0"/>
              <w:rPr>
                <w:sz w:val="20"/>
                <w:szCs w:val="20"/>
                <w:color w:val="auto"/>
              </w:rPr>
            </w:pPr>
            <w:r>
              <w:rPr>
                <w:rFonts w:ascii="Arial" w:cs="Arial" w:eastAsia="Arial" w:hAnsi="Arial"/>
                <w:sz w:val="14"/>
                <w:szCs w:val="14"/>
                <w:b w:val="1"/>
                <w:bCs w:val="1"/>
                <w:color w:val="FFFFFF"/>
              </w:rPr>
              <w:t>(c)</w:t>
            </w:r>
          </w:p>
        </w:tc>
        <w:tc>
          <w:tcPr>
            <w:tcW w:w="760" w:type="dxa"/>
            <w:vAlign w:val="bottom"/>
            <w:tcBorders>
              <w:bottom w:val="single" w:sz="8" w:color="284993"/>
            </w:tcBorders>
            <w:shd w:val="clear" w:color="auto" w:fill="284993"/>
          </w:tcPr>
          <w:p>
            <w:pPr>
              <w:jc w:val="center"/>
              <w:spacing w:after="0"/>
              <w:rPr>
                <w:sz w:val="20"/>
                <w:szCs w:val="20"/>
                <w:color w:val="auto"/>
              </w:rPr>
            </w:pPr>
            <w:r>
              <w:rPr>
                <w:rFonts w:ascii="Arial" w:cs="Arial" w:eastAsia="Arial" w:hAnsi="Arial"/>
                <w:sz w:val="14"/>
                <w:szCs w:val="14"/>
                <w:b w:val="1"/>
                <w:bCs w:val="1"/>
                <w:color w:val="FFFFFF"/>
              </w:rPr>
              <w:t>(d)</w:t>
            </w:r>
          </w:p>
        </w:tc>
        <w:tc>
          <w:tcPr>
            <w:tcW w:w="880" w:type="dxa"/>
            <w:vAlign w:val="bottom"/>
            <w:tcBorders>
              <w:bottom w:val="single" w:sz="8" w:color="284993"/>
            </w:tcBorders>
            <w:shd w:val="clear" w:color="auto" w:fill="284993"/>
          </w:tcPr>
          <w:p>
            <w:pPr>
              <w:jc w:val="center"/>
              <w:spacing w:after="0"/>
              <w:rPr>
                <w:sz w:val="20"/>
                <w:szCs w:val="20"/>
                <w:color w:val="auto"/>
              </w:rPr>
            </w:pPr>
            <w:r>
              <w:rPr>
                <w:rFonts w:ascii="Arial" w:cs="Arial" w:eastAsia="Arial" w:hAnsi="Arial"/>
                <w:sz w:val="14"/>
                <w:szCs w:val="14"/>
                <w:b w:val="1"/>
                <w:bCs w:val="1"/>
                <w:color w:val="FFFFFF"/>
                <w:w w:val="93"/>
              </w:rPr>
              <w:t>(e)</w:t>
            </w:r>
          </w:p>
        </w:tc>
        <w:tc>
          <w:tcPr>
            <w:tcW w:w="1100" w:type="dxa"/>
            <w:vAlign w:val="bottom"/>
            <w:tcBorders>
              <w:bottom w:val="single" w:sz="8" w:color="284993"/>
            </w:tcBorders>
            <w:shd w:val="clear" w:color="auto" w:fill="284993"/>
          </w:tcPr>
          <w:p>
            <w:pPr>
              <w:jc w:val="center"/>
              <w:spacing w:after="0"/>
              <w:rPr>
                <w:sz w:val="20"/>
                <w:szCs w:val="20"/>
                <w:color w:val="auto"/>
              </w:rPr>
            </w:pPr>
            <w:r>
              <w:rPr>
                <w:rFonts w:ascii="Arial" w:cs="Arial" w:eastAsia="Arial" w:hAnsi="Arial"/>
                <w:sz w:val="14"/>
                <w:szCs w:val="14"/>
                <w:b w:val="1"/>
                <w:bCs w:val="1"/>
                <w:color w:val="FFFFFF"/>
              </w:rPr>
              <w:t>(g)</w:t>
            </w:r>
          </w:p>
        </w:tc>
        <w:tc>
          <w:tcPr>
            <w:tcW w:w="1140" w:type="dxa"/>
            <w:vAlign w:val="bottom"/>
            <w:tcBorders>
              <w:bottom w:val="single" w:sz="8" w:color="284993"/>
            </w:tcBorders>
            <w:shd w:val="clear" w:color="auto" w:fill="284993"/>
          </w:tcPr>
          <w:p>
            <w:pPr>
              <w:jc w:val="center"/>
              <w:spacing w:after="0"/>
              <w:rPr>
                <w:sz w:val="20"/>
                <w:szCs w:val="20"/>
                <w:color w:val="auto"/>
              </w:rPr>
            </w:pPr>
            <w:r>
              <w:rPr>
                <w:rFonts w:ascii="Arial" w:cs="Arial" w:eastAsia="Arial" w:hAnsi="Arial"/>
                <w:sz w:val="14"/>
                <w:szCs w:val="14"/>
                <w:b w:val="1"/>
                <w:bCs w:val="1"/>
                <w:color w:val="FFFFFF"/>
                <w:w w:val="90"/>
              </w:rPr>
              <w:t>(i)</w:t>
            </w:r>
          </w:p>
        </w:tc>
        <w:tc>
          <w:tcPr>
            <w:tcW w:w="960" w:type="dxa"/>
            <w:vAlign w:val="bottom"/>
            <w:tcBorders>
              <w:bottom w:val="single" w:sz="8" w:color="284993"/>
            </w:tcBorders>
            <w:shd w:val="clear" w:color="auto" w:fill="284993"/>
          </w:tcPr>
          <w:p>
            <w:pPr>
              <w:jc w:val="center"/>
              <w:spacing w:after="0"/>
              <w:rPr>
                <w:sz w:val="20"/>
                <w:szCs w:val="20"/>
                <w:color w:val="auto"/>
              </w:rPr>
            </w:pPr>
            <w:r>
              <w:rPr>
                <w:rFonts w:ascii="Arial" w:cs="Arial" w:eastAsia="Arial" w:hAnsi="Arial"/>
                <w:sz w:val="14"/>
                <w:szCs w:val="14"/>
                <w:b w:val="1"/>
                <w:bCs w:val="1"/>
                <w:color w:val="FFFFFF"/>
              </w:rPr>
              <w:t>(j)</w:t>
            </w:r>
          </w:p>
        </w:tc>
        <w:tc>
          <w:tcPr>
            <w:tcW w:w="0" w:type="dxa"/>
            <w:vAlign w:val="bottom"/>
          </w:tcPr>
          <w:p>
            <w:pPr>
              <w:spacing w:after="0"/>
              <w:rPr>
                <w:sz w:val="1"/>
                <w:szCs w:val="1"/>
                <w:color w:val="auto"/>
              </w:rPr>
            </w:pPr>
          </w:p>
        </w:tc>
      </w:tr>
      <w:tr>
        <w:trPr>
          <w:trHeight w:val="195"/>
        </w:trPr>
        <w:tc>
          <w:tcPr>
            <w:tcW w:w="3140" w:type="dxa"/>
            <w:vAlign w:val="bottom"/>
          </w:tcPr>
          <w:p>
            <w:pPr>
              <w:ind w:left="60"/>
              <w:spacing w:after="0"/>
              <w:rPr>
                <w:sz w:val="20"/>
                <w:szCs w:val="20"/>
                <w:color w:val="auto"/>
              </w:rPr>
            </w:pPr>
            <w:r>
              <w:rPr>
                <w:rFonts w:ascii="Arial" w:cs="Arial" w:eastAsia="Arial" w:hAnsi="Arial"/>
                <w:sz w:val="16"/>
                <w:szCs w:val="16"/>
                <w:color w:val="auto"/>
              </w:rPr>
              <w:t>Odilon Almeida</w:t>
            </w:r>
          </w:p>
        </w:tc>
        <w:tc>
          <w:tcPr>
            <w:tcW w:w="580" w:type="dxa"/>
            <w:vAlign w:val="bottom"/>
          </w:tcPr>
          <w:p>
            <w:pPr>
              <w:ind w:left="120"/>
              <w:spacing w:after="0"/>
              <w:rPr>
                <w:sz w:val="20"/>
                <w:szCs w:val="20"/>
                <w:color w:val="auto"/>
              </w:rPr>
            </w:pPr>
            <w:r>
              <w:rPr>
                <w:rFonts w:ascii="Arial" w:cs="Arial" w:eastAsia="Arial" w:hAnsi="Arial"/>
                <w:sz w:val="16"/>
                <w:szCs w:val="16"/>
                <w:color w:val="auto"/>
              </w:rPr>
              <w:t>2022</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596,795</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7,499,989</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2,183,483</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10,280,267</w:t>
            </w:r>
          </w:p>
        </w:tc>
        <w:tc>
          <w:tcPr>
            <w:tcW w:w="0" w:type="dxa"/>
            <w:vAlign w:val="bottom"/>
          </w:tcPr>
          <w:p>
            <w:pPr>
              <w:spacing w:after="0"/>
              <w:rPr>
                <w:sz w:val="1"/>
                <w:szCs w:val="1"/>
                <w:color w:val="auto"/>
              </w:rPr>
            </w:pPr>
          </w:p>
        </w:tc>
      </w:tr>
      <w:tr>
        <w:trPr>
          <w:trHeight w:val="181"/>
        </w:trPr>
        <w:tc>
          <w:tcPr>
            <w:tcW w:w="3140" w:type="dxa"/>
            <w:vAlign w:val="bottom"/>
          </w:tcPr>
          <w:p>
            <w:pPr>
              <w:ind w:left="60"/>
              <w:spacing w:after="0" w:line="181" w:lineRule="exact"/>
              <w:rPr>
                <w:sz w:val="20"/>
                <w:szCs w:val="20"/>
                <w:color w:val="auto"/>
              </w:rPr>
            </w:pPr>
            <w:r>
              <w:rPr>
                <w:rFonts w:ascii="Arial" w:cs="Arial" w:eastAsia="Arial" w:hAnsi="Arial"/>
                <w:sz w:val="16"/>
                <w:szCs w:val="16"/>
                <w:color w:val="auto"/>
              </w:rPr>
              <w:t>Former President and Chief</w:t>
            </w:r>
          </w:p>
        </w:tc>
        <w:tc>
          <w:tcPr>
            <w:tcW w:w="580" w:type="dxa"/>
            <w:vAlign w:val="bottom"/>
          </w:tcPr>
          <w:p>
            <w:pPr>
              <w:ind w:left="120"/>
              <w:spacing w:after="0" w:line="181" w:lineRule="exact"/>
              <w:rPr>
                <w:sz w:val="20"/>
                <w:szCs w:val="20"/>
                <w:color w:val="auto"/>
              </w:rPr>
            </w:pPr>
            <w:r>
              <w:rPr>
                <w:rFonts w:ascii="Arial" w:cs="Arial" w:eastAsia="Arial" w:hAnsi="Arial"/>
                <w:sz w:val="16"/>
                <w:szCs w:val="16"/>
                <w:color w:val="auto"/>
              </w:rPr>
              <w:t>2021</w:t>
            </w:r>
          </w:p>
        </w:tc>
        <w:tc>
          <w:tcPr>
            <w:tcW w:w="760" w:type="dxa"/>
            <w:vAlign w:val="bottom"/>
          </w:tcPr>
          <w:p>
            <w:pPr>
              <w:jc w:val="right"/>
              <w:ind w:right="24"/>
              <w:spacing w:after="0" w:line="181" w:lineRule="exact"/>
              <w:rPr>
                <w:sz w:val="20"/>
                <w:szCs w:val="20"/>
                <w:color w:val="auto"/>
              </w:rPr>
            </w:pPr>
            <w:r>
              <w:rPr>
                <w:rFonts w:ascii="Arial" w:cs="Arial" w:eastAsia="Arial" w:hAnsi="Arial"/>
                <w:sz w:val="16"/>
                <w:szCs w:val="16"/>
                <w:color w:val="auto"/>
              </w:rPr>
              <w:t>675,000</w:t>
            </w:r>
          </w:p>
        </w:tc>
        <w:tc>
          <w:tcPr>
            <w:tcW w:w="760" w:type="dxa"/>
            <w:vAlign w:val="bottom"/>
          </w:tcPr>
          <w:p>
            <w:pPr>
              <w:jc w:val="right"/>
              <w:ind w:right="24"/>
              <w:spacing w:after="0" w:line="181"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4"/>
              <w:spacing w:after="0" w:line="181" w:lineRule="exact"/>
              <w:rPr>
                <w:sz w:val="20"/>
                <w:szCs w:val="20"/>
                <w:color w:val="auto"/>
              </w:rPr>
            </w:pPr>
            <w:r>
              <w:rPr>
                <w:rFonts w:ascii="Arial" w:cs="Arial" w:eastAsia="Arial" w:hAnsi="Arial"/>
                <w:sz w:val="16"/>
                <w:szCs w:val="16"/>
                <w:color w:val="auto"/>
              </w:rPr>
              <w:t>7,249,979</w:t>
            </w:r>
          </w:p>
        </w:tc>
        <w:tc>
          <w:tcPr>
            <w:tcW w:w="1100" w:type="dxa"/>
            <w:vAlign w:val="bottom"/>
          </w:tcPr>
          <w:p>
            <w:pPr>
              <w:jc w:val="right"/>
              <w:spacing w:after="0" w:line="181" w:lineRule="exact"/>
              <w:rPr>
                <w:sz w:val="20"/>
                <w:szCs w:val="20"/>
                <w:color w:val="auto"/>
              </w:rPr>
            </w:pPr>
            <w:r>
              <w:rPr>
                <w:rFonts w:ascii="Arial" w:cs="Arial" w:eastAsia="Arial" w:hAnsi="Arial"/>
                <w:sz w:val="16"/>
                <w:szCs w:val="16"/>
                <w:color w:val="auto"/>
              </w:rPr>
              <w:t>837,000</w:t>
            </w:r>
          </w:p>
        </w:tc>
        <w:tc>
          <w:tcPr>
            <w:tcW w:w="1140" w:type="dxa"/>
            <w:vAlign w:val="bottom"/>
          </w:tcPr>
          <w:p>
            <w:pPr>
              <w:jc w:val="right"/>
              <w:ind w:right="24"/>
              <w:spacing w:after="0" w:line="181" w:lineRule="exact"/>
              <w:rPr>
                <w:sz w:val="20"/>
                <w:szCs w:val="20"/>
                <w:color w:val="auto"/>
              </w:rPr>
            </w:pPr>
            <w:r>
              <w:rPr>
                <w:rFonts w:ascii="Arial" w:cs="Arial" w:eastAsia="Arial" w:hAnsi="Arial"/>
                <w:sz w:val="16"/>
                <w:szCs w:val="16"/>
                <w:color w:val="auto"/>
              </w:rPr>
              <w:t>6,080</w:t>
            </w:r>
          </w:p>
        </w:tc>
        <w:tc>
          <w:tcPr>
            <w:tcW w:w="960" w:type="dxa"/>
            <w:vAlign w:val="bottom"/>
          </w:tcPr>
          <w:p>
            <w:pPr>
              <w:jc w:val="right"/>
              <w:ind w:right="4"/>
              <w:spacing w:after="0" w:line="181" w:lineRule="exact"/>
              <w:rPr>
                <w:sz w:val="20"/>
                <w:szCs w:val="20"/>
                <w:color w:val="auto"/>
              </w:rPr>
            </w:pPr>
            <w:r>
              <w:rPr>
                <w:rFonts w:ascii="Arial" w:cs="Arial" w:eastAsia="Arial" w:hAnsi="Arial"/>
                <w:sz w:val="16"/>
                <w:szCs w:val="16"/>
                <w:color w:val="auto"/>
              </w:rPr>
              <w:t>8,768,059</w:t>
            </w:r>
          </w:p>
        </w:tc>
        <w:tc>
          <w:tcPr>
            <w:tcW w:w="0" w:type="dxa"/>
            <w:vAlign w:val="bottom"/>
          </w:tcPr>
          <w:p>
            <w:pPr>
              <w:spacing w:after="0"/>
              <w:rPr>
                <w:sz w:val="1"/>
                <w:szCs w:val="1"/>
                <w:color w:val="auto"/>
              </w:rPr>
            </w:pPr>
          </w:p>
        </w:tc>
      </w:tr>
      <w:tr>
        <w:trPr>
          <w:trHeight w:val="205"/>
        </w:trPr>
        <w:tc>
          <w:tcPr>
            <w:tcW w:w="3140" w:type="dxa"/>
            <w:vAlign w:val="bottom"/>
          </w:tcPr>
          <w:p>
            <w:pPr>
              <w:ind w:left="60"/>
              <w:spacing w:after="0"/>
              <w:rPr>
                <w:sz w:val="20"/>
                <w:szCs w:val="20"/>
                <w:color w:val="auto"/>
              </w:rPr>
            </w:pPr>
            <w:r>
              <w:rPr>
                <w:rFonts w:ascii="Arial" w:cs="Arial" w:eastAsia="Arial" w:hAnsi="Arial"/>
                <w:sz w:val="16"/>
                <w:szCs w:val="16"/>
                <w:color w:val="auto"/>
              </w:rPr>
              <w:t>Executive Officer</w:t>
            </w:r>
          </w:p>
        </w:tc>
        <w:tc>
          <w:tcPr>
            <w:tcW w:w="580" w:type="dxa"/>
            <w:vAlign w:val="bottom"/>
          </w:tcPr>
          <w:p>
            <w:pPr>
              <w:ind w:left="120"/>
              <w:spacing w:after="0"/>
              <w:rPr>
                <w:sz w:val="20"/>
                <w:szCs w:val="20"/>
                <w:color w:val="auto"/>
              </w:rPr>
            </w:pPr>
            <w:r>
              <w:rPr>
                <w:rFonts w:ascii="Arial" w:cs="Arial" w:eastAsia="Arial" w:hAnsi="Arial"/>
                <w:sz w:val="16"/>
                <w:szCs w:val="16"/>
                <w:color w:val="auto"/>
              </w:rPr>
              <w:t>2020</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547,355</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6,200,006</w:t>
            </w:r>
          </w:p>
        </w:tc>
        <w:tc>
          <w:tcPr>
            <w:tcW w:w="1100" w:type="dxa"/>
            <w:vAlign w:val="bottom"/>
          </w:tcPr>
          <w:p>
            <w:pPr>
              <w:jc w:val="right"/>
              <w:spacing w:after="0"/>
              <w:rPr>
                <w:sz w:val="20"/>
                <w:szCs w:val="20"/>
                <w:color w:val="auto"/>
              </w:rPr>
            </w:pPr>
            <w:r>
              <w:rPr>
                <w:rFonts w:ascii="Arial" w:cs="Arial" w:eastAsia="Arial" w:hAnsi="Arial"/>
                <w:sz w:val="16"/>
                <w:szCs w:val="16"/>
                <w:color w:val="auto"/>
              </w:rPr>
              <w:t>253,125</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855</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7,001,341</w:t>
            </w: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3140" w:type="dxa"/>
            <w:vAlign w:val="bottom"/>
            <w:shd w:val="clear" w:color="auto" w:fill="9DBDE4"/>
          </w:tcPr>
          <w:p>
            <w:pPr>
              <w:ind w:left="60"/>
              <w:spacing w:after="0" w:line="233" w:lineRule="exact"/>
              <w:rPr>
                <w:sz w:val="20"/>
                <w:szCs w:val="20"/>
                <w:color w:val="auto"/>
              </w:rPr>
            </w:pPr>
            <w:r>
              <w:rPr>
                <w:rFonts w:ascii="Arial" w:cs="Arial" w:eastAsia="Arial" w:hAnsi="Arial"/>
                <w:sz w:val="16"/>
                <w:szCs w:val="16"/>
                <w:color w:val="auto"/>
              </w:rPr>
              <w:t xml:space="preserve">Thomas W. Warsop, III </w:t>
            </w:r>
            <w:r>
              <w:rPr>
                <w:rFonts w:ascii="Arial" w:cs="Arial" w:eastAsia="Arial" w:hAnsi="Arial"/>
                <w:sz w:val="23"/>
                <w:szCs w:val="23"/>
                <w:color w:val="auto"/>
                <w:vertAlign w:val="superscript"/>
              </w:rPr>
              <w:t>(5)</w:t>
            </w:r>
          </w:p>
        </w:tc>
        <w:tc>
          <w:tcPr>
            <w:tcW w:w="580" w:type="dxa"/>
            <w:vAlign w:val="bottom"/>
            <w:shd w:val="clear" w:color="auto" w:fill="9DBDE4"/>
          </w:tcPr>
          <w:p>
            <w:pPr>
              <w:ind w:left="120"/>
              <w:spacing w:after="0"/>
              <w:rPr>
                <w:sz w:val="20"/>
                <w:szCs w:val="20"/>
                <w:color w:val="auto"/>
              </w:rPr>
            </w:pPr>
            <w:r>
              <w:rPr>
                <w:rFonts w:ascii="Arial" w:cs="Arial" w:eastAsia="Arial" w:hAnsi="Arial"/>
                <w:sz w:val="16"/>
                <w:szCs w:val="16"/>
                <w:color w:val="auto"/>
              </w:rPr>
              <w:t>2022</w:t>
            </w:r>
          </w:p>
        </w:tc>
        <w:tc>
          <w:tcPr>
            <w:tcW w:w="760" w:type="dxa"/>
            <w:vAlign w:val="bottom"/>
            <w:shd w:val="clear" w:color="auto" w:fill="9DBDE4"/>
          </w:tcPr>
          <w:p>
            <w:pPr>
              <w:jc w:val="right"/>
              <w:ind w:right="24"/>
              <w:spacing w:after="0"/>
              <w:rPr>
                <w:sz w:val="20"/>
                <w:szCs w:val="20"/>
                <w:color w:val="auto"/>
              </w:rPr>
            </w:pPr>
            <w:r>
              <w:rPr>
                <w:rFonts w:ascii="Arial" w:cs="Arial" w:eastAsia="Arial" w:hAnsi="Arial"/>
                <w:sz w:val="16"/>
                <w:szCs w:val="16"/>
                <w:color w:val="auto"/>
              </w:rPr>
              <w:t>577,500</w:t>
            </w:r>
          </w:p>
        </w:tc>
        <w:tc>
          <w:tcPr>
            <w:tcW w:w="760" w:type="dxa"/>
            <w:vAlign w:val="bottom"/>
            <w:shd w:val="clear" w:color="auto" w:fill="9DBDE4"/>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9DBDE4"/>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shd w:val="clear" w:color="auto" w:fill="9DBDE4"/>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9DBDE4"/>
          </w:tcPr>
          <w:p>
            <w:pPr>
              <w:jc w:val="right"/>
              <w:ind w:right="24"/>
              <w:spacing w:after="0"/>
              <w:rPr>
                <w:sz w:val="20"/>
                <w:szCs w:val="20"/>
                <w:color w:val="auto"/>
              </w:rPr>
            </w:pPr>
            <w:r>
              <w:rPr>
                <w:rFonts w:ascii="Arial" w:cs="Arial" w:eastAsia="Arial" w:hAnsi="Arial"/>
                <w:sz w:val="16"/>
                <w:szCs w:val="16"/>
                <w:color w:val="auto"/>
              </w:rPr>
              <w:t>108</w:t>
            </w:r>
          </w:p>
        </w:tc>
        <w:tc>
          <w:tcPr>
            <w:tcW w:w="960" w:type="dxa"/>
            <w:vAlign w:val="bottom"/>
            <w:shd w:val="clear" w:color="auto" w:fill="9DBDE4"/>
          </w:tcPr>
          <w:p>
            <w:pPr>
              <w:jc w:val="right"/>
              <w:ind w:right="4"/>
              <w:spacing w:after="0"/>
              <w:rPr>
                <w:sz w:val="20"/>
                <w:szCs w:val="20"/>
                <w:color w:val="auto"/>
              </w:rPr>
            </w:pPr>
            <w:r>
              <w:rPr>
                <w:rFonts w:ascii="Arial" w:cs="Arial" w:eastAsia="Arial" w:hAnsi="Arial"/>
                <w:sz w:val="16"/>
                <w:szCs w:val="16"/>
                <w:color w:val="auto"/>
              </w:rPr>
              <w:t>577,608</w:t>
            </w:r>
          </w:p>
        </w:tc>
        <w:tc>
          <w:tcPr>
            <w:tcW w:w="0" w:type="dxa"/>
            <w:vAlign w:val="bottom"/>
          </w:tcPr>
          <w:p>
            <w:pPr>
              <w:spacing w:after="0"/>
              <w:rPr>
                <w:sz w:val="1"/>
                <w:szCs w:val="1"/>
                <w:color w:val="auto"/>
              </w:rPr>
            </w:pPr>
          </w:p>
        </w:tc>
      </w:tr>
      <w:tr>
        <w:trPr>
          <w:trHeight w:val="226"/>
        </w:trPr>
        <w:tc>
          <w:tcPr>
            <w:tcW w:w="3140" w:type="dxa"/>
            <w:vAlign w:val="bottom"/>
            <w:tcBorders>
              <w:bottom w:val="single" w:sz="8" w:color="9DBDE4"/>
            </w:tcBorders>
            <w:shd w:val="clear" w:color="auto" w:fill="9DBDE4"/>
          </w:tcPr>
          <w:p>
            <w:pPr>
              <w:ind w:left="60"/>
              <w:spacing w:after="0"/>
              <w:rPr>
                <w:sz w:val="20"/>
                <w:szCs w:val="20"/>
                <w:color w:val="auto"/>
              </w:rPr>
            </w:pPr>
            <w:r>
              <w:rPr>
                <w:rFonts w:ascii="Arial" w:cs="Arial" w:eastAsia="Arial" w:hAnsi="Arial"/>
                <w:sz w:val="16"/>
                <w:szCs w:val="16"/>
                <w:color w:val="auto"/>
              </w:rPr>
              <w:t>Interim CEO</w:t>
            </w:r>
          </w:p>
        </w:tc>
        <w:tc>
          <w:tcPr>
            <w:tcW w:w="580" w:type="dxa"/>
            <w:vAlign w:val="bottom"/>
            <w:tcBorders>
              <w:bottom w:val="single" w:sz="8" w:color="9DBDE4"/>
            </w:tcBorders>
            <w:shd w:val="clear" w:color="auto" w:fill="9DBDE4"/>
          </w:tcPr>
          <w:p>
            <w:pPr>
              <w:spacing w:after="0"/>
              <w:rPr>
                <w:sz w:val="19"/>
                <w:szCs w:val="19"/>
                <w:color w:val="auto"/>
              </w:rPr>
            </w:pPr>
          </w:p>
        </w:tc>
        <w:tc>
          <w:tcPr>
            <w:tcW w:w="760" w:type="dxa"/>
            <w:vAlign w:val="bottom"/>
            <w:tcBorders>
              <w:bottom w:val="single" w:sz="8" w:color="9DBDE4"/>
            </w:tcBorders>
            <w:shd w:val="clear" w:color="auto" w:fill="9DBDE4"/>
          </w:tcPr>
          <w:p>
            <w:pPr>
              <w:spacing w:after="0"/>
              <w:rPr>
                <w:sz w:val="19"/>
                <w:szCs w:val="19"/>
                <w:color w:val="auto"/>
              </w:rPr>
            </w:pPr>
          </w:p>
        </w:tc>
        <w:tc>
          <w:tcPr>
            <w:tcW w:w="760" w:type="dxa"/>
            <w:vAlign w:val="bottom"/>
            <w:tcBorders>
              <w:bottom w:val="single" w:sz="8" w:color="9DBDE4"/>
            </w:tcBorders>
            <w:shd w:val="clear" w:color="auto" w:fill="9DBDE4"/>
          </w:tcPr>
          <w:p>
            <w:pPr>
              <w:spacing w:after="0"/>
              <w:rPr>
                <w:sz w:val="19"/>
                <w:szCs w:val="19"/>
                <w:color w:val="auto"/>
              </w:rPr>
            </w:pPr>
          </w:p>
        </w:tc>
        <w:tc>
          <w:tcPr>
            <w:tcW w:w="880" w:type="dxa"/>
            <w:vAlign w:val="bottom"/>
            <w:tcBorders>
              <w:bottom w:val="single" w:sz="8" w:color="9DBDE4"/>
            </w:tcBorders>
            <w:shd w:val="clear" w:color="auto" w:fill="9DBDE4"/>
          </w:tcPr>
          <w:p>
            <w:pPr>
              <w:spacing w:after="0"/>
              <w:rPr>
                <w:sz w:val="19"/>
                <w:szCs w:val="19"/>
                <w:color w:val="auto"/>
              </w:rPr>
            </w:pPr>
          </w:p>
        </w:tc>
        <w:tc>
          <w:tcPr>
            <w:tcW w:w="1100" w:type="dxa"/>
            <w:vAlign w:val="bottom"/>
            <w:tcBorders>
              <w:bottom w:val="single" w:sz="8" w:color="9DBDE4"/>
            </w:tcBorders>
            <w:shd w:val="clear" w:color="auto" w:fill="9DBDE4"/>
          </w:tcPr>
          <w:p>
            <w:pPr>
              <w:spacing w:after="0"/>
              <w:rPr>
                <w:sz w:val="19"/>
                <w:szCs w:val="19"/>
                <w:color w:val="auto"/>
              </w:rPr>
            </w:pPr>
          </w:p>
        </w:tc>
        <w:tc>
          <w:tcPr>
            <w:tcW w:w="1140" w:type="dxa"/>
            <w:vAlign w:val="bottom"/>
            <w:tcBorders>
              <w:bottom w:val="single" w:sz="8" w:color="9DBDE4"/>
            </w:tcBorders>
            <w:shd w:val="clear" w:color="auto" w:fill="9DBDE4"/>
          </w:tcPr>
          <w:p>
            <w:pPr>
              <w:spacing w:after="0"/>
              <w:rPr>
                <w:sz w:val="19"/>
                <w:szCs w:val="19"/>
                <w:color w:val="auto"/>
              </w:rPr>
            </w:pPr>
          </w:p>
        </w:tc>
        <w:tc>
          <w:tcPr>
            <w:tcW w:w="960" w:type="dxa"/>
            <w:vAlign w:val="bottom"/>
            <w:tcBorders>
              <w:bottom w:val="single" w:sz="8" w:color="9DBDE4"/>
            </w:tcBorders>
            <w:shd w:val="clear" w:color="auto" w:fill="9DBD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40" w:type="dxa"/>
            <w:vAlign w:val="bottom"/>
          </w:tcPr>
          <w:p>
            <w:pPr>
              <w:ind w:left="60"/>
              <w:spacing w:after="0"/>
              <w:rPr>
                <w:sz w:val="20"/>
                <w:szCs w:val="20"/>
                <w:color w:val="auto"/>
              </w:rPr>
            </w:pPr>
            <w:r>
              <w:rPr>
                <w:rFonts w:ascii="Arial" w:cs="Arial" w:eastAsia="Arial" w:hAnsi="Arial"/>
                <w:sz w:val="16"/>
                <w:szCs w:val="16"/>
                <w:color w:val="auto"/>
              </w:rPr>
              <w:t>Scott W. Behrens</w:t>
            </w:r>
          </w:p>
        </w:tc>
        <w:tc>
          <w:tcPr>
            <w:tcW w:w="580" w:type="dxa"/>
            <w:vAlign w:val="bottom"/>
          </w:tcPr>
          <w:p>
            <w:pPr>
              <w:ind w:left="120"/>
              <w:spacing w:after="0"/>
              <w:rPr>
                <w:sz w:val="20"/>
                <w:szCs w:val="20"/>
                <w:color w:val="auto"/>
              </w:rPr>
            </w:pPr>
            <w:r>
              <w:rPr>
                <w:rFonts w:ascii="Arial" w:cs="Arial" w:eastAsia="Arial" w:hAnsi="Arial"/>
                <w:sz w:val="16"/>
                <w:szCs w:val="16"/>
                <w:color w:val="auto"/>
              </w:rPr>
              <w:t>2022</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475,000</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2,600,005</w:t>
            </w:r>
          </w:p>
        </w:tc>
        <w:tc>
          <w:tcPr>
            <w:tcW w:w="1100" w:type="dxa"/>
            <w:vAlign w:val="bottom"/>
          </w:tcPr>
          <w:p>
            <w:pPr>
              <w:jc w:val="right"/>
              <w:spacing w:after="0"/>
              <w:rPr>
                <w:sz w:val="20"/>
                <w:szCs w:val="20"/>
                <w:color w:val="auto"/>
              </w:rPr>
            </w:pPr>
            <w:r>
              <w:rPr>
                <w:rFonts w:ascii="Arial" w:cs="Arial" w:eastAsia="Arial" w:hAnsi="Arial"/>
                <w:sz w:val="16"/>
                <w:szCs w:val="16"/>
                <w:color w:val="auto"/>
              </w:rPr>
              <w:t>450,000</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6,564</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3,531,569</w:t>
            </w:r>
          </w:p>
        </w:tc>
        <w:tc>
          <w:tcPr>
            <w:tcW w:w="0" w:type="dxa"/>
            <w:vAlign w:val="bottom"/>
          </w:tcPr>
          <w:p>
            <w:pPr>
              <w:spacing w:after="0"/>
              <w:rPr>
                <w:sz w:val="1"/>
                <w:szCs w:val="1"/>
                <w:color w:val="auto"/>
              </w:rPr>
            </w:pPr>
          </w:p>
        </w:tc>
      </w:tr>
      <w:tr>
        <w:trPr>
          <w:trHeight w:val="181"/>
        </w:trPr>
        <w:tc>
          <w:tcPr>
            <w:tcW w:w="3140" w:type="dxa"/>
            <w:vAlign w:val="bottom"/>
          </w:tcPr>
          <w:p>
            <w:pPr>
              <w:ind w:left="60"/>
              <w:spacing w:after="0" w:line="181" w:lineRule="exact"/>
              <w:rPr>
                <w:sz w:val="20"/>
                <w:szCs w:val="20"/>
                <w:color w:val="auto"/>
              </w:rPr>
            </w:pPr>
            <w:r>
              <w:rPr>
                <w:rFonts w:ascii="Arial" w:cs="Arial" w:eastAsia="Arial" w:hAnsi="Arial"/>
                <w:sz w:val="16"/>
                <w:szCs w:val="16"/>
                <w:color w:val="auto"/>
              </w:rPr>
              <w:t>Chief Financial Officer</w:t>
            </w:r>
          </w:p>
        </w:tc>
        <w:tc>
          <w:tcPr>
            <w:tcW w:w="580" w:type="dxa"/>
            <w:vAlign w:val="bottom"/>
          </w:tcPr>
          <w:p>
            <w:pPr>
              <w:ind w:left="120"/>
              <w:spacing w:after="0" w:line="181" w:lineRule="exact"/>
              <w:rPr>
                <w:sz w:val="20"/>
                <w:szCs w:val="20"/>
                <w:color w:val="auto"/>
              </w:rPr>
            </w:pPr>
            <w:r>
              <w:rPr>
                <w:rFonts w:ascii="Arial" w:cs="Arial" w:eastAsia="Arial" w:hAnsi="Arial"/>
                <w:sz w:val="16"/>
                <w:szCs w:val="16"/>
                <w:color w:val="auto"/>
              </w:rPr>
              <w:t>2021</w:t>
            </w:r>
          </w:p>
        </w:tc>
        <w:tc>
          <w:tcPr>
            <w:tcW w:w="760" w:type="dxa"/>
            <w:vAlign w:val="bottom"/>
          </w:tcPr>
          <w:p>
            <w:pPr>
              <w:jc w:val="right"/>
              <w:ind w:right="24"/>
              <w:spacing w:after="0" w:line="181" w:lineRule="exact"/>
              <w:rPr>
                <w:sz w:val="20"/>
                <w:szCs w:val="20"/>
                <w:color w:val="auto"/>
              </w:rPr>
            </w:pPr>
            <w:r>
              <w:rPr>
                <w:rFonts w:ascii="Arial" w:cs="Arial" w:eastAsia="Arial" w:hAnsi="Arial"/>
                <w:sz w:val="16"/>
                <w:szCs w:val="16"/>
                <w:color w:val="auto"/>
              </w:rPr>
              <w:t>450,000</w:t>
            </w:r>
          </w:p>
        </w:tc>
        <w:tc>
          <w:tcPr>
            <w:tcW w:w="760" w:type="dxa"/>
            <w:vAlign w:val="bottom"/>
          </w:tcPr>
          <w:p>
            <w:pPr>
              <w:jc w:val="right"/>
              <w:ind w:right="24"/>
              <w:spacing w:after="0" w:line="181"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4"/>
              <w:spacing w:after="0" w:line="181" w:lineRule="exact"/>
              <w:rPr>
                <w:sz w:val="20"/>
                <w:szCs w:val="20"/>
                <w:color w:val="auto"/>
              </w:rPr>
            </w:pPr>
            <w:r>
              <w:rPr>
                <w:rFonts w:ascii="Arial" w:cs="Arial" w:eastAsia="Arial" w:hAnsi="Arial"/>
                <w:sz w:val="16"/>
                <w:szCs w:val="16"/>
                <w:color w:val="auto"/>
              </w:rPr>
              <w:t>2,599,997</w:t>
            </w:r>
          </w:p>
        </w:tc>
        <w:tc>
          <w:tcPr>
            <w:tcW w:w="1100" w:type="dxa"/>
            <w:vAlign w:val="bottom"/>
          </w:tcPr>
          <w:p>
            <w:pPr>
              <w:jc w:val="right"/>
              <w:spacing w:after="0" w:line="181" w:lineRule="exact"/>
              <w:rPr>
                <w:sz w:val="20"/>
                <w:szCs w:val="20"/>
                <w:color w:val="auto"/>
              </w:rPr>
            </w:pPr>
            <w:r>
              <w:rPr>
                <w:rFonts w:ascii="Arial" w:cs="Arial" w:eastAsia="Arial" w:hAnsi="Arial"/>
                <w:sz w:val="16"/>
                <w:szCs w:val="16"/>
                <w:color w:val="auto"/>
              </w:rPr>
              <w:t>558,000</w:t>
            </w:r>
          </w:p>
        </w:tc>
        <w:tc>
          <w:tcPr>
            <w:tcW w:w="1140" w:type="dxa"/>
            <w:vAlign w:val="bottom"/>
          </w:tcPr>
          <w:p>
            <w:pPr>
              <w:jc w:val="right"/>
              <w:ind w:right="24"/>
              <w:spacing w:after="0" w:line="181" w:lineRule="exact"/>
              <w:rPr>
                <w:sz w:val="20"/>
                <w:szCs w:val="20"/>
                <w:color w:val="auto"/>
              </w:rPr>
            </w:pPr>
            <w:r>
              <w:rPr>
                <w:rFonts w:ascii="Arial" w:cs="Arial" w:eastAsia="Arial" w:hAnsi="Arial"/>
                <w:sz w:val="16"/>
                <w:szCs w:val="16"/>
                <w:color w:val="auto"/>
              </w:rPr>
              <w:t>6,080</w:t>
            </w:r>
          </w:p>
        </w:tc>
        <w:tc>
          <w:tcPr>
            <w:tcW w:w="960" w:type="dxa"/>
            <w:vAlign w:val="bottom"/>
          </w:tcPr>
          <w:p>
            <w:pPr>
              <w:jc w:val="right"/>
              <w:ind w:right="4"/>
              <w:spacing w:after="0" w:line="181" w:lineRule="exact"/>
              <w:rPr>
                <w:sz w:val="20"/>
                <w:szCs w:val="20"/>
                <w:color w:val="auto"/>
              </w:rPr>
            </w:pPr>
            <w:r>
              <w:rPr>
                <w:rFonts w:ascii="Arial" w:cs="Arial" w:eastAsia="Arial" w:hAnsi="Arial"/>
                <w:sz w:val="16"/>
                <w:szCs w:val="16"/>
                <w:color w:val="auto"/>
              </w:rPr>
              <w:t>3,614,077</w:t>
            </w:r>
          </w:p>
        </w:tc>
        <w:tc>
          <w:tcPr>
            <w:tcW w:w="0" w:type="dxa"/>
            <w:vAlign w:val="bottom"/>
          </w:tcPr>
          <w:p>
            <w:pPr>
              <w:spacing w:after="0"/>
              <w:rPr>
                <w:sz w:val="1"/>
                <w:szCs w:val="1"/>
                <w:color w:val="auto"/>
              </w:rPr>
            </w:pPr>
          </w:p>
        </w:tc>
      </w:tr>
      <w:tr>
        <w:trPr>
          <w:trHeight w:val="205"/>
        </w:trPr>
        <w:tc>
          <w:tcPr>
            <w:tcW w:w="314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6"/>
                <w:szCs w:val="16"/>
                <w:color w:val="auto"/>
              </w:rPr>
              <w:t>2020</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435,000</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2,199,987</w:t>
            </w:r>
          </w:p>
        </w:tc>
        <w:tc>
          <w:tcPr>
            <w:tcW w:w="1100" w:type="dxa"/>
            <w:vAlign w:val="bottom"/>
          </w:tcPr>
          <w:p>
            <w:pPr>
              <w:jc w:val="right"/>
              <w:spacing w:after="0"/>
              <w:rPr>
                <w:sz w:val="20"/>
                <w:szCs w:val="20"/>
                <w:color w:val="auto"/>
              </w:rPr>
            </w:pPr>
            <w:r>
              <w:rPr>
                <w:rFonts w:ascii="Arial" w:cs="Arial" w:eastAsia="Arial" w:hAnsi="Arial"/>
                <w:sz w:val="16"/>
                <w:szCs w:val="16"/>
                <w:color w:val="auto"/>
              </w:rPr>
              <w:t>217,500</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6,080</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2,858,567</w:t>
            </w: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3140" w:type="dxa"/>
            <w:vAlign w:val="bottom"/>
            <w:shd w:val="clear" w:color="auto" w:fill="9DBDE4"/>
          </w:tcPr>
          <w:p>
            <w:pPr>
              <w:ind w:left="60"/>
              <w:spacing w:after="0"/>
              <w:rPr>
                <w:sz w:val="20"/>
                <w:szCs w:val="20"/>
                <w:color w:val="auto"/>
              </w:rPr>
            </w:pPr>
            <w:r>
              <w:rPr>
                <w:rFonts w:ascii="Arial" w:cs="Arial" w:eastAsia="Arial" w:hAnsi="Arial"/>
                <w:sz w:val="16"/>
                <w:szCs w:val="16"/>
                <w:color w:val="auto"/>
              </w:rPr>
              <w:t>Ram K. Puppala</w:t>
            </w:r>
          </w:p>
        </w:tc>
        <w:tc>
          <w:tcPr>
            <w:tcW w:w="580" w:type="dxa"/>
            <w:vAlign w:val="bottom"/>
            <w:shd w:val="clear" w:color="auto" w:fill="9DBDE4"/>
          </w:tcPr>
          <w:p>
            <w:pPr>
              <w:ind w:left="120"/>
              <w:spacing w:after="0"/>
              <w:rPr>
                <w:sz w:val="20"/>
                <w:szCs w:val="20"/>
                <w:color w:val="auto"/>
              </w:rPr>
            </w:pPr>
            <w:r>
              <w:rPr>
                <w:rFonts w:ascii="Arial" w:cs="Arial" w:eastAsia="Arial" w:hAnsi="Arial"/>
                <w:sz w:val="16"/>
                <w:szCs w:val="16"/>
                <w:color w:val="auto"/>
              </w:rPr>
              <w:t>2022</w:t>
            </w:r>
          </w:p>
        </w:tc>
        <w:tc>
          <w:tcPr>
            <w:tcW w:w="760" w:type="dxa"/>
            <w:vAlign w:val="bottom"/>
            <w:shd w:val="clear" w:color="auto" w:fill="9DBDE4"/>
          </w:tcPr>
          <w:p>
            <w:pPr>
              <w:jc w:val="right"/>
              <w:ind w:right="24"/>
              <w:spacing w:after="0"/>
              <w:rPr>
                <w:sz w:val="20"/>
                <w:szCs w:val="20"/>
                <w:color w:val="auto"/>
              </w:rPr>
            </w:pPr>
            <w:r>
              <w:rPr>
                <w:rFonts w:ascii="Arial" w:cs="Arial" w:eastAsia="Arial" w:hAnsi="Arial"/>
                <w:sz w:val="16"/>
                <w:szCs w:val="16"/>
                <w:color w:val="auto"/>
              </w:rPr>
              <w:t>410,000</w:t>
            </w:r>
          </w:p>
        </w:tc>
        <w:tc>
          <w:tcPr>
            <w:tcW w:w="760" w:type="dxa"/>
            <w:vAlign w:val="bottom"/>
            <w:shd w:val="clear" w:color="auto" w:fill="9DBDE4"/>
          </w:tcPr>
          <w:p>
            <w:pPr>
              <w:jc w:val="right"/>
              <w:ind w:right="24"/>
              <w:spacing w:after="0"/>
              <w:rPr>
                <w:sz w:val="20"/>
                <w:szCs w:val="20"/>
                <w:color w:val="auto"/>
              </w:rPr>
            </w:pPr>
            <w:r>
              <w:rPr>
                <w:rFonts w:ascii="Arial" w:cs="Arial" w:eastAsia="Arial" w:hAnsi="Arial"/>
                <w:sz w:val="16"/>
                <w:szCs w:val="16"/>
                <w:color w:val="auto"/>
              </w:rPr>
              <w:t>300,000</w:t>
            </w:r>
          </w:p>
        </w:tc>
        <w:tc>
          <w:tcPr>
            <w:tcW w:w="880" w:type="dxa"/>
            <w:vAlign w:val="bottom"/>
            <w:shd w:val="clear" w:color="auto" w:fill="9DBDE4"/>
          </w:tcPr>
          <w:p>
            <w:pPr>
              <w:jc w:val="right"/>
              <w:ind w:right="4"/>
              <w:spacing w:after="0"/>
              <w:rPr>
                <w:sz w:val="20"/>
                <w:szCs w:val="20"/>
                <w:color w:val="auto"/>
              </w:rPr>
            </w:pPr>
            <w:r>
              <w:rPr>
                <w:rFonts w:ascii="Arial" w:cs="Arial" w:eastAsia="Arial" w:hAnsi="Arial"/>
                <w:sz w:val="16"/>
                <w:szCs w:val="16"/>
                <w:color w:val="auto"/>
              </w:rPr>
              <w:t>1,899,996</w:t>
            </w:r>
          </w:p>
        </w:tc>
        <w:tc>
          <w:tcPr>
            <w:tcW w:w="1100" w:type="dxa"/>
            <w:vAlign w:val="bottom"/>
            <w:shd w:val="clear" w:color="auto" w:fill="9DBDE4"/>
          </w:tcPr>
          <w:p>
            <w:pPr>
              <w:jc w:val="right"/>
              <w:spacing w:after="0"/>
              <w:rPr>
                <w:sz w:val="20"/>
                <w:szCs w:val="20"/>
                <w:color w:val="auto"/>
              </w:rPr>
            </w:pPr>
            <w:r>
              <w:rPr>
                <w:rFonts w:ascii="Arial" w:cs="Arial" w:eastAsia="Arial" w:hAnsi="Arial"/>
                <w:sz w:val="16"/>
                <w:szCs w:val="16"/>
                <w:color w:val="auto"/>
              </w:rPr>
              <w:t>350,000</w:t>
            </w:r>
          </w:p>
        </w:tc>
        <w:tc>
          <w:tcPr>
            <w:tcW w:w="1140" w:type="dxa"/>
            <w:vAlign w:val="bottom"/>
            <w:shd w:val="clear" w:color="auto" w:fill="9DBDE4"/>
          </w:tcPr>
          <w:p>
            <w:pPr>
              <w:jc w:val="right"/>
              <w:ind w:right="24"/>
              <w:spacing w:after="0"/>
              <w:rPr>
                <w:sz w:val="20"/>
                <w:szCs w:val="20"/>
                <w:color w:val="auto"/>
              </w:rPr>
            </w:pPr>
            <w:r>
              <w:rPr>
                <w:rFonts w:ascii="Arial" w:cs="Arial" w:eastAsia="Arial" w:hAnsi="Arial"/>
                <w:sz w:val="16"/>
                <w:szCs w:val="16"/>
                <w:color w:val="auto"/>
              </w:rPr>
              <w:t>72,443</w:t>
            </w:r>
          </w:p>
        </w:tc>
        <w:tc>
          <w:tcPr>
            <w:tcW w:w="960" w:type="dxa"/>
            <w:vAlign w:val="bottom"/>
            <w:shd w:val="clear" w:color="auto" w:fill="9DBDE4"/>
          </w:tcPr>
          <w:p>
            <w:pPr>
              <w:jc w:val="right"/>
              <w:ind w:right="4"/>
              <w:spacing w:after="0"/>
              <w:rPr>
                <w:sz w:val="20"/>
                <w:szCs w:val="20"/>
                <w:color w:val="auto"/>
              </w:rPr>
            </w:pPr>
            <w:r>
              <w:rPr>
                <w:rFonts w:ascii="Arial" w:cs="Arial" w:eastAsia="Arial" w:hAnsi="Arial"/>
                <w:sz w:val="16"/>
                <w:szCs w:val="16"/>
                <w:color w:val="auto"/>
              </w:rPr>
              <w:t>3,032,439</w:t>
            </w:r>
          </w:p>
        </w:tc>
        <w:tc>
          <w:tcPr>
            <w:tcW w:w="0" w:type="dxa"/>
            <w:vAlign w:val="bottom"/>
          </w:tcPr>
          <w:p>
            <w:pPr>
              <w:spacing w:after="0"/>
              <w:rPr>
                <w:sz w:val="1"/>
                <w:szCs w:val="1"/>
                <w:color w:val="auto"/>
              </w:rPr>
            </w:pPr>
          </w:p>
        </w:tc>
      </w:tr>
      <w:tr>
        <w:trPr>
          <w:trHeight w:val="226"/>
        </w:trPr>
        <w:tc>
          <w:tcPr>
            <w:tcW w:w="3140" w:type="dxa"/>
            <w:vAlign w:val="bottom"/>
            <w:tcBorders>
              <w:bottom w:val="single" w:sz="8" w:color="9DBDE4"/>
            </w:tcBorders>
            <w:shd w:val="clear" w:color="auto" w:fill="9DBDE4"/>
          </w:tcPr>
          <w:p>
            <w:pPr>
              <w:ind w:left="60"/>
              <w:spacing w:after="0"/>
              <w:rPr>
                <w:sz w:val="20"/>
                <w:szCs w:val="20"/>
                <w:color w:val="auto"/>
              </w:rPr>
            </w:pPr>
            <w:r>
              <w:rPr>
                <w:rFonts w:ascii="Arial" w:cs="Arial" w:eastAsia="Arial" w:hAnsi="Arial"/>
                <w:sz w:val="16"/>
                <w:szCs w:val="16"/>
                <w:color w:val="auto"/>
              </w:rPr>
              <w:t>Chief Technology Officer</w:t>
            </w:r>
          </w:p>
        </w:tc>
        <w:tc>
          <w:tcPr>
            <w:tcW w:w="580" w:type="dxa"/>
            <w:vAlign w:val="bottom"/>
            <w:tcBorders>
              <w:bottom w:val="single" w:sz="8" w:color="9DBDE4"/>
            </w:tcBorders>
            <w:shd w:val="clear" w:color="auto" w:fill="9DBDE4"/>
          </w:tcPr>
          <w:p>
            <w:pPr>
              <w:ind w:left="120"/>
              <w:spacing w:after="0"/>
              <w:rPr>
                <w:sz w:val="20"/>
                <w:szCs w:val="20"/>
                <w:color w:val="auto"/>
              </w:rPr>
            </w:pPr>
            <w:r>
              <w:rPr>
                <w:rFonts w:ascii="Arial" w:cs="Arial" w:eastAsia="Arial" w:hAnsi="Arial"/>
                <w:sz w:val="16"/>
                <w:szCs w:val="16"/>
                <w:color w:val="auto"/>
              </w:rPr>
              <w:t>2021</w:t>
            </w:r>
          </w:p>
        </w:tc>
        <w:tc>
          <w:tcPr>
            <w:tcW w:w="760" w:type="dxa"/>
            <w:vAlign w:val="bottom"/>
            <w:tcBorders>
              <w:bottom w:val="single" w:sz="8" w:color="9DBDE4"/>
            </w:tcBorders>
            <w:shd w:val="clear" w:color="auto" w:fill="9DBDE4"/>
          </w:tcPr>
          <w:p>
            <w:pPr>
              <w:jc w:val="right"/>
              <w:ind w:right="24"/>
              <w:spacing w:after="0"/>
              <w:rPr>
                <w:sz w:val="20"/>
                <w:szCs w:val="20"/>
                <w:color w:val="auto"/>
              </w:rPr>
            </w:pPr>
            <w:r>
              <w:rPr>
                <w:rFonts w:ascii="Arial" w:cs="Arial" w:eastAsia="Arial" w:hAnsi="Arial"/>
                <w:sz w:val="16"/>
                <w:szCs w:val="16"/>
                <w:color w:val="auto"/>
              </w:rPr>
              <w:t>175,565</w:t>
            </w:r>
          </w:p>
        </w:tc>
        <w:tc>
          <w:tcPr>
            <w:tcW w:w="760" w:type="dxa"/>
            <w:vAlign w:val="bottom"/>
            <w:tcBorders>
              <w:bottom w:val="single" w:sz="8" w:color="9DBDE4"/>
            </w:tcBorders>
            <w:shd w:val="clear" w:color="auto" w:fill="9DBDE4"/>
          </w:tcPr>
          <w:p>
            <w:pPr>
              <w:jc w:val="right"/>
              <w:ind w:right="24"/>
              <w:spacing w:after="0"/>
              <w:rPr>
                <w:sz w:val="20"/>
                <w:szCs w:val="20"/>
                <w:color w:val="auto"/>
              </w:rPr>
            </w:pPr>
            <w:r>
              <w:rPr>
                <w:rFonts w:ascii="Arial" w:cs="Arial" w:eastAsia="Arial" w:hAnsi="Arial"/>
                <w:sz w:val="16"/>
                <w:szCs w:val="16"/>
                <w:color w:val="auto"/>
              </w:rPr>
              <w:t>349,700</w:t>
            </w:r>
          </w:p>
        </w:tc>
        <w:tc>
          <w:tcPr>
            <w:tcW w:w="880" w:type="dxa"/>
            <w:vAlign w:val="bottom"/>
            <w:tcBorders>
              <w:bottom w:val="single" w:sz="8" w:color="9DBDE4"/>
            </w:tcBorders>
            <w:shd w:val="clear" w:color="auto" w:fill="9DBDE4"/>
          </w:tcPr>
          <w:p>
            <w:pPr>
              <w:jc w:val="right"/>
              <w:ind w:right="4"/>
              <w:spacing w:after="0"/>
              <w:rPr>
                <w:sz w:val="20"/>
                <w:szCs w:val="20"/>
                <w:color w:val="auto"/>
              </w:rPr>
            </w:pPr>
            <w:r>
              <w:rPr>
                <w:rFonts w:ascii="Arial" w:cs="Arial" w:eastAsia="Arial" w:hAnsi="Arial"/>
                <w:sz w:val="16"/>
                <w:szCs w:val="16"/>
                <w:color w:val="auto"/>
              </w:rPr>
              <w:t>526,015</w:t>
            </w:r>
          </w:p>
        </w:tc>
        <w:tc>
          <w:tcPr>
            <w:tcW w:w="1100" w:type="dxa"/>
            <w:vAlign w:val="bottom"/>
            <w:tcBorders>
              <w:bottom w:val="single" w:sz="8" w:color="9DBDE4"/>
            </w:tcBorders>
            <w:shd w:val="clear" w:color="auto" w:fill="9DBDE4"/>
          </w:tcPr>
          <w:p>
            <w:pPr>
              <w:jc w:val="right"/>
              <w:spacing w:after="0"/>
              <w:rPr>
                <w:sz w:val="20"/>
                <w:szCs w:val="20"/>
                <w:color w:val="auto"/>
              </w:rPr>
            </w:pPr>
            <w:r>
              <w:rPr>
                <w:rFonts w:ascii="Arial" w:cs="Arial" w:eastAsia="Arial" w:hAnsi="Arial"/>
                <w:sz w:val="16"/>
                <w:szCs w:val="16"/>
                <w:color w:val="auto"/>
              </w:rPr>
              <w:t>212,833</w:t>
            </w:r>
          </w:p>
        </w:tc>
        <w:tc>
          <w:tcPr>
            <w:tcW w:w="1140" w:type="dxa"/>
            <w:vAlign w:val="bottom"/>
            <w:tcBorders>
              <w:bottom w:val="single" w:sz="8" w:color="9DBDE4"/>
            </w:tcBorders>
            <w:shd w:val="clear" w:color="auto" w:fill="9DBDE4"/>
          </w:tcPr>
          <w:p>
            <w:pPr>
              <w:jc w:val="right"/>
              <w:ind w:right="24"/>
              <w:spacing w:after="0"/>
              <w:rPr>
                <w:sz w:val="20"/>
                <w:szCs w:val="20"/>
                <w:color w:val="auto"/>
              </w:rPr>
            </w:pPr>
            <w:r>
              <w:rPr>
                <w:rFonts w:ascii="Arial" w:cs="Arial" w:eastAsia="Arial" w:hAnsi="Arial"/>
                <w:sz w:val="16"/>
                <w:szCs w:val="16"/>
                <w:color w:val="auto"/>
              </w:rPr>
              <w:t>318,456</w:t>
            </w:r>
          </w:p>
        </w:tc>
        <w:tc>
          <w:tcPr>
            <w:tcW w:w="960" w:type="dxa"/>
            <w:vAlign w:val="bottom"/>
            <w:tcBorders>
              <w:bottom w:val="single" w:sz="8" w:color="9DBDE4"/>
            </w:tcBorders>
            <w:shd w:val="clear" w:color="auto" w:fill="9DBDE4"/>
          </w:tcPr>
          <w:p>
            <w:pPr>
              <w:jc w:val="right"/>
              <w:ind w:right="4"/>
              <w:spacing w:after="0"/>
              <w:rPr>
                <w:sz w:val="20"/>
                <w:szCs w:val="20"/>
                <w:color w:val="auto"/>
              </w:rPr>
            </w:pPr>
            <w:r>
              <w:rPr>
                <w:rFonts w:ascii="Arial" w:cs="Arial" w:eastAsia="Arial" w:hAnsi="Arial"/>
                <w:sz w:val="16"/>
                <w:szCs w:val="16"/>
                <w:color w:val="auto"/>
              </w:rPr>
              <w:t>1,582,569</w:t>
            </w:r>
          </w:p>
        </w:tc>
        <w:tc>
          <w:tcPr>
            <w:tcW w:w="0" w:type="dxa"/>
            <w:vAlign w:val="bottom"/>
          </w:tcPr>
          <w:p>
            <w:pPr>
              <w:spacing w:after="0"/>
              <w:rPr>
                <w:sz w:val="1"/>
                <w:szCs w:val="1"/>
                <w:color w:val="auto"/>
              </w:rPr>
            </w:pPr>
          </w:p>
        </w:tc>
      </w:tr>
      <w:tr>
        <w:trPr>
          <w:trHeight w:val="221"/>
        </w:trPr>
        <w:tc>
          <w:tcPr>
            <w:tcW w:w="3140" w:type="dxa"/>
            <w:vAlign w:val="bottom"/>
          </w:tcPr>
          <w:p>
            <w:pPr>
              <w:ind w:left="60"/>
              <w:spacing w:after="0"/>
              <w:rPr>
                <w:sz w:val="20"/>
                <w:szCs w:val="20"/>
                <w:color w:val="auto"/>
              </w:rPr>
            </w:pPr>
            <w:r>
              <w:rPr>
                <w:rFonts w:ascii="Arial" w:cs="Arial" w:eastAsia="Arial" w:hAnsi="Arial"/>
                <w:sz w:val="16"/>
                <w:szCs w:val="16"/>
                <w:color w:val="auto"/>
              </w:rPr>
              <w:t>Alessandro Silva</w:t>
            </w:r>
          </w:p>
        </w:tc>
        <w:tc>
          <w:tcPr>
            <w:tcW w:w="580" w:type="dxa"/>
            <w:vAlign w:val="bottom"/>
          </w:tcPr>
          <w:p>
            <w:pPr>
              <w:ind w:left="120"/>
              <w:spacing w:after="0"/>
              <w:rPr>
                <w:sz w:val="20"/>
                <w:szCs w:val="20"/>
                <w:color w:val="auto"/>
              </w:rPr>
            </w:pPr>
            <w:r>
              <w:rPr>
                <w:rFonts w:ascii="Arial" w:cs="Arial" w:eastAsia="Arial" w:hAnsi="Arial"/>
                <w:sz w:val="16"/>
                <w:szCs w:val="16"/>
                <w:color w:val="auto"/>
              </w:rPr>
              <w:t>2022</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404,002</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225,000</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1,349,985</w:t>
            </w:r>
          </w:p>
        </w:tc>
        <w:tc>
          <w:tcPr>
            <w:tcW w:w="1100" w:type="dxa"/>
            <w:vAlign w:val="bottom"/>
          </w:tcPr>
          <w:p>
            <w:pPr>
              <w:jc w:val="right"/>
              <w:spacing w:after="0"/>
              <w:rPr>
                <w:sz w:val="20"/>
                <w:szCs w:val="20"/>
                <w:color w:val="auto"/>
              </w:rPr>
            </w:pPr>
            <w:r>
              <w:rPr>
                <w:rFonts w:ascii="Arial" w:cs="Arial" w:eastAsia="Arial" w:hAnsi="Arial"/>
                <w:sz w:val="16"/>
                <w:szCs w:val="16"/>
                <w:color w:val="auto"/>
              </w:rPr>
              <w:t>663,664</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5,864</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2,648,515</w:t>
            </w:r>
          </w:p>
        </w:tc>
        <w:tc>
          <w:tcPr>
            <w:tcW w:w="0" w:type="dxa"/>
            <w:vAlign w:val="bottom"/>
          </w:tcPr>
          <w:p>
            <w:pPr>
              <w:spacing w:after="0"/>
              <w:rPr>
                <w:sz w:val="1"/>
                <w:szCs w:val="1"/>
                <w:color w:val="auto"/>
              </w:rPr>
            </w:pPr>
          </w:p>
        </w:tc>
      </w:tr>
      <w:tr>
        <w:trPr>
          <w:trHeight w:val="205"/>
        </w:trPr>
        <w:tc>
          <w:tcPr>
            <w:tcW w:w="3140" w:type="dxa"/>
            <w:vAlign w:val="bottom"/>
          </w:tcPr>
          <w:p>
            <w:pPr>
              <w:ind w:left="60"/>
              <w:spacing w:after="0"/>
              <w:rPr>
                <w:sz w:val="20"/>
                <w:szCs w:val="20"/>
                <w:color w:val="auto"/>
              </w:rPr>
            </w:pPr>
            <w:r>
              <w:rPr>
                <w:rFonts w:ascii="Arial" w:cs="Arial" w:eastAsia="Arial" w:hAnsi="Arial"/>
                <w:sz w:val="16"/>
                <w:szCs w:val="16"/>
                <w:color w:val="auto"/>
              </w:rPr>
              <w:t>Chief Revenue Officer</w:t>
            </w: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3140" w:type="dxa"/>
            <w:vAlign w:val="bottom"/>
            <w:shd w:val="clear" w:color="auto" w:fill="9DBDE4"/>
          </w:tcPr>
          <w:p>
            <w:pPr>
              <w:ind w:left="60"/>
              <w:spacing w:after="0"/>
              <w:rPr>
                <w:sz w:val="20"/>
                <w:szCs w:val="20"/>
                <w:color w:val="auto"/>
              </w:rPr>
            </w:pPr>
            <w:r>
              <w:rPr>
                <w:rFonts w:ascii="Arial" w:cs="Arial" w:eastAsia="Arial" w:hAnsi="Arial"/>
                <w:sz w:val="16"/>
                <w:szCs w:val="16"/>
                <w:color w:val="auto"/>
              </w:rPr>
              <w:t>Jeremy M. Wilmot</w:t>
            </w:r>
          </w:p>
        </w:tc>
        <w:tc>
          <w:tcPr>
            <w:tcW w:w="580" w:type="dxa"/>
            <w:vAlign w:val="bottom"/>
            <w:shd w:val="clear" w:color="auto" w:fill="9DBDE4"/>
          </w:tcPr>
          <w:p>
            <w:pPr>
              <w:ind w:left="120"/>
              <w:spacing w:after="0"/>
              <w:rPr>
                <w:sz w:val="20"/>
                <w:szCs w:val="20"/>
                <w:color w:val="auto"/>
              </w:rPr>
            </w:pPr>
            <w:r>
              <w:rPr>
                <w:rFonts w:ascii="Arial" w:cs="Arial" w:eastAsia="Arial" w:hAnsi="Arial"/>
                <w:sz w:val="16"/>
                <w:szCs w:val="16"/>
                <w:color w:val="auto"/>
              </w:rPr>
              <w:t>2022</w:t>
            </w:r>
          </w:p>
        </w:tc>
        <w:tc>
          <w:tcPr>
            <w:tcW w:w="760" w:type="dxa"/>
            <w:vAlign w:val="bottom"/>
            <w:shd w:val="clear" w:color="auto" w:fill="9DBDE4"/>
          </w:tcPr>
          <w:p>
            <w:pPr>
              <w:jc w:val="right"/>
              <w:ind w:right="24"/>
              <w:spacing w:after="0"/>
              <w:rPr>
                <w:sz w:val="20"/>
                <w:szCs w:val="20"/>
                <w:color w:val="auto"/>
              </w:rPr>
            </w:pPr>
            <w:r>
              <w:rPr>
                <w:rFonts w:ascii="Arial" w:cs="Arial" w:eastAsia="Arial" w:hAnsi="Arial"/>
                <w:sz w:val="16"/>
                <w:szCs w:val="16"/>
                <w:color w:val="auto"/>
              </w:rPr>
              <w:t>248,916</w:t>
            </w:r>
          </w:p>
        </w:tc>
        <w:tc>
          <w:tcPr>
            <w:tcW w:w="760" w:type="dxa"/>
            <w:vAlign w:val="bottom"/>
            <w:shd w:val="clear" w:color="auto" w:fill="9DBDE4"/>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9DBDE4"/>
          </w:tcPr>
          <w:p>
            <w:pPr>
              <w:jc w:val="right"/>
              <w:ind w:right="4"/>
              <w:spacing w:after="0"/>
              <w:rPr>
                <w:sz w:val="20"/>
                <w:szCs w:val="20"/>
                <w:color w:val="auto"/>
              </w:rPr>
            </w:pPr>
            <w:r>
              <w:rPr>
                <w:rFonts w:ascii="Arial" w:cs="Arial" w:eastAsia="Arial" w:hAnsi="Arial"/>
                <w:sz w:val="16"/>
                <w:szCs w:val="16"/>
                <w:color w:val="auto"/>
              </w:rPr>
              <w:t>1,400,007</w:t>
            </w:r>
          </w:p>
        </w:tc>
        <w:tc>
          <w:tcPr>
            <w:tcW w:w="1100" w:type="dxa"/>
            <w:vAlign w:val="bottom"/>
            <w:shd w:val="clear" w:color="auto" w:fill="9DBDE4"/>
          </w:tcPr>
          <w:p>
            <w:pPr>
              <w:jc w:val="right"/>
              <w:spacing w:after="0"/>
              <w:rPr>
                <w:sz w:val="20"/>
                <w:szCs w:val="20"/>
                <w:color w:val="auto"/>
              </w:rPr>
            </w:pPr>
            <w:r>
              <w:rPr>
                <w:rFonts w:ascii="Arial" w:cs="Arial" w:eastAsia="Arial" w:hAnsi="Arial"/>
                <w:sz w:val="16"/>
                <w:szCs w:val="16"/>
                <w:color w:val="auto"/>
              </w:rPr>
              <w:t>249,000</w:t>
            </w:r>
          </w:p>
        </w:tc>
        <w:tc>
          <w:tcPr>
            <w:tcW w:w="1140" w:type="dxa"/>
            <w:vAlign w:val="bottom"/>
            <w:shd w:val="clear" w:color="auto" w:fill="9DBDE4"/>
          </w:tcPr>
          <w:p>
            <w:pPr>
              <w:jc w:val="right"/>
              <w:ind w:right="24"/>
              <w:spacing w:after="0"/>
              <w:rPr>
                <w:sz w:val="20"/>
                <w:szCs w:val="20"/>
                <w:color w:val="auto"/>
              </w:rPr>
            </w:pPr>
            <w:r>
              <w:rPr>
                <w:rFonts w:ascii="Arial" w:cs="Arial" w:eastAsia="Arial" w:hAnsi="Arial"/>
                <w:sz w:val="16"/>
                <w:szCs w:val="16"/>
                <w:color w:val="auto"/>
              </w:rPr>
              <w:t>5,763</w:t>
            </w:r>
          </w:p>
        </w:tc>
        <w:tc>
          <w:tcPr>
            <w:tcW w:w="960" w:type="dxa"/>
            <w:vAlign w:val="bottom"/>
            <w:shd w:val="clear" w:color="auto" w:fill="9DBDE4"/>
          </w:tcPr>
          <w:p>
            <w:pPr>
              <w:jc w:val="right"/>
              <w:ind w:right="4"/>
              <w:spacing w:after="0"/>
              <w:rPr>
                <w:sz w:val="20"/>
                <w:szCs w:val="20"/>
                <w:color w:val="auto"/>
              </w:rPr>
            </w:pPr>
            <w:r>
              <w:rPr>
                <w:rFonts w:ascii="Arial" w:cs="Arial" w:eastAsia="Arial" w:hAnsi="Arial"/>
                <w:sz w:val="16"/>
                <w:szCs w:val="16"/>
                <w:color w:val="auto"/>
              </w:rPr>
              <w:t>1,903,686</w:t>
            </w:r>
          </w:p>
        </w:tc>
        <w:tc>
          <w:tcPr>
            <w:tcW w:w="0" w:type="dxa"/>
            <w:vAlign w:val="bottom"/>
          </w:tcPr>
          <w:p>
            <w:pPr>
              <w:spacing w:after="0"/>
              <w:rPr>
                <w:sz w:val="1"/>
                <w:szCs w:val="1"/>
                <w:color w:val="auto"/>
              </w:rPr>
            </w:pPr>
          </w:p>
        </w:tc>
      </w:tr>
      <w:tr>
        <w:trPr>
          <w:trHeight w:val="181"/>
        </w:trPr>
        <w:tc>
          <w:tcPr>
            <w:tcW w:w="3140" w:type="dxa"/>
            <w:vAlign w:val="bottom"/>
            <w:shd w:val="clear" w:color="auto" w:fill="9DBDE4"/>
          </w:tcPr>
          <w:p>
            <w:pPr>
              <w:ind w:left="60"/>
              <w:spacing w:after="0" w:line="181" w:lineRule="exact"/>
              <w:rPr>
                <w:sz w:val="20"/>
                <w:szCs w:val="20"/>
                <w:color w:val="auto"/>
              </w:rPr>
            </w:pPr>
            <w:r>
              <w:rPr>
                <w:rFonts w:ascii="Arial" w:cs="Arial" w:eastAsia="Arial" w:hAnsi="Arial"/>
                <w:sz w:val="16"/>
                <w:szCs w:val="16"/>
                <w:color w:val="auto"/>
              </w:rPr>
              <w:t>Former Chief Product Officer</w:t>
            </w:r>
          </w:p>
        </w:tc>
        <w:tc>
          <w:tcPr>
            <w:tcW w:w="580" w:type="dxa"/>
            <w:vAlign w:val="bottom"/>
            <w:shd w:val="clear" w:color="auto" w:fill="9DBDE4"/>
          </w:tcPr>
          <w:p>
            <w:pPr>
              <w:ind w:left="120"/>
              <w:spacing w:after="0" w:line="181" w:lineRule="exact"/>
              <w:rPr>
                <w:sz w:val="20"/>
                <w:szCs w:val="20"/>
                <w:color w:val="auto"/>
              </w:rPr>
            </w:pPr>
            <w:r>
              <w:rPr>
                <w:rFonts w:ascii="Arial" w:cs="Arial" w:eastAsia="Arial" w:hAnsi="Arial"/>
                <w:sz w:val="16"/>
                <w:szCs w:val="16"/>
                <w:color w:val="auto"/>
              </w:rPr>
              <w:t>2021</w:t>
            </w:r>
          </w:p>
        </w:tc>
        <w:tc>
          <w:tcPr>
            <w:tcW w:w="760" w:type="dxa"/>
            <w:vAlign w:val="bottom"/>
            <w:shd w:val="clear" w:color="auto" w:fill="9DBDE4"/>
          </w:tcPr>
          <w:p>
            <w:pPr>
              <w:jc w:val="right"/>
              <w:ind w:right="24"/>
              <w:spacing w:after="0" w:line="181" w:lineRule="exact"/>
              <w:rPr>
                <w:sz w:val="20"/>
                <w:szCs w:val="20"/>
                <w:color w:val="auto"/>
              </w:rPr>
            </w:pPr>
            <w:r>
              <w:rPr>
                <w:rFonts w:ascii="Arial" w:cs="Arial" w:eastAsia="Arial" w:hAnsi="Arial"/>
                <w:sz w:val="16"/>
                <w:szCs w:val="16"/>
                <w:color w:val="auto"/>
              </w:rPr>
              <w:t>375,000</w:t>
            </w:r>
          </w:p>
        </w:tc>
        <w:tc>
          <w:tcPr>
            <w:tcW w:w="760" w:type="dxa"/>
            <w:vAlign w:val="bottom"/>
            <w:shd w:val="clear" w:color="auto" w:fill="9DBDE4"/>
          </w:tcPr>
          <w:p>
            <w:pPr>
              <w:jc w:val="right"/>
              <w:ind w:right="24"/>
              <w:spacing w:after="0" w:line="181" w:lineRule="exact"/>
              <w:rPr>
                <w:sz w:val="20"/>
                <w:szCs w:val="20"/>
                <w:color w:val="auto"/>
              </w:rPr>
            </w:pPr>
            <w:r>
              <w:rPr>
                <w:rFonts w:ascii="Arial" w:cs="Arial" w:eastAsia="Arial" w:hAnsi="Arial"/>
                <w:sz w:val="16"/>
                <w:szCs w:val="16"/>
                <w:color w:val="auto"/>
              </w:rPr>
              <w:t>250,000</w:t>
            </w:r>
          </w:p>
        </w:tc>
        <w:tc>
          <w:tcPr>
            <w:tcW w:w="880" w:type="dxa"/>
            <w:vAlign w:val="bottom"/>
            <w:shd w:val="clear" w:color="auto" w:fill="9DBDE4"/>
          </w:tcPr>
          <w:p>
            <w:pPr>
              <w:jc w:val="right"/>
              <w:ind w:right="4"/>
              <w:spacing w:after="0" w:line="181" w:lineRule="exact"/>
              <w:rPr>
                <w:sz w:val="20"/>
                <w:szCs w:val="20"/>
                <w:color w:val="auto"/>
              </w:rPr>
            </w:pPr>
            <w:r>
              <w:rPr>
                <w:rFonts w:ascii="Arial" w:cs="Arial" w:eastAsia="Arial" w:hAnsi="Arial"/>
                <w:sz w:val="16"/>
                <w:szCs w:val="16"/>
                <w:color w:val="auto"/>
              </w:rPr>
              <w:t>1,299,999</w:t>
            </w:r>
          </w:p>
        </w:tc>
        <w:tc>
          <w:tcPr>
            <w:tcW w:w="1100" w:type="dxa"/>
            <w:vAlign w:val="bottom"/>
            <w:shd w:val="clear" w:color="auto" w:fill="9DBDE4"/>
          </w:tcPr>
          <w:p>
            <w:pPr>
              <w:jc w:val="right"/>
              <w:spacing w:after="0" w:line="181" w:lineRule="exact"/>
              <w:rPr>
                <w:sz w:val="20"/>
                <w:szCs w:val="20"/>
                <w:color w:val="auto"/>
              </w:rPr>
            </w:pPr>
            <w:r>
              <w:rPr>
                <w:rFonts w:ascii="Arial" w:cs="Arial" w:eastAsia="Arial" w:hAnsi="Arial"/>
                <w:sz w:val="16"/>
                <w:szCs w:val="16"/>
                <w:color w:val="auto"/>
              </w:rPr>
              <w:t>465,000</w:t>
            </w:r>
          </w:p>
        </w:tc>
        <w:tc>
          <w:tcPr>
            <w:tcW w:w="1140" w:type="dxa"/>
            <w:vAlign w:val="bottom"/>
            <w:shd w:val="clear" w:color="auto" w:fill="9DBDE4"/>
          </w:tcPr>
          <w:p>
            <w:pPr>
              <w:jc w:val="right"/>
              <w:ind w:right="24"/>
              <w:spacing w:after="0" w:line="181" w:lineRule="exact"/>
              <w:rPr>
                <w:sz w:val="20"/>
                <w:szCs w:val="20"/>
                <w:color w:val="auto"/>
              </w:rPr>
            </w:pPr>
            <w:r>
              <w:rPr>
                <w:rFonts w:ascii="Arial" w:cs="Arial" w:eastAsia="Arial" w:hAnsi="Arial"/>
                <w:sz w:val="16"/>
                <w:szCs w:val="16"/>
                <w:color w:val="auto"/>
              </w:rPr>
              <w:t>159,646</w:t>
            </w:r>
          </w:p>
        </w:tc>
        <w:tc>
          <w:tcPr>
            <w:tcW w:w="960" w:type="dxa"/>
            <w:vAlign w:val="bottom"/>
            <w:shd w:val="clear" w:color="auto" w:fill="9DBDE4"/>
          </w:tcPr>
          <w:p>
            <w:pPr>
              <w:jc w:val="right"/>
              <w:ind w:right="4"/>
              <w:spacing w:after="0" w:line="181" w:lineRule="exact"/>
              <w:rPr>
                <w:sz w:val="20"/>
                <w:szCs w:val="20"/>
                <w:color w:val="auto"/>
              </w:rPr>
            </w:pPr>
            <w:r>
              <w:rPr>
                <w:rFonts w:ascii="Arial" w:cs="Arial" w:eastAsia="Arial" w:hAnsi="Arial"/>
                <w:sz w:val="16"/>
                <w:szCs w:val="16"/>
                <w:color w:val="auto"/>
              </w:rPr>
              <w:t>2,549,645</w:t>
            </w:r>
          </w:p>
        </w:tc>
        <w:tc>
          <w:tcPr>
            <w:tcW w:w="0" w:type="dxa"/>
            <w:vAlign w:val="bottom"/>
          </w:tcPr>
          <w:p>
            <w:pPr>
              <w:spacing w:after="0"/>
              <w:rPr>
                <w:sz w:val="1"/>
                <w:szCs w:val="1"/>
                <w:color w:val="auto"/>
              </w:rPr>
            </w:pPr>
          </w:p>
        </w:tc>
      </w:tr>
      <w:tr>
        <w:trPr>
          <w:trHeight w:val="226"/>
        </w:trPr>
        <w:tc>
          <w:tcPr>
            <w:tcW w:w="3140" w:type="dxa"/>
            <w:vAlign w:val="bottom"/>
            <w:tcBorders>
              <w:bottom w:val="single" w:sz="8" w:color="9DBDE4"/>
            </w:tcBorders>
            <w:shd w:val="clear" w:color="auto" w:fill="9DBDE4"/>
          </w:tcPr>
          <w:p>
            <w:pPr>
              <w:spacing w:after="0"/>
              <w:rPr>
                <w:sz w:val="19"/>
                <w:szCs w:val="19"/>
                <w:color w:val="auto"/>
              </w:rPr>
            </w:pPr>
          </w:p>
        </w:tc>
        <w:tc>
          <w:tcPr>
            <w:tcW w:w="580" w:type="dxa"/>
            <w:vAlign w:val="bottom"/>
            <w:tcBorders>
              <w:bottom w:val="single" w:sz="8" w:color="9DBDE4"/>
            </w:tcBorders>
            <w:shd w:val="clear" w:color="auto" w:fill="9DBDE4"/>
          </w:tcPr>
          <w:p>
            <w:pPr>
              <w:ind w:left="120"/>
              <w:spacing w:after="0"/>
              <w:rPr>
                <w:sz w:val="20"/>
                <w:szCs w:val="20"/>
                <w:color w:val="auto"/>
              </w:rPr>
            </w:pPr>
            <w:r>
              <w:rPr>
                <w:rFonts w:ascii="Arial" w:cs="Arial" w:eastAsia="Arial" w:hAnsi="Arial"/>
                <w:sz w:val="16"/>
                <w:szCs w:val="16"/>
                <w:color w:val="auto"/>
              </w:rPr>
              <w:t>2020</w:t>
            </w:r>
          </w:p>
        </w:tc>
        <w:tc>
          <w:tcPr>
            <w:tcW w:w="760" w:type="dxa"/>
            <w:vAlign w:val="bottom"/>
            <w:tcBorders>
              <w:bottom w:val="single" w:sz="8" w:color="9DBDE4"/>
            </w:tcBorders>
            <w:shd w:val="clear" w:color="auto" w:fill="9DBDE4"/>
          </w:tcPr>
          <w:p>
            <w:pPr>
              <w:jc w:val="right"/>
              <w:ind w:right="24"/>
              <w:spacing w:after="0"/>
              <w:rPr>
                <w:sz w:val="20"/>
                <w:szCs w:val="20"/>
                <w:color w:val="auto"/>
              </w:rPr>
            </w:pPr>
            <w:r>
              <w:rPr>
                <w:rFonts w:ascii="Arial" w:cs="Arial" w:eastAsia="Arial" w:hAnsi="Arial"/>
                <w:sz w:val="16"/>
                <w:szCs w:val="16"/>
                <w:color w:val="auto"/>
              </w:rPr>
              <w:t>375,000</w:t>
            </w:r>
          </w:p>
        </w:tc>
        <w:tc>
          <w:tcPr>
            <w:tcW w:w="760" w:type="dxa"/>
            <w:vAlign w:val="bottom"/>
            <w:tcBorders>
              <w:bottom w:val="single" w:sz="8" w:color="9DBDE4"/>
            </w:tcBorders>
            <w:shd w:val="clear" w:color="auto" w:fill="9DBDE4"/>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DBDE4"/>
            </w:tcBorders>
            <w:shd w:val="clear" w:color="auto" w:fill="9DBDE4"/>
          </w:tcPr>
          <w:p>
            <w:pPr>
              <w:jc w:val="right"/>
              <w:ind w:right="4"/>
              <w:spacing w:after="0"/>
              <w:rPr>
                <w:sz w:val="20"/>
                <w:szCs w:val="20"/>
                <w:color w:val="auto"/>
              </w:rPr>
            </w:pPr>
            <w:r>
              <w:rPr>
                <w:rFonts w:ascii="Arial" w:cs="Arial" w:eastAsia="Arial" w:hAnsi="Arial"/>
                <w:sz w:val="16"/>
                <w:szCs w:val="16"/>
                <w:color w:val="auto"/>
              </w:rPr>
              <w:t>1,099,993</w:t>
            </w:r>
          </w:p>
        </w:tc>
        <w:tc>
          <w:tcPr>
            <w:tcW w:w="1100" w:type="dxa"/>
            <w:vAlign w:val="bottom"/>
            <w:tcBorders>
              <w:bottom w:val="single" w:sz="8" w:color="9DBDE4"/>
            </w:tcBorders>
            <w:shd w:val="clear" w:color="auto" w:fill="9DBDE4"/>
          </w:tcPr>
          <w:p>
            <w:pPr>
              <w:jc w:val="right"/>
              <w:spacing w:after="0"/>
              <w:rPr>
                <w:sz w:val="20"/>
                <w:szCs w:val="20"/>
                <w:color w:val="auto"/>
              </w:rPr>
            </w:pPr>
            <w:r>
              <w:rPr>
                <w:rFonts w:ascii="Arial" w:cs="Arial" w:eastAsia="Arial" w:hAnsi="Arial"/>
                <w:sz w:val="16"/>
                <w:szCs w:val="16"/>
                <w:color w:val="auto"/>
              </w:rPr>
              <w:t>187,500</w:t>
            </w:r>
          </w:p>
        </w:tc>
        <w:tc>
          <w:tcPr>
            <w:tcW w:w="1140" w:type="dxa"/>
            <w:vAlign w:val="bottom"/>
            <w:tcBorders>
              <w:bottom w:val="single" w:sz="8" w:color="9DBDE4"/>
            </w:tcBorders>
            <w:shd w:val="clear" w:color="auto" w:fill="9DBDE4"/>
          </w:tcPr>
          <w:p>
            <w:pPr>
              <w:jc w:val="right"/>
              <w:ind w:right="24"/>
              <w:spacing w:after="0"/>
              <w:rPr>
                <w:sz w:val="20"/>
                <w:szCs w:val="20"/>
                <w:color w:val="auto"/>
              </w:rPr>
            </w:pPr>
            <w:r>
              <w:rPr>
                <w:rFonts w:ascii="Arial" w:cs="Arial" w:eastAsia="Arial" w:hAnsi="Arial"/>
                <w:sz w:val="16"/>
                <w:szCs w:val="16"/>
                <w:color w:val="auto"/>
              </w:rPr>
              <w:t>6,080</w:t>
            </w:r>
          </w:p>
        </w:tc>
        <w:tc>
          <w:tcPr>
            <w:tcW w:w="960" w:type="dxa"/>
            <w:vAlign w:val="bottom"/>
            <w:tcBorders>
              <w:bottom w:val="single" w:sz="8" w:color="9DBDE4"/>
            </w:tcBorders>
            <w:shd w:val="clear" w:color="auto" w:fill="9DBDE4"/>
          </w:tcPr>
          <w:p>
            <w:pPr>
              <w:jc w:val="right"/>
              <w:ind w:right="4"/>
              <w:spacing w:after="0"/>
              <w:rPr>
                <w:sz w:val="20"/>
                <w:szCs w:val="20"/>
                <w:color w:val="auto"/>
              </w:rPr>
            </w:pPr>
            <w:r>
              <w:rPr>
                <w:rFonts w:ascii="Arial" w:cs="Arial" w:eastAsia="Arial" w:hAnsi="Arial"/>
                <w:sz w:val="16"/>
                <w:szCs w:val="16"/>
                <w:color w:val="auto"/>
              </w:rPr>
              <w:t>1,668,573</w:t>
            </w:r>
          </w:p>
        </w:tc>
        <w:tc>
          <w:tcPr>
            <w:tcW w:w="0" w:type="dxa"/>
            <w:vAlign w:val="bottom"/>
          </w:tcPr>
          <w:p>
            <w:pPr>
              <w:spacing w:after="0"/>
              <w:rPr>
                <w:sz w:val="1"/>
                <w:szCs w:val="1"/>
                <w:color w:val="auto"/>
              </w:rPr>
            </w:pPr>
          </w:p>
        </w:tc>
      </w:tr>
      <w:tr>
        <w:trPr>
          <w:trHeight w:val="221"/>
        </w:trPr>
        <w:tc>
          <w:tcPr>
            <w:tcW w:w="3140" w:type="dxa"/>
            <w:vAlign w:val="bottom"/>
          </w:tcPr>
          <w:p>
            <w:pPr>
              <w:ind w:left="60"/>
              <w:spacing w:after="0"/>
              <w:rPr>
                <w:sz w:val="20"/>
                <w:szCs w:val="20"/>
                <w:color w:val="auto"/>
              </w:rPr>
            </w:pPr>
            <w:r>
              <w:rPr>
                <w:rFonts w:ascii="Arial" w:cs="Arial" w:eastAsia="Arial" w:hAnsi="Arial"/>
                <w:sz w:val="16"/>
                <w:szCs w:val="16"/>
                <w:color w:val="auto"/>
              </w:rPr>
              <w:t>Deborah L. Guerra</w:t>
            </w:r>
          </w:p>
        </w:tc>
        <w:tc>
          <w:tcPr>
            <w:tcW w:w="580" w:type="dxa"/>
            <w:vAlign w:val="bottom"/>
          </w:tcPr>
          <w:p>
            <w:pPr>
              <w:ind w:left="120"/>
              <w:spacing w:after="0"/>
              <w:rPr>
                <w:sz w:val="20"/>
                <w:szCs w:val="20"/>
                <w:color w:val="auto"/>
              </w:rPr>
            </w:pPr>
            <w:r>
              <w:rPr>
                <w:rFonts w:ascii="Arial" w:cs="Arial" w:eastAsia="Arial" w:hAnsi="Arial"/>
                <w:sz w:val="16"/>
                <w:szCs w:val="16"/>
                <w:color w:val="auto"/>
              </w:rPr>
              <w:t>2022</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373,831</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799,998</w:t>
            </w:r>
          </w:p>
        </w:tc>
        <w:tc>
          <w:tcPr>
            <w:tcW w:w="1100" w:type="dxa"/>
            <w:vAlign w:val="bottom"/>
          </w:tcPr>
          <w:p>
            <w:pPr>
              <w:jc w:val="right"/>
              <w:spacing w:after="0"/>
              <w:rPr>
                <w:sz w:val="20"/>
                <w:szCs w:val="20"/>
                <w:color w:val="auto"/>
              </w:rPr>
            </w:pPr>
            <w:r>
              <w:rPr>
                <w:rFonts w:ascii="Arial" w:cs="Arial" w:eastAsia="Arial" w:hAnsi="Arial"/>
                <w:sz w:val="16"/>
                <w:szCs w:val="16"/>
                <w:color w:val="auto"/>
              </w:rPr>
              <w:t>300,000</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50,939</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1,524,768</w:t>
            </w:r>
          </w:p>
        </w:tc>
        <w:tc>
          <w:tcPr>
            <w:tcW w:w="0" w:type="dxa"/>
            <w:vAlign w:val="bottom"/>
          </w:tcPr>
          <w:p>
            <w:pPr>
              <w:spacing w:after="0"/>
              <w:rPr>
                <w:sz w:val="1"/>
                <w:szCs w:val="1"/>
                <w:color w:val="auto"/>
              </w:rPr>
            </w:pPr>
          </w:p>
        </w:tc>
      </w:tr>
      <w:tr>
        <w:trPr>
          <w:trHeight w:val="205"/>
        </w:trPr>
        <w:tc>
          <w:tcPr>
            <w:tcW w:w="3140" w:type="dxa"/>
            <w:vAlign w:val="bottom"/>
          </w:tcPr>
          <w:p>
            <w:pPr>
              <w:ind w:left="60"/>
              <w:spacing w:after="0"/>
              <w:rPr>
                <w:sz w:val="20"/>
                <w:szCs w:val="20"/>
                <w:color w:val="auto"/>
              </w:rPr>
            </w:pPr>
            <w:r>
              <w:rPr>
                <w:rFonts w:ascii="Arial" w:cs="Arial" w:eastAsia="Arial" w:hAnsi="Arial"/>
                <w:sz w:val="16"/>
                <w:szCs w:val="16"/>
                <w:color w:val="auto"/>
              </w:rPr>
              <w:t>Chief Product Officer</w:t>
            </w: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3140" w:type="dxa"/>
            <w:vAlign w:val="bottom"/>
            <w:shd w:val="clear" w:color="auto" w:fill="9DBDE4"/>
          </w:tcPr>
          <w:p>
            <w:pPr>
              <w:ind w:left="60"/>
              <w:spacing w:after="0"/>
              <w:rPr>
                <w:sz w:val="20"/>
                <w:szCs w:val="20"/>
                <w:color w:val="auto"/>
              </w:rPr>
            </w:pPr>
            <w:r>
              <w:rPr>
                <w:rFonts w:ascii="Arial" w:cs="Arial" w:eastAsia="Arial" w:hAnsi="Arial"/>
                <w:sz w:val="16"/>
                <w:szCs w:val="16"/>
                <w:color w:val="auto"/>
              </w:rPr>
              <w:t>Evanthia Aretakis</w:t>
            </w:r>
          </w:p>
        </w:tc>
        <w:tc>
          <w:tcPr>
            <w:tcW w:w="580" w:type="dxa"/>
            <w:vAlign w:val="bottom"/>
            <w:shd w:val="clear" w:color="auto" w:fill="9DBDE4"/>
          </w:tcPr>
          <w:p>
            <w:pPr>
              <w:ind w:left="120"/>
              <w:spacing w:after="0"/>
              <w:rPr>
                <w:sz w:val="20"/>
                <w:szCs w:val="20"/>
                <w:color w:val="auto"/>
              </w:rPr>
            </w:pPr>
            <w:r>
              <w:rPr>
                <w:rFonts w:ascii="Arial" w:cs="Arial" w:eastAsia="Arial" w:hAnsi="Arial"/>
                <w:sz w:val="16"/>
                <w:szCs w:val="16"/>
                <w:color w:val="auto"/>
              </w:rPr>
              <w:t>2022</w:t>
            </w:r>
          </w:p>
        </w:tc>
        <w:tc>
          <w:tcPr>
            <w:tcW w:w="760" w:type="dxa"/>
            <w:vAlign w:val="bottom"/>
            <w:shd w:val="clear" w:color="auto" w:fill="9DBDE4"/>
          </w:tcPr>
          <w:p>
            <w:pPr>
              <w:jc w:val="right"/>
              <w:ind w:right="24"/>
              <w:spacing w:after="0"/>
              <w:rPr>
                <w:sz w:val="20"/>
                <w:szCs w:val="20"/>
                <w:color w:val="auto"/>
              </w:rPr>
            </w:pPr>
            <w:r>
              <w:rPr>
                <w:rFonts w:ascii="Arial" w:cs="Arial" w:eastAsia="Arial" w:hAnsi="Arial"/>
                <w:sz w:val="16"/>
                <w:szCs w:val="16"/>
                <w:color w:val="auto"/>
              </w:rPr>
              <w:t>153,365</w:t>
            </w:r>
          </w:p>
        </w:tc>
        <w:tc>
          <w:tcPr>
            <w:tcW w:w="760" w:type="dxa"/>
            <w:vAlign w:val="bottom"/>
            <w:shd w:val="clear" w:color="auto" w:fill="9DBDE4"/>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9DBDE4"/>
          </w:tcPr>
          <w:p>
            <w:pPr>
              <w:jc w:val="right"/>
              <w:ind w:right="4"/>
              <w:spacing w:after="0"/>
              <w:rPr>
                <w:sz w:val="20"/>
                <w:szCs w:val="20"/>
                <w:color w:val="auto"/>
              </w:rPr>
            </w:pPr>
            <w:r>
              <w:rPr>
                <w:rFonts w:ascii="Arial" w:cs="Arial" w:eastAsia="Arial" w:hAnsi="Arial"/>
                <w:sz w:val="16"/>
                <w:szCs w:val="16"/>
                <w:color w:val="auto"/>
              </w:rPr>
              <w:t>1,899,996</w:t>
            </w:r>
          </w:p>
        </w:tc>
        <w:tc>
          <w:tcPr>
            <w:tcW w:w="1100" w:type="dxa"/>
            <w:vAlign w:val="bottom"/>
            <w:shd w:val="clear" w:color="auto" w:fill="9DBDE4"/>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9DBDE4"/>
          </w:tcPr>
          <w:p>
            <w:pPr>
              <w:jc w:val="right"/>
              <w:ind w:right="24"/>
              <w:spacing w:after="0"/>
              <w:rPr>
                <w:sz w:val="20"/>
                <w:szCs w:val="20"/>
                <w:color w:val="auto"/>
              </w:rPr>
            </w:pPr>
            <w:r>
              <w:rPr>
                <w:rFonts w:ascii="Arial" w:cs="Arial" w:eastAsia="Arial" w:hAnsi="Arial"/>
                <w:sz w:val="16"/>
                <w:szCs w:val="16"/>
                <w:color w:val="auto"/>
              </w:rPr>
              <w:t>9,275</w:t>
            </w:r>
          </w:p>
        </w:tc>
        <w:tc>
          <w:tcPr>
            <w:tcW w:w="960" w:type="dxa"/>
            <w:vAlign w:val="bottom"/>
            <w:shd w:val="clear" w:color="auto" w:fill="9DBDE4"/>
          </w:tcPr>
          <w:p>
            <w:pPr>
              <w:jc w:val="right"/>
              <w:ind w:right="4"/>
              <w:spacing w:after="0"/>
              <w:rPr>
                <w:sz w:val="20"/>
                <w:szCs w:val="20"/>
                <w:color w:val="auto"/>
              </w:rPr>
            </w:pPr>
            <w:r>
              <w:rPr>
                <w:rFonts w:ascii="Arial" w:cs="Arial" w:eastAsia="Arial" w:hAnsi="Arial"/>
                <w:sz w:val="16"/>
                <w:szCs w:val="16"/>
                <w:color w:val="auto"/>
              </w:rPr>
              <w:t>2,062,636</w:t>
            </w:r>
          </w:p>
        </w:tc>
        <w:tc>
          <w:tcPr>
            <w:tcW w:w="0" w:type="dxa"/>
            <w:vAlign w:val="bottom"/>
          </w:tcPr>
          <w:p>
            <w:pPr>
              <w:spacing w:after="0"/>
              <w:rPr>
                <w:sz w:val="1"/>
                <w:szCs w:val="1"/>
                <w:color w:val="auto"/>
              </w:rPr>
            </w:pPr>
          </w:p>
        </w:tc>
      </w:tr>
      <w:tr>
        <w:trPr>
          <w:trHeight w:val="181"/>
        </w:trPr>
        <w:tc>
          <w:tcPr>
            <w:tcW w:w="3140" w:type="dxa"/>
            <w:vAlign w:val="bottom"/>
            <w:shd w:val="clear" w:color="auto" w:fill="9DBDE4"/>
          </w:tcPr>
          <w:p>
            <w:pPr>
              <w:ind w:left="60"/>
              <w:spacing w:after="0" w:line="181" w:lineRule="exact"/>
              <w:rPr>
                <w:sz w:val="20"/>
                <w:szCs w:val="20"/>
                <w:color w:val="auto"/>
              </w:rPr>
            </w:pPr>
            <w:r>
              <w:rPr>
                <w:rFonts w:ascii="Arial" w:cs="Arial" w:eastAsia="Arial" w:hAnsi="Arial"/>
                <w:sz w:val="16"/>
                <w:szCs w:val="16"/>
                <w:color w:val="auto"/>
              </w:rPr>
              <w:t>Former Chief Revenue Officer</w:t>
            </w:r>
          </w:p>
        </w:tc>
        <w:tc>
          <w:tcPr>
            <w:tcW w:w="580" w:type="dxa"/>
            <w:vAlign w:val="bottom"/>
            <w:shd w:val="clear" w:color="auto" w:fill="9DBDE4"/>
          </w:tcPr>
          <w:p>
            <w:pPr>
              <w:ind w:left="120"/>
              <w:spacing w:after="0" w:line="181" w:lineRule="exact"/>
              <w:rPr>
                <w:sz w:val="20"/>
                <w:szCs w:val="20"/>
                <w:color w:val="auto"/>
              </w:rPr>
            </w:pPr>
            <w:r>
              <w:rPr>
                <w:rFonts w:ascii="Arial" w:cs="Arial" w:eastAsia="Arial" w:hAnsi="Arial"/>
                <w:sz w:val="16"/>
                <w:szCs w:val="16"/>
                <w:color w:val="auto"/>
              </w:rPr>
              <w:t>2021</w:t>
            </w:r>
          </w:p>
        </w:tc>
        <w:tc>
          <w:tcPr>
            <w:tcW w:w="760" w:type="dxa"/>
            <w:vAlign w:val="bottom"/>
            <w:shd w:val="clear" w:color="auto" w:fill="9DBDE4"/>
          </w:tcPr>
          <w:p>
            <w:pPr>
              <w:jc w:val="right"/>
              <w:ind w:right="24"/>
              <w:spacing w:after="0" w:line="181" w:lineRule="exact"/>
              <w:rPr>
                <w:sz w:val="20"/>
                <w:szCs w:val="20"/>
                <w:color w:val="auto"/>
              </w:rPr>
            </w:pPr>
            <w:r>
              <w:rPr>
                <w:rFonts w:ascii="Arial" w:cs="Arial" w:eastAsia="Arial" w:hAnsi="Arial"/>
                <w:sz w:val="16"/>
                <w:szCs w:val="16"/>
                <w:color w:val="auto"/>
              </w:rPr>
              <w:t>431,837</w:t>
            </w:r>
          </w:p>
        </w:tc>
        <w:tc>
          <w:tcPr>
            <w:tcW w:w="760" w:type="dxa"/>
            <w:vAlign w:val="bottom"/>
            <w:shd w:val="clear" w:color="auto" w:fill="9DBDE4"/>
          </w:tcPr>
          <w:p>
            <w:pPr>
              <w:jc w:val="right"/>
              <w:ind w:right="24"/>
              <w:spacing w:after="0" w:line="181" w:lineRule="exact"/>
              <w:rPr>
                <w:sz w:val="20"/>
                <w:szCs w:val="20"/>
                <w:color w:val="auto"/>
              </w:rPr>
            </w:pPr>
            <w:r>
              <w:rPr>
                <w:rFonts w:ascii="Arial" w:cs="Arial" w:eastAsia="Arial" w:hAnsi="Arial"/>
                <w:sz w:val="16"/>
                <w:szCs w:val="16"/>
                <w:color w:val="auto"/>
              </w:rPr>
              <w:t>250,000</w:t>
            </w:r>
          </w:p>
        </w:tc>
        <w:tc>
          <w:tcPr>
            <w:tcW w:w="880" w:type="dxa"/>
            <w:vAlign w:val="bottom"/>
            <w:shd w:val="clear" w:color="auto" w:fill="9DBDE4"/>
          </w:tcPr>
          <w:p>
            <w:pPr>
              <w:jc w:val="right"/>
              <w:ind w:right="4"/>
              <w:spacing w:after="0" w:line="181" w:lineRule="exact"/>
              <w:rPr>
                <w:sz w:val="20"/>
                <w:szCs w:val="20"/>
                <w:color w:val="auto"/>
              </w:rPr>
            </w:pPr>
            <w:r>
              <w:rPr>
                <w:rFonts w:ascii="Arial" w:cs="Arial" w:eastAsia="Arial" w:hAnsi="Arial"/>
                <w:sz w:val="16"/>
                <w:szCs w:val="16"/>
                <w:color w:val="auto"/>
              </w:rPr>
              <w:t>1,800,028</w:t>
            </w:r>
          </w:p>
        </w:tc>
        <w:tc>
          <w:tcPr>
            <w:tcW w:w="1100" w:type="dxa"/>
            <w:vAlign w:val="bottom"/>
            <w:shd w:val="clear" w:color="auto" w:fill="9DBDE4"/>
          </w:tcPr>
          <w:p>
            <w:pPr>
              <w:jc w:val="right"/>
              <w:spacing w:after="0" w:line="181" w:lineRule="exact"/>
              <w:rPr>
                <w:sz w:val="20"/>
                <w:szCs w:val="20"/>
                <w:color w:val="auto"/>
              </w:rPr>
            </w:pPr>
            <w:r>
              <w:rPr>
                <w:rFonts w:ascii="Arial" w:cs="Arial" w:eastAsia="Arial" w:hAnsi="Arial"/>
                <w:sz w:val="16"/>
                <w:szCs w:val="16"/>
                <w:color w:val="auto"/>
              </w:rPr>
              <w:t>539,400</w:t>
            </w:r>
          </w:p>
        </w:tc>
        <w:tc>
          <w:tcPr>
            <w:tcW w:w="1140" w:type="dxa"/>
            <w:vAlign w:val="bottom"/>
            <w:shd w:val="clear" w:color="auto" w:fill="9DBDE4"/>
          </w:tcPr>
          <w:p>
            <w:pPr>
              <w:jc w:val="right"/>
              <w:ind w:right="24"/>
              <w:spacing w:after="0" w:line="181" w:lineRule="exact"/>
              <w:rPr>
                <w:sz w:val="20"/>
                <w:szCs w:val="20"/>
                <w:color w:val="auto"/>
              </w:rPr>
            </w:pPr>
            <w:r>
              <w:rPr>
                <w:rFonts w:ascii="Arial" w:cs="Arial" w:eastAsia="Arial" w:hAnsi="Arial"/>
                <w:sz w:val="16"/>
                <w:szCs w:val="16"/>
                <w:color w:val="auto"/>
              </w:rPr>
              <w:t>168,329</w:t>
            </w:r>
          </w:p>
        </w:tc>
        <w:tc>
          <w:tcPr>
            <w:tcW w:w="960" w:type="dxa"/>
            <w:vAlign w:val="bottom"/>
            <w:shd w:val="clear" w:color="auto" w:fill="9DBDE4"/>
          </w:tcPr>
          <w:p>
            <w:pPr>
              <w:jc w:val="right"/>
              <w:ind w:right="4"/>
              <w:spacing w:after="0" w:line="181" w:lineRule="exact"/>
              <w:rPr>
                <w:sz w:val="20"/>
                <w:szCs w:val="20"/>
                <w:color w:val="auto"/>
              </w:rPr>
            </w:pPr>
            <w:r>
              <w:rPr>
                <w:rFonts w:ascii="Arial" w:cs="Arial" w:eastAsia="Arial" w:hAnsi="Arial"/>
                <w:sz w:val="16"/>
                <w:szCs w:val="16"/>
                <w:color w:val="auto"/>
              </w:rPr>
              <w:t>3,189,593</w:t>
            </w:r>
          </w:p>
        </w:tc>
        <w:tc>
          <w:tcPr>
            <w:tcW w:w="0" w:type="dxa"/>
            <w:vAlign w:val="bottom"/>
          </w:tcPr>
          <w:p>
            <w:pPr>
              <w:spacing w:after="0"/>
              <w:rPr>
                <w:sz w:val="1"/>
                <w:szCs w:val="1"/>
                <w:color w:val="auto"/>
              </w:rPr>
            </w:pPr>
          </w:p>
        </w:tc>
      </w:tr>
      <w:tr>
        <w:trPr>
          <w:trHeight w:val="226"/>
        </w:trPr>
        <w:tc>
          <w:tcPr>
            <w:tcW w:w="3140" w:type="dxa"/>
            <w:vAlign w:val="bottom"/>
            <w:tcBorders>
              <w:bottom w:val="single" w:sz="8" w:color="9DBDE4"/>
            </w:tcBorders>
            <w:shd w:val="clear" w:color="auto" w:fill="9DBDE4"/>
          </w:tcPr>
          <w:p>
            <w:pPr>
              <w:spacing w:after="0"/>
              <w:rPr>
                <w:sz w:val="19"/>
                <w:szCs w:val="19"/>
                <w:color w:val="auto"/>
              </w:rPr>
            </w:pPr>
          </w:p>
        </w:tc>
        <w:tc>
          <w:tcPr>
            <w:tcW w:w="580" w:type="dxa"/>
            <w:vAlign w:val="bottom"/>
            <w:tcBorders>
              <w:bottom w:val="single" w:sz="8" w:color="9DBDE4"/>
            </w:tcBorders>
            <w:shd w:val="clear" w:color="auto" w:fill="9DBDE4"/>
          </w:tcPr>
          <w:p>
            <w:pPr>
              <w:ind w:left="120"/>
              <w:spacing w:after="0"/>
              <w:rPr>
                <w:sz w:val="20"/>
                <w:szCs w:val="20"/>
                <w:color w:val="auto"/>
              </w:rPr>
            </w:pPr>
            <w:r>
              <w:rPr>
                <w:rFonts w:ascii="Arial" w:cs="Arial" w:eastAsia="Arial" w:hAnsi="Arial"/>
                <w:sz w:val="16"/>
                <w:szCs w:val="16"/>
                <w:color w:val="auto"/>
              </w:rPr>
              <w:t>2020</w:t>
            </w:r>
          </w:p>
        </w:tc>
        <w:tc>
          <w:tcPr>
            <w:tcW w:w="760" w:type="dxa"/>
            <w:vAlign w:val="bottom"/>
            <w:tcBorders>
              <w:bottom w:val="single" w:sz="8" w:color="9DBDE4"/>
            </w:tcBorders>
            <w:shd w:val="clear" w:color="auto" w:fill="9DBDE4"/>
          </w:tcPr>
          <w:p>
            <w:pPr>
              <w:jc w:val="right"/>
              <w:ind w:right="24"/>
              <w:spacing w:after="0"/>
              <w:rPr>
                <w:sz w:val="20"/>
                <w:szCs w:val="20"/>
                <w:color w:val="auto"/>
              </w:rPr>
            </w:pPr>
            <w:r>
              <w:rPr>
                <w:rFonts w:ascii="Arial" w:cs="Arial" w:eastAsia="Arial" w:hAnsi="Arial"/>
                <w:sz w:val="16"/>
                <w:szCs w:val="16"/>
                <w:color w:val="auto"/>
              </w:rPr>
              <w:t>395,000</w:t>
            </w:r>
          </w:p>
        </w:tc>
        <w:tc>
          <w:tcPr>
            <w:tcW w:w="760" w:type="dxa"/>
            <w:vAlign w:val="bottom"/>
            <w:tcBorders>
              <w:bottom w:val="single" w:sz="8" w:color="9DBDE4"/>
            </w:tcBorders>
            <w:shd w:val="clear" w:color="auto" w:fill="9DBDE4"/>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DBDE4"/>
            </w:tcBorders>
            <w:shd w:val="clear" w:color="auto" w:fill="9DBDE4"/>
          </w:tcPr>
          <w:p>
            <w:pPr>
              <w:jc w:val="right"/>
              <w:ind w:right="4"/>
              <w:spacing w:after="0"/>
              <w:rPr>
                <w:sz w:val="20"/>
                <w:szCs w:val="20"/>
                <w:color w:val="auto"/>
              </w:rPr>
            </w:pPr>
            <w:r>
              <w:rPr>
                <w:rFonts w:ascii="Arial" w:cs="Arial" w:eastAsia="Arial" w:hAnsi="Arial"/>
                <w:sz w:val="16"/>
                <w:szCs w:val="16"/>
                <w:color w:val="auto"/>
              </w:rPr>
              <w:t>1,249,981</w:t>
            </w:r>
          </w:p>
        </w:tc>
        <w:tc>
          <w:tcPr>
            <w:tcW w:w="1100" w:type="dxa"/>
            <w:vAlign w:val="bottom"/>
            <w:tcBorders>
              <w:bottom w:val="single" w:sz="8" w:color="9DBDE4"/>
            </w:tcBorders>
            <w:shd w:val="clear" w:color="auto" w:fill="9DBDE4"/>
          </w:tcPr>
          <w:p>
            <w:pPr>
              <w:jc w:val="right"/>
              <w:spacing w:after="0"/>
              <w:rPr>
                <w:sz w:val="20"/>
                <w:szCs w:val="20"/>
                <w:color w:val="auto"/>
              </w:rPr>
            </w:pPr>
            <w:r>
              <w:rPr>
                <w:rFonts w:ascii="Arial" w:cs="Arial" w:eastAsia="Arial" w:hAnsi="Arial"/>
                <w:sz w:val="16"/>
                <w:szCs w:val="16"/>
                <w:color w:val="auto"/>
              </w:rPr>
              <w:t>197,500</w:t>
            </w:r>
          </w:p>
        </w:tc>
        <w:tc>
          <w:tcPr>
            <w:tcW w:w="1140" w:type="dxa"/>
            <w:vAlign w:val="bottom"/>
            <w:tcBorders>
              <w:bottom w:val="single" w:sz="8" w:color="9DBDE4"/>
            </w:tcBorders>
            <w:shd w:val="clear" w:color="auto" w:fill="9DBDE4"/>
          </w:tcPr>
          <w:p>
            <w:pPr>
              <w:jc w:val="right"/>
              <w:ind w:right="24"/>
              <w:spacing w:after="0"/>
              <w:rPr>
                <w:sz w:val="20"/>
                <w:szCs w:val="20"/>
                <w:color w:val="auto"/>
              </w:rPr>
            </w:pPr>
            <w:r>
              <w:rPr>
                <w:rFonts w:ascii="Arial" w:cs="Arial" w:eastAsia="Arial" w:hAnsi="Arial"/>
                <w:sz w:val="16"/>
                <w:szCs w:val="16"/>
                <w:color w:val="auto"/>
              </w:rPr>
              <w:t>6,080</w:t>
            </w:r>
          </w:p>
        </w:tc>
        <w:tc>
          <w:tcPr>
            <w:tcW w:w="960" w:type="dxa"/>
            <w:vAlign w:val="bottom"/>
            <w:tcBorders>
              <w:bottom w:val="single" w:sz="8" w:color="9DBDE4"/>
            </w:tcBorders>
            <w:shd w:val="clear" w:color="auto" w:fill="9DBDE4"/>
          </w:tcPr>
          <w:p>
            <w:pPr>
              <w:jc w:val="right"/>
              <w:ind w:right="4"/>
              <w:spacing w:after="0"/>
              <w:rPr>
                <w:sz w:val="20"/>
                <w:szCs w:val="20"/>
                <w:color w:val="auto"/>
              </w:rPr>
            </w:pPr>
            <w:r>
              <w:rPr>
                <w:rFonts w:ascii="Arial" w:cs="Arial" w:eastAsia="Arial" w:hAnsi="Arial"/>
                <w:sz w:val="16"/>
                <w:szCs w:val="16"/>
                <w:color w:val="auto"/>
              </w:rPr>
              <w:t>1,848,561</w:t>
            </w:r>
          </w:p>
        </w:tc>
        <w:tc>
          <w:tcPr>
            <w:tcW w:w="0" w:type="dxa"/>
            <w:vAlign w:val="bottom"/>
          </w:tcPr>
          <w:p>
            <w:pPr>
              <w:spacing w:after="0"/>
              <w:rPr>
                <w:sz w:val="1"/>
                <w:szCs w:val="1"/>
                <w:color w:val="auto"/>
              </w:rPr>
            </w:pPr>
          </w:p>
        </w:tc>
      </w:tr>
      <w:tr>
        <w:trPr>
          <w:trHeight w:val="20"/>
        </w:trPr>
        <w:tc>
          <w:tcPr>
            <w:tcW w:w="3140" w:type="dxa"/>
            <w:vAlign w:val="bottom"/>
            <w:shd w:val="clear" w:color="auto" w:fill="284993"/>
          </w:tcPr>
          <w:p>
            <w:pPr>
              <w:spacing w:after="0" w:line="20" w:lineRule="exact"/>
              <w:rPr>
                <w:sz w:val="1"/>
                <w:szCs w:val="1"/>
                <w:color w:val="auto"/>
              </w:rPr>
            </w:pPr>
          </w:p>
        </w:tc>
        <w:tc>
          <w:tcPr>
            <w:tcW w:w="580" w:type="dxa"/>
            <w:vAlign w:val="bottom"/>
            <w:shd w:val="clear" w:color="auto" w:fill="284993"/>
          </w:tcPr>
          <w:p>
            <w:pPr>
              <w:spacing w:after="0" w:line="20" w:lineRule="exact"/>
              <w:rPr>
                <w:sz w:val="1"/>
                <w:szCs w:val="1"/>
                <w:color w:val="auto"/>
              </w:rPr>
            </w:pPr>
          </w:p>
        </w:tc>
        <w:tc>
          <w:tcPr>
            <w:tcW w:w="760" w:type="dxa"/>
            <w:vAlign w:val="bottom"/>
            <w:shd w:val="clear" w:color="auto" w:fill="284993"/>
          </w:tcPr>
          <w:p>
            <w:pPr>
              <w:spacing w:after="0" w:line="20" w:lineRule="exact"/>
              <w:rPr>
                <w:sz w:val="1"/>
                <w:szCs w:val="1"/>
                <w:color w:val="auto"/>
              </w:rPr>
            </w:pPr>
          </w:p>
        </w:tc>
        <w:tc>
          <w:tcPr>
            <w:tcW w:w="760" w:type="dxa"/>
            <w:vAlign w:val="bottom"/>
            <w:shd w:val="clear" w:color="auto" w:fill="284993"/>
          </w:tcPr>
          <w:p>
            <w:pPr>
              <w:spacing w:after="0" w:line="20" w:lineRule="exact"/>
              <w:rPr>
                <w:sz w:val="1"/>
                <w:szCs w:val="1"/>
                <w:color w:val="auto"/>
              </w:rPr>
            </w:pPr>
          </w:p>
        </w:tc>
        <w:tc>
          <w:tcPr>
            <w:tcW w:w="880" w:type="dxa"/>
            <w:vAlign w:val="bottom"/>
            <w:shd w:val="clear" w:color="auto" w:fill="284993"/>
          </w:tcPr>
          <w:p>
            <w:pPr>
              <w:spacing w:after="0" w:line="20" w:lineRule="exact"/>
              <w:rPr>
                <w:sz w:val="1"/>
                <w:szCs w:val="1"/>
                <w:color w:val="auto"/>
              </w:rPr>
            </w:pPr>
          </w:p>
        </w:tc>
        <w:tc>
          <w:tcPr>
            <w:tcW w:w="1100" w:type="dxa"/>
            <w:vAlign w:val="bottom"/>
            <w:shd w:val="clear" w:color="auto" w:fill="284993"/>
          </w:tcPr>
          <w:p>
            <w:pPr>
              <w:spacing w:after="0" w:line="20" w:lineRule="exact"/>
              <w:rPr>
                <w:sz w:val="1"/>
                <w:szCs w:val="1"/>
                <w:color w:val="auto"/>
              </w:rPr>
            </w:pPr>
          </w:p>
        </w:tc>
        <w:tc>
          <w:tcPr>
            <w:tcW w:w="1140" w:type="dxa"/>
            <w:vAlign w:val="bottom"/>
            <w:shd w:val="clear" w:color="auto" w:fill="284993"/>
          </w:tcPr>
          <w:p>
            <w:pPr>
              <w:spacing w:after="0" w:line="20" w:lineRule="exact"/>
              <w:rPr>
                <w:sz w:val="1"/>
                <w:szCs w:val="1"/>
                <w:color w:val="auto"/>
              </w:rPr>
            </w:pPr>
          </w:p>
        </w:tc>
        <w:tc>
          <w:tcPr>
            <w:tcW w:w="960" w:type="dxa"/>
            <w:vAlign w:val="bottom"/>
            <w:shd w:val="clear" w:color="auto" w:fill="28499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5297170</wp:posOffset>
            </wp:positionH>
            <wp:positionV relativeFrom="paragraph">
              <wp:posOffset>-426720</wp:posOffset>
            </wp:positionV>
            <wp:extent cx="8255" cy="4273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4273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-426720</wp:posOffset>
            </wp:positionV>
            <wp:extent cx="8255" cy="4273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427355"/>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-426720</wp:posOffset>
            </wp:positionV>
            <wp:extent cx="8255" cy="4273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4273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-426720</wp:posOffset>
            </wp:positionV>
            <wp:extent cx="8255" cy="4273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427355"/>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-426720</wp:posOffset>
            </wp:positionV>
            <wp:extent cx="8255" cy="4273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4273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-426720</wp:posOffset>
            </wp:positionV>
            <wp:extent cx="8255" cy="4273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427355"/>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-426720</wp:posOffset>
            </wp:positionV>
            <wp:extent cx="8255" cy="4273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427355"/>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-1150620</wp:posOffset>
            </wp:positionV>
            <wp:extent cx="8255" cy="419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41910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-1150620</wp:posOffset>
            </wp:positionV>
            <wp:extent cx="8255" cy="419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41910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-1150620</wp:posOffset>
            </wp:positionV>
            <wp:extent cx="8255" cy="419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41910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-1150620</wp:posOffset>
            </wp:positionV>
            <wp:extent cx="8255" cy="419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419100"/>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-1150620</wp:posOffset>
            </wp:positionV>
            <wp:extent cx="8255" cy="419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41910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-1150620</wp:posOffset>
            </wp:positionV>
            <wp:extent cx="8255" cy="419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419100"/>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-1150620</wp:posOffset>
            </wp:positionV>
            <wp:extent cx="8255" cy="419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41910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-1758950</wp:posOffset>
            </wp:positionV>
            <wp:extent cx="8255" cy="3041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30416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-1758950</wp:posOffset>
            </wp:positionV>
            <wp:extent cx="8255" cy="3041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304165"/>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-1758950</wp:posOffset>
            </wp:positionV>
            <wp:extent cx="8255" cy="3041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30416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-1758950</wp:posOffset>
            </wp:positionV>
            <wp:extent cx="8255" cy="3041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304165"/>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-1758950</wp:posOffset>
            </wp:positionV>
            <wp:extent cx="8255" cy="3041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30416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-1758950</wp:posOffset>
            </wp:positionV>
            <wp:extent cx="8255" cy="3041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304165"/>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-1758950</wp:posOffset>
            </wp:positionV>
            <wp:extent cx="8255" cy="3041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304165"/>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-2482850</wp:posOffset>
            </wp:positionV>
            <wp:extent cx="8255" cy="4521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45212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-2482850</wp:posOffset>
            </wp:positionV>
            <wp:extent cx="8255" cy="4521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45212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-2482850</wp:posOffset>
            </wp:positionV>
            <wp:extent cx="8255" cy="4521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4521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-2482850</wp:posOffset>
            </wp:positionV>
            <wp:extent cx="8255" cy="4521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452120"/>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-2482850</wp:posOffset>
            </wp:positionV>
            <wp:extent cx="8255" cy="4521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45212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-2482850</wp:posOffset>
            </wp:positionV>
            <wp:extent cx="8255" cy="4521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452120"/>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-2482850</wp:posOffset>
            </wp:positionV>
            <wp:extent cx="8255" cy="4521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452120"/>
                    </a:xfrm>
                    <a:prstGeom prst="rect">
                      <a:avLst/>
                    </a:prstGeom>
                    <a:noFill/>
                  </pic:spPr>
                </pic:pic>
              </a:graphicData>
            </a:graphic>
          </wp:anchor>
        </w:drawing>
      </w:r>
    </w:p>
    <w:p>
      <w:pPr>
        <w:spacing w:after="0" w:line="89" w:lineRule="exact"/>
        <w:rPr>
          <w:sz w:val="20"/>
          <w:szCs w:val="20"/>
          <w:color w:val="auto"/>
        </w:rPr>
      </w:pPr>
    </w:p>
    <w:p>
      <w:pPr>
        <w:ind w:left="360" w:right="780" w:hanging="358"/>
        <w:spacing w:after="0" w:line="192" w:lineRule="auto"/>
        <w:tabs>
          <w:tab w:leader="none" w:pos="360" w:val="left"/>
        </w:tabs>
        <w:numPr>
          <w:ilvl w:val="0"/>
          <w:numId w:val="51"/>
        </w:numPr>
        <w:rPr>
          <w:rFonts w:ascii="Arial" w:cs="Arial" w:eastAsia="Arial" w:hAnsi="Arial"/>
          <w:sz w:val="21"/>
          <w:szCs w:val="21"/>
          <w:color w:val="auto"/>
          <w:vertAlign w:val="superscript"/>
        </w:rPr>
      </w:pPr>
      <w:r>
        <w:rPr>
          <w:rFonts w:ascii="Arial" w:cs="Arial" w:eastAsia="Arial" w:hAnsi="Arial"/>
          <w:sz w:val="14"/>
          <w:szCs w:val="14"/>
          <w:color w:val="auto"/>
        </w:rPr>
        <w:t>Column (d) consists of bonuses of $225,000 for Mr. Silva and $300,000 for Mr. Puppala that were made in 2022 pursuant to their 2021 employment offers.</w:t>
      </w:r>
    </w:p>
    <w:p>
      <w:pPr>
        <w:ind w:left="360" w:right="80" w:hanging="358"/>
        <w:spacing w:after="0" w:line="233" w:lineRule="auto"/>
        <w:tabs>
          <w:tab w:leader="none" w:pos="360" w:val="left"/>
        </w:tabs>
        <w:numPr>
          <w:ilvl w:val="0"/>
          <w:numId w:val="51"/>
        </w:numPr>
        <w:rPr>
          <w:rFonts w:ascii="Arial" w:cs="Arial" w:eastAsia="Arial" w:hAnsi="Arial"/>
          <w:sz w:val="20"/>
          <w:szCs w:val="20"/>
          <w:color w:val="auto"/>
          <w:vertAlign w:val="superscript"/>
        </w:rPr>
      </w:pPr>
      <w:r>
        <w:rPr>
          <w:rFonts w:ascii="Arial" w:cs="Arial" w:eastAsia="Arial" w:hAnsi="Arial"/>
          <w:sz w:val="13"/>
          <w:szCs w:val="13"/>
          <w:color w:val="auto"/>
        </w:rPr>
        <w:t>The amounts in column (e) reflect the aggregate grant date fair value of the RSU awards and the performance share awards granted during the respective fiscal year as computed in accordance with FASB ASC Topic 718, excluding the effect of estimated forfeitures. The amounts shown do not necessarily correspond to the actual value that will be recognized by a Named Executive Officer. The assumptions used in the calculation of these amounts are included in footnote 11 to the Company’s audited consolidated financial statements for the year ended December 31, 2022, included in our Annual Report. The grant date fair values included in column (e) are based upon the probable outcome of the performance conditions. Assuming maximum performance with respect to the applicable performance objectives, the grant date fair values for the performance shares would be as follows: for Mr. Almeida, $9,749,960; for Mr. Behrens, $2,600,035; for Mr Puppala, $1,899,986; for Mr. Silva, $599,968; for Ms. Aretakis, $1,899,986; for Mr. Wilmot, $1,400,012; for Ms Guerra, $450,019; and Mr. Warsop did not receive any PSUs award in 2022.</w:t>
      </w:r>
    </w:p>
    <w:p>
      <w:pPr>
        <w:spacing w:after="0" w:line="4" w:lineRule="exact"/>
        <w:rPr>
          <w:rFonts w:ascii="Arial" w:cs="Arial" w:eastAsia="Arial" w:hAnsi="Arial"/>
          <w:sz w:val="20"/>
          <w:szCs w:val="20"/>
          <w:color w:val="auto"/>
          <w:vertAlign w:val="superscript"/>
        </w:rPr>
      </w:pPr>
    </w:p>
    <w:p>
      <w:pPr>
        <w:ind w:left="360" w:right="160" w:hanging="358"/>
        <w:spacing w:after="0" w:line="193" w:lineRule="auto"/>
        <w:tabs>
          <w:tab w:leader="none" w:pos="360" w:val="left"/>
        </w:tabs>
        <w:numPr>
          <w:ilvl w:val="0"/>
          <w:numId w:val="51"/>
        </w:numPr>
        <w:rPr>
          <w:rFonts w:ascii="Arial" w:cs="Arial" w:eastAsia="Arial" w:hAnsi="Arial"/>
          <w:sz w:val="21"/>
          <w:szCs w:val="21"/>
          <w:color w:val="auto"/>
          <w:vertAlign w:val="superscript"/>
        </w:rPr>
      </w:pPr>
      <w:r>
        <w:rPr>
          <w:rFonts w:ascii="Arial" w:cs="Arial" w:eastAsia="Arial" w:hAnsi="Arial"/>
          <w:sz w:val="14"/>
          <w:szCs w:val="14"/>
          <w:color w:val="auto"/>
        </w:rPr>
        <w:t>The amounts in column (g) reflect compensation paid under the Company’s STIP program for the respective fiscal year. For 2022 for Mr. Silva, it also includes his SIP and SPIF payments earned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79375</wp:posOffset>
            </wp:positionV>
            <wp:extent cx="699135" cy="1314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70</w:t>
      </w:r>
    </w:p>
    <w:p>
      <w:pPr>
        <w:sectPr>
          <w:pgSz w:w="11900" w:h="16838" w:orient="portrait"/>
          <w:cols w:equalWidth="0" w:num="1">
            <w:col w:w="9320"/>
          </w:cols>
          <w:pgMar w:left="1280" w:top="253" w:right="1299" w:bottom="1440" w:gutter="0" w:footer="0" w:header="0"/>
        </w:sectPr>
      </w:pPr>
    </w:p>
    <w:bookmarkStart w:id="76" w:name="page77"/>
    <w:bookmarkEnd w:id="76"/>
    <w:p>
      <w:pPr>
        <w:ind w:left="360" w:right="140" w:hanging="358"/>
        <w:spacing w:after="0" w:line="209" w:lineRule="auto"/>
        <w:tabs>
          <w:tab w:leader="none" w:pos="360" w:val="left"/>
        </w:tabs>
        <w:numPr>
          <w:ilvl w:val="0"/>
          <w:numId w:val="52"/>
        </w:numPr>
        <w:rPr>
          <w:rFonts w:ascii="Arial" w:cs="Arial" w:eastAsia="Arial" w:hAnsi="Arial"/>
          <w:sz w:val="21"/>
          <w:szCs w:val="21"/>
          <w:color w:val="auto"/>
          <w:vertAlign w:val="super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All Other Compensation includes the following payments or accruals for each Named Executive Officer (as set forth in the “Other Compensation” table below): severance payment and continued benefits for Mr. Almeida, accrued vacation, transition services agreement compensation for Mr. Almeida, relocation benefits, employer contributions to the 401(K) plan, MBA tuition reimbursement for Mr. Puppala, corporate awards, and premiums for long-term disability (“LTD”) Insurance.</w:t>
      </w:r>
    </w:p>
    <w:p>
      <w:pPr>
        <w:spacing w:after="0" w:line="2" w:lineRule="exact"/>
        <w:rPr>
          <w:rFonts w:ascii="Arial" w:cs="Arial" w:eastAsia="Arial" w:hAnsi="Arial"/>
          <w:sz w:val="21"/>
          <w:szCs w:val="21"/>
          <w:color w:val="auto"/>
          <w:vertAlign w:val="superscript"/>
        </w:rPr>
      </w:pPr>
    </w:p>
    <w:p>
      <w:pPr>
        <w:ind w:left="360" w:hanging="358"/>
        <w:spacing w:after="0" w:line="217" w:lineRule="auto"/>
        <w:tabs>
          <w:tab w:leader="none" w:pos="360" w:val="left"/>
        </w:tabs>
        <w:numPr>
          <w:ilvl w:val="0"/>
          <w:numId w:val="52"/>
        </w:numPr>
        <w:rPr>
          <w:rFonts w:ascii="Arial" w:cs="Arial" w:eastAsia="Arial" w:hAnsi="Arial"/>
          <w:sz w:val="20"/>
          <w:szCs w:val="20"/>
          <w:color w:val="auto"/>
          <w:vertAlign w:val="superscript"/>
        </w:rPr>
      </w:pPr>
      <w:r>
        <w:rPr>
          <w:rFonts w:ascii="Arial" w:cs="Arial" w:eastAsia="Arial" w:hAnsi="Arial"/>
          <w:sz w:val="13"/>
          <w:szCs w:val="13"/>
          <w:color w:val="auto"/>
        </w:rPr>
        <w:t>Thomas W. Warsop was a director and the non-executive Chair of the Company’s Board of Directors, and his compensation for Board service ceased with his appointment as interim CEO on November 7, 2022. This table includes only the compensation for Mr. Warsop’s service as Interim CEO. His compensation for his Board service prior to his appointment as Interim CEO is set forth in the “2022 Director Compensation” table above.</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Other Compensation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60" w:type="dxa"/>
            <w:vAlign w:val="bottom"/>
            <w:shd w:val="clear" w:color="auto" w:fill="284993"/>
          </w:tcPr>
          <w:p>
            <w:pPr>
              <w:spacing w:after="0"/>
              <w:rPr>
                <w:sz w:val="12"/>
                <w:szCs w:val="12"/>
                <w:color w:val="auto"/>
              </w:rPr>
            </w:pPr>
          </w:p>
        </w:tc>
        <w:tc>
          <w:tcPr>
            <w:tcW w:w="780" w:type="dxa"/>
            <w:vAlign w:val="bottom"/>
            <w:shd w:val="clear" w:color="auto" w:fill="284993"/>
          </w:tcPr>
          <w:p>
            <w:pPr>
              <w:spacing w:after="0"/>
              <w:rPr>
                <w:sz w:val="12"/>
                <w:szCs w:val="12"/>
                <w:color w:val="auto"/>
              </w:rPr>
            </w:pPr>
          </w:p>
        </w:tc>
        <w:tc>
          <w:tcPr>
            <w:tcW w:w="620" w:type="dxa"/>
            <w:vAlign w:val="bottom"/>
            <w:shd w:val="clear" w:color="auto" w:fill="284993"/>
          </w:tcPr>
          <w:p>
            <w:pPr>
              <w:spacing w:after="0"/>
              <w:rPr>
                <w:sz w:val="12"/>
                <w:szCs w:val="12"/>
                <w:color w:val="auto"/>
              </w:rPr>
            </w:pPr>
          </w:p>
        </w:tc>
        <w:tc>
          <w:tcPr>
            <w:tcW w:w="600" w:type="dxa"/>
            <w:vAlign w:val="bottom"/>
            <w:shd w:val="clear" w:color="auto" w:fill="284993"/>
          </w:tcPr>
          <w:p>
            <w:pPr>
              <w:spacing w:after="0"/>
              <w:rPr>
                <w:sz w:val="12"/>
                <w:szCs w:val="12"/>
                <w:color w:val="auto"/>
              </w:rPr>
            </w:pPr>
          </w:p>
        </w:tc>
        <w:tc>
          <w:tcPr>
            <w:tcW w:w="720" w:type="dxa"/>
            <w:vAlign w:val="bottom"/>
            <w:shd w:val="clear" w:color="auto" w:fill="284993"/>
          </w:tcPr>
          <w:p>
            <w:pPr>
              <w:spacing w:after="0"/>
              <w:rPr>
                <w:sz w:val="12"/>
                <w:szCs w:val="12"/>
                <w:color w:val="auto"/>
              </w:rPr>
            </w:pPr>
          </w:p>
        </w:tc>
        <w:tc>
          <w:tcPr>
            <w:tcW w:w="84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Relocation</w:t>
            </w:r>
          </w:p>
        </w:tc>
        <w:tc>
          <w:tcPr>
            <w:tcW w:w="90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8"/>
              </w:rPr>
              <w:t>Employer</w:t>
            </w:r>
          </w:p>
        </w:tc>
        <w:tc>
          <w:tcPr>
            <w:tcW w:w="700" w:type="dxa"/>
            <w:vAlign w:val="bottom"/>
            <w:shd w:val="clear" w:color="auto" w:fill="284993"/>
          </w:tcPr>
          <w:p>
            <w:pPr>
              <w:spacing w:after="0"/>
              <w:rPr>
                <w:sz w:val="12"/>
                <w:szCs w:val="12"/>
                <w:color w:val="auto"/>
              </w:rPr>
            </w:pPr>
          </w:p>
        </w:tc>
        <w:tc>
          <w:tcPr>
            <w:tcW w:w="1040" w:type="dxa"/>
            <w:vAlign w:val="bottom"/>
            <w:shd w:val="clear" w:color="auto" w:fill="284993"/>
          </w:tcPr>
          <w:p>
            <w:pPr>
              <w:spacing w:after="0"/>
              <w:rPr>
                <w:sz w:val="12"/>
                <w:szCs w:val="12"/>
                <w:color w:val="auto"/>
              </w:rPr>
            </w:pPr>
          </w:p>
        </w:tc>
        <w:tc>
          <w:tcPr>
            <w:tcW w:w="720" w:type="dxa"/>
            <w:vAlign w:val="bottom"/>
            <w:shd w:val="clear" w:color="auto" w:fill="284993"/>
          </w:tcPr>
          <w:p>
            <w:pPr>
              <w:jc w:val="right"/>
              <w:spacing w:after="0"/>
              <w:rPr>
                <w:sz w:val="20"/>
                <w:szCs w:val="20"/>
                <w:color w:val="auto"/>
              </w:rPr>
            </w:pPr>
            <w:r>
              <w:rPr>
                <w:rFonts w:ascii="Arial" w:cs="Arial" w:eastAsia="Arial" w:hAnsi="Arial"/>
                <w:sz w:val="12"/>
                <w:szCs w:val="12"/>
                <w:b w:val="1"/>
                <w:bCs w:val="1"/>
                <w:color w:val="FFFFFF"/>
              </w:rPr>
              <w:t>Premiums</w:t>
            </w:r>
          </w:p>
        </w:tc>
        <w:tc>
          <w:tcPr>
            <w:tcW w:w="940" w:type="dxa"/>
            <w:vAlign w:val="bottom"/>
            <w:shd w:val="clear" w:color="auto" w:fill="284993"/>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60" w:type="dxa"/>
            <w:vAlign w:val="bottom"/>
            <w:shd w:val="clear" w:color="auto" w:fill="284993"/>
          </w:tcPr>
          <w:p>
            <w:pPr>
              <w:spacing w:after="0"/>
              <w:rPr>
                <w:sz w:val="10"/>
                <w:szCs w:val="10"/>
                <w:color w:val="auto"/>
              </w:rPr>
            </w:pPr>
          </w:p>
        </w:tc>
        <w:tc>
          <w:tcPr>
            <w:tcW w:w="780" w:type="dxa"/>
            <w:vAlign w:val="bottom"/>
            <w:shd w:val="clear" w:color="auto" w:fill="284993"/>
          </w:tcPr>
          <w:p>
            <w:pPr>
              <w:spacing w:after="0"/>
              <w:rPr>
                <w:sz w:val="10"/>
                <w:szCs w:val="10"/>
                <w:color w:val="auto"/>
              </w:rPr>
            </w:pPr>
          </w:p>
        </w:tc>
        <w:tc>
          <w:tcPr>
            <w:tcW w:w="620" w:type="dxa"/>
            <w:vAlign w:val="bottom"/>
            <w:shd w:val="clear" w:color="auto" w:fill="284993"/>
          </w:tcPr>
          <w:p>
            <w:pPr>
              <w:spacing w:after="0"/>
              <w:rPr>
                <w:sz w:val="10"/>
                <w:szCs w:val="10"/>
                <w:color w:val="auto"/>
              </w:rPr>
            </w:pPr>
          </w:p>
        </w:tc>
        <w:tc>
          <w:tcPr>
            <w:tcW w:w="600" w:type="dxa"/>
            <w:vAlign w:val="bottom"/>
            <w:shd w:val="clear" w:color="auto" w:fill="284993"/>
          </w:tcPr>
          <w:p>
            <w:pPr>
              <w:spacing w:after="0"/>
              <w:rPr>
                <w:sz w:val="10"/>
                <w:szCs w:val="10"/>
                <w:color w:val="auto"/>
              </w:rPr>
            </w:pPr>
          </w:p>
        </w:tc>
        <w:tc>
          <w:tcPr>
            <w:tcW w:w="720" w:type="dxa"/>
            <w:vAlign w:val="bottom"/>
            <w:shd w:val="clear" w:color="auto" w:fill="284993"/>
          </w:tcPr>
          <w:p>
            <w:pPr>
              <w:spacing w:after="0"/>
              <w:rPr>
                <w:sz w:val="10"/>
                <w:szCs w:val="10"/>
                <w:color w:val="auto"/>
              </w:rPr>
            </w:pPr>
          </w:p>
        </w:tc>
        <w:tc>
          <w:tcPr>
            <w:tcW w:w="840" w:type="dxa"/>
            <w:vAlign w:val="bottom"/>
            <w:vMerge w:val="continue"/>
            <w:shd w:val="clear" w:color="auto" w:fill="284993"/>
          </w:tcPr>
          <w:p>
            <w:pPr>
              <w:spacing w:after="0"/>
              <w:rPr>
                <w:sz w:val="10"/>
                <w:szCs w:val="10"/>
                <w:color w:val="auto"/>
              </w:rPr>
            </w:pPr>
          </w:p>
        </w:tc>
        <w:tc>
          <w:tcPr>
            <w:tcW w:w="900" w:type="dxa"/>
            <w:vAlign w:val="bottom"/>
            <w:vMerge w:val="continue"/>
            <w:shd w:val="clear" w:color="auto" w:fill="284993"/>
          </w:tcPr>
          <w:p>
            <w:pPr>
              <w:spacing w:after="0"/>
              <w:rPr>
                <w:sz w:val="10"/>
                <w:szCs w:val="10"/>
                <w:color w:val="auto"/>
              </w:rPr>
            </w:pPr>
          </w:p>
        </w:tc>
        <w:tc>
          <w:tcPr>
            <w:tcW w:w="700" w:type="dxa"/>
            <w:vAlign w:val="bottom"/>
            <w:shd w:val="clear" w:color="auto" w:fill="284993"/>
          </w:tcPr>
          <w:p>
            <w:pPr>
              <w:spacing w:after="0"/>
              <w:rPr>
                <w:sz w:val="10"/>
                <w:szCs w:val="10"/>
                <w:color w:val="auto"/>
              </w:rPr>
            </w:pPr>
          </w:p>
        </w:tc>
        <w:tc>
          <w:tcPr>
            <w:tcW w:w="1040" w:type="dxa"/>
            <w:vAlign w:val="bottom"/>
            <w:shd w:val="clear" w:color="auto" w:fill="284993"/>
          </w:tcPr>
          <w:p>
            <w:pPr>
              <w:spacing w:after="0"/>
              <w:rPr>
                <w:sz w:val="10"/>
                <w:szCs w:val="10"/>
                <w:color w:val="auto"/>
              </w:rPr>
            </w:pPr>
          </w:p>
        </w:tc>
        <w:tc>
          <w:tcPr>
            <w:tcW w:w="720" w:type="dxa"/>
            <w:vAlign w:val="bottom"/>
            <w:shd w:val="clear" w:color="auto" w:fill="284993"/>
          </w:tcPr>
          <w:p>
            <w:pPr>
              <w:jc w:val="center"/>
              <w:spacing w:after="0" w:line="122" w:lineRule="exact"/>
              <w:rPr>
                <w:sz w:val="20"/>
                <w:szCs w:val="20"/>
                <w:color w:val="auto"/>
              </w:rPr>
            </w:pPr>
            <w:r>
              <w:rPr>
                <w:rFonts w:ascii="Arial" w:cs="Arial" w:eastAsia="Arial" w:hAnsi="Arial"/>
                <w:sz w:val="12"/>
                <w:szCs w:val="12"/>
                <w:b w:val="1"/>
                <w:bCs w:val="1"/>
                <w:color w:val="FFFFFF"/>
                <w:w w:val="98"/>
              </w:rPr>
              <w:t>for Long-</w:t>
            </w:r>
          </w:p>
        </w:tc>
        <w:tc>
          <w:tcPr>
            <w:tcW w:w="94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7"/>
              </w:rPr>
              <w:t>Total All</w:t>
            </w:r>
          </w:p>
        </w:tc>
        <w:tc>
          <w:tcPr>
            <w:tcW w:w="0" w:type="dxa"/>
            <w:vAlign w:val="bottom"/>
          </w:tcPr>
          <w:p>
            <w:pPr>
              <w:spacing w:after="0"/>
              <w:rPr>
                <w:sz w:val="1"/>
                <w:szCs w:val="1"/>
                <w:color w:val="auto"/>
              </w:rPr>
            </w:pPr>
          </w:p>
        </w:tc>
      </w:tr>
      <w:tr>
        <w:trPr>
          <w:trHeight w:val="130"/>
        </w:trPr>
        <w:tc>
          <w:tcPr>
            <w:tcW w:w="1460" w:type="dxa"/>
            <w:vAlign w:val="bottom"/>
            <w:shd w:val="clear" w:color="auto" w:fill="284993"/>
          </w:tcPr>
          <w:p>
            <w:pPr>
              <w:spacing w:after="0"/>
              <w:rPr>
                <w:sz w:val="11"/>
                <w:szCs w:val="11"/>
                <w:color w:val="auto"/>
              </w:rPr>
            </w:pPr>
          </w:p>
        </w:tc>
        <w:tc>
          <w:tcPr>
            <w:tcW w:w="78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Severance</w:t>
            </w:r>
          </w:p>
        </w:tc>
        <w:tc>
          <w:tcPr>
            <w:tcW w:w="620" w:type="dxa"/>
            <w:vAlign w:val="bottom"/>
            <w:shd w:val="clear" w:color="auto" w:fill="284993"/>
          </w:tcPr>
          <w:p>
            <w:pPr>
              <w:spacing w:after="0"/>
              <w:rPr>
                <w:sz w:val="11"/>
                <w:szCs w:val="11"/>
                <w:color w:val="auto"/>
              </w:rPr>
            </w:pPr>
          </w:p>
        </w:tc>
        <w:tc>
          <w:tcPr>
            <w:tcW w:w="60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Vacation</w:t>
            </w:r>
          </w:p>
        </w:tc>
        <w:tc>
          <w:tcPr>
            <w:tcW w:w="72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Transition</w:t>
            </w:r>
          </w:p>
        </w:tc>
        <w:tc>
          <w:tcPr>
            <w:tcW w:w="8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Includes</w:t>
            </w:r>
          </w:p>
        </w:tc>
        <w:tc>
          <w:tcPr>
            <w:tcW w:w="9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Contributions</w:t>
            </w:r>
          </w:p>
        </w:tc>
        <w:tc>
          <w:tcPr>
            <w:tcW w:w="70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Corporate</w:t>
            </w:r>
          </w:p>
        </w:tc>
        <w:tc>
          <w:tcPr>
            <w:tcW w:w="104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MBA Tuition</w:t>
            </w: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5"/>
              </w:rPr>
              <w:t>Term</w:t>
            </w:r>
          </w:p>
        </w:tc>
        <w:tc>
          <w:tcPr>
            <w:tcW w:w="940" w:type="dxa"/>
            <w:vAlign w:val="bottom"/>
            <w:vMerge w:val="continue"/>
            <w:shd w:val="clear" w:color="auto" w:fill="284993"/>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60" w:type="dxa"/>
            <w:vAlign w:val="bottom"/>
            <w:shd w:val="clear" w:color="auto" w:fill="284993"/>
          </w:tcPr>
          <w:p>
            <w:pPr>
              <w:spacing w:after="0"/>
              <w:rPr>
                <w:sz w:val="11"/>
                <w:szCs w:val="11"/>
                <w:color w:val="auto"/>
              </w:rPr>
            </w:pPr>
          </w:p>
        </w:tc>
        <w:tc>
          <w:tcPr>
            <w:tcW w:w="780" w:type="dxa"/>
            <w:vAlign w:val="bottom"/>
            <w:vMerge w:val="continue"/>
            <w:shd w:val="clear" w:color="auto" w:fill="284993"/>
          </w:tcPr>
          <w:p>
            <w:pPr>
              <w:spacing w:after="0"/>
              <w:rPr>
                <w:sz w:val="11"/>
                <w:szCs w:val="11"/>
                <w:color w:val="auto"/>
              </w:rPr>
            </w:pPr>
          </w:p>
        </w:tc>
        <w:tc>
          <w:tcPr>
            <w:tcW w:w="620" w:type="dxa"/>
            <w:vAlign w:val="bottom"/>
            <w:vMerge w:val="restart"/>
            <w:shd w:val="clear" w:color="auto" w:fill="284993"/>
          </w:tcPr>
          <w:p>
            <w:pPr>
              <w:jc w:val="right"/>
              <w:ind w:right="93"/>
              <w:spacing w:after="0"/>
              <w:rPr>
                <w:sz w:val="20"/>
                <w:szCs w:val="20"/>
                <w:color w:val="auto"/>
              </w:rPr>
            </w:pPr>
            <w:r>
              <w:rPr>
                <w:rFonts w:ascii="Arial" w:cs="Arial" w:eastAsia="Arial" w:hAnsi="Arial"/>
                <w:sz w:val="12"/>
                <w:szCs w:val="12"/>
                <w:b w:val="1"/>
                <w:bCs w:val="1"/>
                <w:color w:val="FFFFFF"/>
              </w:rPr>
              <w:t>Other</w:t>
            </w:r>
          </w:p>
        </w:tc>
        <w:tc>
          <w:tcPr>
            <w:tcW w:w="600" w:type="dxa"/>
            <w:vAlign w:val="bottom"/>
            <w:vMerge w:val="continue"/>
            <w:shd w:val="clear" w:color="auto" w:fill="284993"/>
          </w:tcPr>
          <w:p>
            <w:pPr>
              <w:spacing w:after="0"/>
              <w:rPr>
                <w:sz w:val="11"/>
                <w:szCs w:val="11"/>
                <w:color w:val="auto"/>
              </w:rPr>
            </w:pPr>
          </w:p>
        </w:tc>
        <w:tc>
          <w:tcPr>
            <w:tcW w:w="720" w:type="dxa"/>
            <w:vAlign w:val="bottom"/>
            <w:vMerge w:val="continue"/>
            <w:shd w:val="clear" w:color="auto" w:fill="284993"/>
          </w:tcPr>
          <w:p>
            <w:pPr>
              <w:spacing w:after="0"/>
              <w:rPr>
                <w:sz w:val="11"/>
                <w:szCs w:val="11"/>
                <w:color w:val="auto"/>
              </w:rPr>
            </w:pPr>
          </w:p>
        </w:tc>
        <w:tc>
          <w:tcPr>
            <w:tcW w:w="8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Taxes paid</w:t>
            </w:r>
          </w:p>
        </w:tc>
        <w:tc>
          <w:tcPr>
            <w:tcW w:w="9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to the</w:t>
            </w:r>
          </w:p>
        </w:tc>
        <w:tc>
          <w:tcPr>
            <w:tcW w:w="700" w:type="dxa"/>
            <w:vAlign w:val="bottom"/>
            <w:vMerge w:val="continue"/>
            <w:shd w:val="clear" w:color="auto" w:fill="284993"/>
          </w:tcPr>
          <w:p>
            <w:pPr>
              <w:spacing w:after="0"/>
              <w:rPr>
                <w:sz w:val="11"/>
                <w:szCs w:val="11"/>
                <w:color w:val="auto"/>
              </w:rPr>
            </w:pPr>
          </w:p>
        </w:tc>
        <w:tc>
          <w:tcPr>
            <w:tcW w:w="1040" w:type="dxa"/>
            <w:vAlign w:val="bottom"/>
            <w:vMerge w:val="continue"/>
            <w:shd w:val="clear" w:color="auto" w:fill="284993"/>
          </w:tcPr>
          <w:p>
            <w:pPr>
              <w:spacing w:after="0"/>
              <w:rPr>
                <w:sz w:val="11"/>
                <w:szCs w:val="11"/>
                <w:color w:val="auto"/>
              </w:rPr>
            </w:pP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Disability</w:t>
            </w: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Other</w:t>
            </w:r>
          </w:p>
        </w:tc>
        <w:tc>
          <w:tcPr>
            <w:tcW w:w="0" w:type="dxa"/>
            <w:vAlign w:val="bottom"/>
          </w:tcPr>
          <w:p>
            <w:pPr>
              <w:spacing w:after="0"/>
              <w:rPr>
                <w:sz w:val="1"/>
                <w:szCs w:val="1"/>
                <w:color w:val="auto"/>
              </w:rPr>
            </w:pPr>
          </w:p>
        </w:tc>
      </w:tr>
      <w:tr>
        <w:trPr>
          <w:trHeight w:val="130"/>
        </w:trPr>
        <w:tc>
          <w:tcPr>
            <w:tcW w:w="1460" w:type="dxa"/>
            <w:vAlign w:val="bottom"/>
            <w:vMerge w:val="restart"/>
            <w:shd w:val="clear" w:color="auto" w:fill="284993"/>
          </w:tcPr>
          <w:p>
            <w:pPr>
              <w:ind w:left="60"/>
              <w:spacing w:after="0"/>
              <w:rPr>
                <w:sz w:val="20"/>
                <w:szCs w:val="20"/>
                <w:color w:val="auto"/>
              </w:rPr>
            </w:pPr>
            <w:r>
              <w:rPr>
                <w:rFonts w:ascii="Arial" w:cs="Arial" w:eastAsia="Arial" w:hAnsi="Arial"/>
                <w:sz w:val="12"/>
                <w:szCs w:val="12"/>
                <w:b w:val="1"/>
                <w:bCs w:val="1"/>
                <w:color w:val="FFFFFF"/>
              </w:rPr>
              <w:t>Name of Executive</w:t>
            </w:r>
          </w:p>
        </w:tc>
        <w:tc>
          <w:tcPr>
            <w:tcW w:w="7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Payment</w:t>
            </w:r>
          </w:p>
        </w:tc>
        <w:tc>
          <w:tcPr>
            <w:tcW w:w="620" w:type="dxa"/>
            <w:vAlign w:val="bottom"/>
            <w:vMerge w:val="continue"/>
            <w:shd w:val="clear" w:color="auto" w:fill="284993"/>
          </w:tcPr>
          <w:p>
            <w:pPr>
              <w:spacing w:after="0"/>
              <w:rPr>
                <w:sz w:val="11"/>
                <w:szCs w:val="11"/>
                <w:color w:val="auto"/>
              </w:rPr>
            </w:pPr>
          </w:p>
        </w:tc>
        <w:tc>
          <w:tcPr>
            <w:tcW w:w="6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Accrued</w:t>
            </w: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Agreement</w:t>
            </w:r>
          </w:p>
        </w:tc>
        <w:tc>
          <w:tcPr>
            <w:tcW w:w="8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by Company</w:t>
            </w:r>
          </w:p>
        </w:tc>
        <w:tc>
          <w:tcPr>
            <w:tcW w:w="9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401(k) Plan</w:t>
            </w:r>
          </w:p>
        </w:tc>
        <w:tc>
          <w:tcPr>
            <w:tcW w:w="7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8"/>
              </w:rPr>
              <w:t>Award</w:t>
            </w:r>
          </w:p>
        </w:tc>
        <w:tc>
          <w:tcPr>
            <w:tcW w:w="10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Reimbursement</w:t>
            </w:r>
          </w:p>
        </w:tc>
        <w:tc>
          <w:tcPr>
            <w:tcW w:w="720" w:type="dxa"/>
            <w:vAlign w:val="bottom"/>
            <w:shd w:val="clear" w:color="auto" w:fill="284993"/>
          </w:tcPr>
          <w:p>
            <w:pPr>
              <w:jc w:val="right"/>
              <w:ind w:right="15"/>
              <w:spacing w:after="0" w:line="130" w:lineRule="exact"/>
              <w:rPr>
                <w:sz w:val="20"/>
                <w:szCs w:val="20"/>
                <w:color w:val="auto"/>
              </w:rPr>
            </w:pPr>
            <w:r>
              <w:rPr>
                <w:rFonts w:ascii="Arial" w:cs="Arial" w:eastAsia="Arial" w:hAnsi="Arial"/>
                <w:sz w:val="12"/>
                <w:szCs w:val="12"/>
                <w:b w:val="1"/>
                <w:bCs w:val="1"/>
                <w:color w:val="FFFFFF"/>
              </w:rPr>
              <w:t>Insurance</w:t>
            </w: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Compensation</w:t>
            </w:r>
          </w:p>
        </w:tc>
        <w:tc>
          <w:tcPr>
            <w:tcW w:w="0" w:type="dxa"/>
            <w:vAlign w:val="bottom"/>
          </w:tcPr>
          <w:p>
            <w:pPr>
              <w:spacing w:after="0"/>
              <w:rPr>
                <w:sz w:val="1"/>
                <w:szCs w:val="1"/>
                <w:color w:val="auto"/>
              </w:rPr>
            </w:pPr>
          </w:p>
        </w:tc>
      </w:tr>
      <w:tr>
        <w:trPr>
          <w:trHeight w:val="155"/>
        </w:trPr>
        <w:tc>
          <w:tcPr>
            <w:tcW w:w="1460" w:type="dxa"/>
            <w:vAlign w:val="bottom"/>
            <w:vMerge w:val="continue"/>
            <w:shd w:val="clear" w:color="auto" w:fill="284993"/>
          </w:tcPr>
          <w:p>
            <w:pPr>
              <w:spacing w:after="0"/>
              <w:rPr>
                <w:sz w:val="13"/>
                <w:szCs w:val="13"/>
                <w:color w:val="auto"/>
              </w:rPr>
            </w:pPr>
          </w:p>
        </w:tc>
        <w:tc>
          <w:tcPr>
            <w:tcW w:w="780" w:type="dxa"/>
            <w:vAlign w:val="bottom"/>
            <w:shd w:val="clear" w:color="auto" w:fill="284993"/>
          </w:tcPr>
          <w:p>
            <w:pPr>
              <w:jc w:val="center"/>
              <w:spacing w:after="0" w:line="156" w:lineRule="exact"/>
              <w:rPr>
                <w:sz w:val="20"/>
                <w:szCs w:val="20"/>
                <w:color w:val="auto"/>
              </w:rPr>
            </w:pPr>
            <w:r>
              <w:rPr>
                <w:rFonts w:ascii="Arial" w:cs="Arial" w:eastAsia="Arial" w:hAnsi="Arial"/>
                <w:sz w:val="12"/>
                <w:szCs w:val="12"/>
                <w:b w:val="1"/>
                <w:bCs w:val="1"/>
                <w:color w:val="FFFFFF"/>
                <w:w w:val="88"/>
              </w:rPr>
              <w:t>($)</w:t>
            </w:r>
            <w:r>
              <w:rPr>
                <w:rFonts w:ascii="Arial" w:cs="Arial" w:eastAsia="Arial" w:hAnsi="Arial"/>
                <w:sz w:val="18"/>
                <w:szCs w:val="18"/>
                <w:b w:val="1"/>
                <w:bCs w:val="1"/>
                <w:color w:val="FFFFFF"/>
                <w:w w:val="88"/>
                <w:vertAlign w:val="superscript"/>
              </w:rPr>
              <w:t>(1)</w:t>
            </w:r>
          </w:p>
        </w:tc>
        <w:tc>
          <w:tcPr>
            <w:tcW w:w="620" w:type="dxa"/>
            <w:vAlign w:val="bottom"/>
            <w:shd w:val="clear" w:color="auto" w:fill="284993"/>
          </w:tcPr>
          <w:p>
            <w:pPr>
              <w:jc w:val="right"/>
              <w:ind w:right="133"/>
              <w:spacing w:after="0" w:line="156"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8"/>
                <w:szCs w:val="18"/>
                <w:b w:val="1"/>
                <w:bCs w:val="1"/>
                <w:color w:val="FFFFFF"/>
                <w:vertAlign w:val="superscript"/>
              </w:rPr>
              <w:t>(2)</w:t>
            </w:r>
          </w:p>
        </w:tc>
        <w:tc>
          <w:tcPr>
            <w:tcW w:w="600" w:type="dxa"/>
            <w:vAlign w:val="bottom"/>
            <w:shd w:val="clear" w:color="auto" w:fill="284993"/>
          </w:tcPr>
          <w:p>
            <w:pPr>
              <w:jc w:val="center"/>
              <w:spacing w:after="0" w:line="156" w:lineRule="exact"/>
              <w:rPr>
                <w:sz w:val="20"/>
                <w:szCs w:val="20"/>
                <w:color w:val="auto"/>
              </w:rPr>
            </w:pPr>
            <w:r>
              <w:rPr>
                <w:rFonts w:ascii="Arial" w:cs="Arial" w:eastAsia="Arial" w:hAnsi="Arial"/>
                <w:sz w:val="12"/>
                <w:szCs w:val="12"/>
                <w:b w:val="1"/>
                <w:bCs w:val="1"/>
                <w:color w:val="FFFFFF"/>
                <w:w w:val="88"/>
              </w:rPr>
              <w:t>($)</w:t>
            </w:r>
            <w:r>
              <w:rPr>
                <w:rFonts w:ascii="Arial" w:cs="Arial" w:eastAsia="Arial" w:hAnsi="Arial"/>
                <w:sz w:val="18"/>
                <w:szCs w:val="18"/>
                <w:b w:val="1"/>
                <w:bCs w:val="1"/>
                <w:color w:val="FFFFFF"/>
                <w:w w:val="88"/>
                <w:vertAlign w:val="superscript"/>
              </w:rPr>
              <w:t>(3)</w:t>
            </w:r>
          </w:p>
        </w:tc>
        <w:tc>
          <w:tcPr>
            <w:tcW w:w="720" w:type="dxa"/>
            <w:vAlign w:val="bottom"/>
            <w:shd w:val="clear" w:color="auto" w:fill="284993"/>
          </w:tcPr>
          <w:p>
            <w:pPr>
              <w:jc w:val="center"/>
              <w:spacing w:after="0" w:line="156" w:lineRule="exact"/>
              <w:rPr>
                <w:sz w:val="20"/>
                <w:szCs w:val="20"/>
                <w:color w:val="auto"/>
              </w:rPr>
            </w:pPr>
            <w:r>
              <w:rPr>
                <w:rFonts w:ascii="Arial" w:cs="Arial" w:eastAsia="Arial" w:hAnsi="Arial"/>
                <w:sz w:val="12"/>
                <w:szCs w:val="12"/>
                <w:b w:val="1"/>
                <w:bCs w:val="1"/>
                <w:color w:val="FFFFFF"/>
                <w:w w:val="88"/>
              </w:rPr>
              <w:t>($)</w:t>
            </w:r>
            <w:r>
              <w:rPr>
                <w:rFonts w:ascii="Arial" w:cs="Arial" w:eastAsia="Arial" w:hAnsi="Arial"/>
                <w:sz w:val="18"/>
                <w:szCs w:val="18"/>
                <w:b w:val="1"/>
                <w:bCs w:val="1"/>
                <w:color w:val="FFFFFF"/>
                <w:w w:val="88"/>
                <w:vertAlign w:val="superscript"/>
              </w:rPr>
              <w:t>(4)</w:t>
            </w:r>
          </w:p>
        </w:tc>
        <w:tc>
          <w:tcPr>
            <w:tcW w:w="840" w:type="dxa"/>
            <w:vAlign w:val="bottom"/>
            <w:shd w:val="clear" w:color="auto" w:fill="284993"/>
          </w:tcPr>
          <w:p>
            <w:pPr>
              <w:jc w:val="center"/>
              <w:spacing w:after="0" w:line="156" w:lineRule="exact"/>
              <w:rPr>
                <w:sz w:val="20"/>
                <w:szCs w:val="20"/>
                <w:color w:val="auto"/>
              </w:rPr>
            </w:pPr>
            <w:r>
              <w:rPr>
                <w:rFonts w:ascii="Arial" w:cs="Arial" w:eastAsia="Arial" w:hAnsi="Arial"/>
                <w:sz w:val="12"/>
                <w:szCs w:val="12"/>
                <w:b w:val="1"/>
                <w:bCs w:val="1"/>
                <w:color w:val="FFFFFF"/>
                <w:w w:val="88"/>
              </w:rPr>
              <w:t>($)</w:t>
            </w:r>
            <w:r>
              <w:rPr>
                <w:rFonts w:ascii="Arial" w:cs="Arial" w:eastAsia="Arial" w:hAnsi="Arial"/>
                <w:sz w:val="18"/>
                <w:szCs w:val="18"/>
                <w:b w:val="1"/>
                <w:bCs w:val="1"/>
                <w:color w:val="FFFFFF"/>
                <w:w w:val="88"/>
                <w:vertAlign w:val="superscript"/>
              </w:rPr>
              <w:t>(5)</w:t>
            </w:r>
          </w:p>
        </w:tc>
        <w:tc>
          <w:tcPr>
            <w:tcW w:w="90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w:t>
            </w:r>
          </w:p>
        </w:tc>
        <w:tc>
          <w:tcPr>
            <w:tcW w:w="700" w:type="dxa"/>
            <w:vAlign w:val="bottom"/>
            <w:shd w:val="clear" w:color="auto" w:fill="284993"/>
          </w:tcPr>
          <w:p>
            <w:pPr>
              <w:jc w:val="center"/>
              <w:spacing w:after="0" w:line="156" w:lineRule="exact"/>
              <w:rPr>
                <w:sz w:val="20"/>
                <w:szCs w:val="20"/>
                <w:color w:val="auto"/>
              </w:rPr>
            </w:pPr>
            <w:r>
              <w:rPr>
                <w:rFonts w:ascii="Arial" w:cs="Arial" w:eastAsia="Arial" w:hAnsi="Arial"/>
                <w:sz w:val="12"/>
                <w:szCs w:val="12"/>
                <w:b w:val="1"/>
                <w:bCs w:val="1"/>
                <w:color w:val="FFFFFF"/>
                <w:w w:val="88"/>
              </w:rPr>
              <w:t>($)</w:t>
            </w:r>
            <w:r>
              <w:rPr>
                <w:rFonts w:ascii="Arial" w:cs="Arial" w:eastAsia="Arial" w:hAnsi="Arial"/>
                <w:sz w:val="18"/>
                <w:szCs w:val="18"/>
                <w:b w:val="1"/>
                <w:bCs w:val="1"/>
                <w:color w:val="FFFFFF"/>
                <w:w w:val="88"/>
                <w:vertAlign w:val="superscript"/>
              </w:rPr>
              <w:t>(6)</w:t>
            </w:r>
          </w:p>
        </w:tc>
        <w:tc>
          <w:tcPr>
            <w:tcW w:w="1040" w:type="dxa"/>
            <w:vAlign w:val="bottom"/>
            <w:shd w:val="clear" w:color="auto" w:fill="284993"/>
          </w:tcPr>
          <w:p>
            <w:pPr>
              <w:jc w:val="center"/>
              <w:spacing w:after="0" w:line="156" w:lineRule="exact"/>
              <w:rPr>
                <w:sz w:val="20"/>
                <w:szCs w:val="20"/>
                <w:color w:val="auto"/>
              </w:rPr>
            </w:pPr>
            <w:r>
              <w:rPr>
                <w:rFonts w:ascii="Arial" w:cs="Arial" w:eastAsia="Arial" w:hAnsi="Arial"/>
                <w:sz w:val="12"/>
                <w:szCs w:val="12"/>
                <w:b w:val="1"/>
                <w:bCs w:val="1"/>
                <w:color w:val="FFFFFF"/>
                <w:w w:val="88"/>
              </w:rPr>
              <w:t>($)</w:t>
            </w:r>
            <w:r>
              <w:rPr>
                <w:rFonts w:ascii="Arial" w:cs="Arial" w:eastAsia="Arial" w:hAnsi="Arial"/>
                <w:sz w:val="18"/>
                <w:szCs w:val="18"/>
                <w:b w:val="1"/>
                <w:bCs w:val="1"/>
                <w:color w:val="FFFFFF"/>
                <w:w w:val="88"/>
                <w:vertAlign w:val="superscript"/>
              </w:rPr>
              <w:t>(7)</w:t>
            </w:r>
          </w:p>
        </w:tc>
        <w:tc>
          <w:tcPr>
            <w:tcW w:w="7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w:t>
            </w:r>
          </w:p>
        </w:tc>
        <w:tc>
          <w:tcPr>
            <w:tcW w:w="94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w:t>
            </w:r>
          </w:p>
        </w:tc>
        <w:tc>
          <w:tcPr>
            <w:tcW w:w="0" w:type="dxa"/>
            <w:vAlign w:val="bottom"/>
          </w:tcPr>
          <w:p>
            <w:pPr>
              <w:spacing w:after="0"/>
              <w:rPr>
                <w:sz w:val="1"/>
                <w:szCs w:val="1"/>
                <w:color w:val="auto"/>
              </w:rPr>
            </w:pPr>
          </w:p>
        </w:tc>
      </w:tr>
      <w:tr>
        <w:trPr>
          <w:trHeight w:val="203"/>
        </w:trPr>
        <w:tc>
          <w:tcPr>
            <w:tcW w:w="1460" w:type="dxa"/>
            <w:vAlign w:val="bottom"/>
          </w:tcPr>
          <w:p>
            <w:pPr>
              <w:ind w:left="60"/>
              <w:spacing w:after="0"/>
              <w:rPr>
                <w:sz w:val="20"/>
                <w:szCs w:val="20"/>
                <w:color w:val="auto"/>
              </w:rPr>
            </w:pPr>
            <w:r>
              <w:rPr>
                <w:rFonts w:ascii="Arial" w:cs="Arial" w:eastAsia="Arial" w:hAnsi="Arial"/>
                <w:sz w:val="14"/>
                <w:szCs w:val="14"/>
                <w:color w:val="auto"/>
              </w:rPr>
              <w:t>Odilon Almeida</w:t>
            </w:r>
          </w:p>
        </w:tc>
        <w:tc>
          <w:tcPr>
            <w:tcW w:w="780" w:type="dxa"/>
            <w:vAlign w:val="bottom"/>
          </w:tcPr>
          <w:p>
            <w:pPr>
              <w:jc w:val="right"/>
              <w:spacing w:after="0"/>
              <w:rPr>
                <w:sz w:val="20"/>
                <w:szCs w:val="20"/>
                <w:color w:val="auto"/>
              </w:rPr>
            </w:pPr>
            <w:r>
              <w:rPr>
                <w:rFonts w:ascii="Arial" w:cs="Arial" w:eastAsia="Arial" w:hAnsi="Arial"/>
                <w:sz w:val="14"/>
                <w:szCs w:val="14"/>
                <w:color w:val="auto"/>
              </w:rPr>
              <w:t>2,100,000</w:t>
            </w:r>
          </w:p>
        </w:tc>
        <w:tc>
          <w:tcPr>
            <w:tcW w:w="620" w:type="dxa"/>
            <w:vAlign w:val="bottom"/>
          </w:tcPr>
          <w:p>
            <w:pPr>
              <w:jc w:val="right"/>
              <w:spacing w:after="0"/>
              <w:rPr>
                <w:sz w:val="20"/>
                <w:szCs w:val="20"/>
                <w:color w:val="auto"/>
              </w:rPr>
            </w:pPr>
            <w:r>
              <w:rPr>
                <w:rFonts w:ascii="Arial" w:cs="Arial" w:eastAsia="Arial" w:hAnsi="Arial"/>
                <w:sz w:val="14"/>
                <w:szCs w:val="14"/>
                <w:color w:val="auto"/>
              </w:rPr>
              <w:t>$15,249</w:t>
            </w:r>
          </w:p>
        </w:tc>
        <w:tc>
          <w:tcPr>
            <w:tcW w:w="600" w:type="dxa"/>
            <w:vAlign w:val="bottom"/>
          </w:tcPr>
          <w:p>
            <w:pPr>
              <w:jc w:val="right"/>
              <w:spacing w:after="0"/>
              <w:rPr>
                <w:sz w:val="20"/>
                <w:szCs w:val="20"/>
                <w:color w:val="auto"/>
              </w:rPr>
            </w:pPr>
            <w:r>
              <w:rPr>
                <w:rFonts w:ascii="Arial" w:cs="Arial" w:eastAsia="Arial" w:hAnsi="Arial"/>
                <w:sz w:val="14"/>
                <w:szCs w:val="14"/>
                <w:color w:val="auto"/>
              </w:rPr>
              <w:t>18,442</w:t>
            </w:r>
          </w:p>
        </w:tc>
        <w:tc>
          <w:tcPr>
            <w:tcW w:w="720" w:type="dxa"/>
            <w:vAlign w:val="bottom"/>
          </w:tcPr>
          <w:p>
            <w:pPr>
              <w:jc w:val="right"/>
              <w:spacing w:after="0"/>
              <w:rPr>
                <w:sz w:val="20"/>
                <w:szCs w:val="20"/>
                <w:color w:val="auto"/>
              </w:rPr>
            </w:pPr>
            <w:r>
              <w:rPr>
                <w:rFonts w:ascii="Arial" w:cs="Arial" w:eastAsia="Arial" w:hAnsi="Arial"/>
                <w:sz w:val="14"/>
                <w:szCs w:val="14"/>
                <w:color w:val="auto"/>
              </w:rPr>
              <w:t>44,000</w:t>
            </w:r>
          </w:p>
        </w:tc>
        <w:tc>
          <w:tcPr>
            <w:tcW w:w="84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5,000</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792</w:t>
            </w:r>
          </w:p>
        </w:tc>
        <w:tc>
          <w:tcPr>
            <w:tcW w:w="940" w:type="dxa"/>
            <w:vAlign w:val="bottom"/>
          </w:tcPr>
          <w:p>
            <w:pPr>
              <w:jc w:val="right"/>
              <w:spacing w:after="0"/>
              <w:rPr>
                <w:sz w:val="20"/>
                <w:szCs w:val="20"/>
                <w:color w:val="auto"/>
              </w:rPr>
            </w:pPr>
            <w:r>
              <w:rPr>
                <w:rFonts w:ascii="Arial" w:cs="Arial" w:eastAsia="Arial" w:hAnsi="Arial"/>
                <w:sz w:val="14"/>
                <w:szCs w:val="14"/>
                <w:color w:val="auto"/>
              </w:rPr>
              <w:t>2,183,483</w:t>
            </w:r>
          </w:p>
        </w:tc>
        <w:tc>
          <w:tcPr>
            <w:tcW w:w="0" w:type="dxa"/>
            <w:vAlign w:val="bottom"/>
          </w:tcPr>
          <w:p>
            <w:pPr>
              <w:spacing w:after="0"/>
              <w:rPr>
                <w:sz w:val="1"/>
                <w:szCs w:val="1"/>
                <w:color w:val="auto"/>
              </w:rPr>
            </w:pPr>
          </w:p>
        </w:tc>
      </w:tr>
      <w:tr>
        <w:trPr>
          <w:trHeight w:val="211"/>
        </w:trPr>
        <w:tc>
          <w:tcPr>
            <w:tcW w:w="1460" w:type="dxa"/>
            <w:vAlign w:val="bottom"/>
            <w:shd w:val="clear" w:color="auto" w:fill="9DBDE4"/>
          </w:tcPr>
          <w:p>
            <w:pPr>
              <w:ind w:left="60"/>
              <w:spacing w:after="0"/>
              <w:rPr>
                <w:sz w:val="20"/>
                <w:szCs w:val="20"/>
                <w:color w:val="auto"/>
              </w:rPr>
            </w:pPr>
            <w:r>
              <w:rPr>
                <w:rFonts w:ascii="Arial" w:cs="Arial" w:eastAsia="Arial" w:hAnsi="Arial"/>
                <w:sz w:val="14"/>
                <w:szCs w:val="14"/>
                <w:color w:val="auto"/>
                <w:w w:val="96"/>
                <w:shd w:val="clear" w:color="auto" w:fill="9DBDE4"/>
              </w:rPr>
              <w:t>Thomas W. Warsop, III</w:t>
            </w:r>
          </w:p>
        </w:tc>
        <w:tc>
          <w:tcPr>
            <w:tcW w:w="78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9DBDE4"/>
          </w:tcPr>
          <w:p>
            <w:pPr>
              <w:jc w:val="right"/>
              <w:ind w:right="14"/>
              <w:spacing w:after="0"/>
              <w:rPr>
                <w:sz w:val="20"/>
                <w:szCs w:val="20"/>
                <w:color w:val="auto"/>
              </w:rPr>
            </w:pPr>
            <w:r>
              <w:rPr>
                <w:rFonts w:ascii="Arial" w:cs="Arial" w:eastAsia="Arial" w:hAnsi="Arial"/>
                <w:sz w:val="14"/>
                <w:szCs w:val="14"/>
                <w:color w:val="auto"/>
              </w:rPr>
              <w:t>-</w:t>
            </w:r>
          </w:p>
        </w:tc>
        <w:tc>
          <w:tcPr>
            <w:tcW w:w="90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rPr>
                <w:sz w:val="20"/>
                <w:szCs w:val="20"/>
                <w:color w:val="auto"/>
              </w:rPr>
            </w:pPr>
            <w:r>
              <w:rPr>
                <w:rFonts w:ascii="Arial" w:cs="Arial" w:eastAsia="Arial" w:hAnsi="Arial"/>
                <w:sz w:val="14"/>
                <w:szCs w:val="14"/>
                <w:color w:val="auto"/>
              </w:rPr>
              <w:t>108</w:t>
            </w:r>
          </w:p>
        </w:tc>
        <w:tc>
          <w:tcPr>
            <w:tcW w:w="940" w:type="dxa"/>
            <w:vAlign w:val="bottom"/>
            <w:shd w:val="clear" w:color="auto" w:fill="9DBDE4"/>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3"/>
        </w:trPr>
        <w:tc>
          <w:tcPr>
            <w:tcW w:w="1460" w:type="dxa"/>
            <w:vAlign w:val="bottom"/>
          </w:tcPr>
          <w:p>
            <w:pPr>
              <w:ind w:left="60"/>
              <w:spacing w:after="0"/>
              <w:rPr>
                <w:sz w:val="20"/>
                <w:szCs w:val="20"/>
                <w:color w:val="auto"/>
              </w:rPr>
            </w:pPr>
            <w:r>
              <w:rPr>
                <w:rFonts w:ascii="Arial" w:cs="Arial" w:eastAsia="Arial" w:hAnsi="Arial"/>
                <w:sz w:val="14"/>
                <w:szCs w:val="14"/>
                <w:color w:val="auto"/>
              </w:rPr>
              <w:t>Scott W. Behrens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5,000</w:t>
            </w:r>
          </w:p>
        </w:tc>
        <w:tc>
          <w:tcPr>
            <w:tcW w:w="700" w:type="dxa"/>
            <w:vAlign w:val="bottom"/>
          </w:tcPr>
          <w:p>
            <w:pPr>
              <w:jc w:val="right"/>
              <w:spacing w:after="0"/>
              <w:rPr>
                <w:sz w:val="20"/>
                <w:szCs w:val="20"/>
                <w:color w:val="auto"/>
              </w:rPr>
            </w:pPr>
            <w:r>
              <w:rPr>
                <w:rFonts w:ascii="Arial" w:cs="Arial" w:eastAsia="Arial" w:hAnsi="Arial"/>
                <w:sz w:val="14"/>
                <w:szCs w:val="14"/>
                <w:color w:val="auto"/>
              </w:rPr>
              <w:t>700</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864</w:t>
            </w:r>
          </w:p>
        </w:tc>
        <w:tc>
          <w:tcPr>
            <w:tcW w:w="940" w:type="dxa"/>
            <w:vAlign w:val="bottom"/>
          </w:tcPr>
          <w:p>
            <w:pPr>
              <w:jc w:val="right"/>
              <w:spacing w:after="0"/>
              <w:rPr>
                <w:sz w:val="20"/>
                <w:szCs w:val="20"/>
                <w:color w:val="auto"/>
              </w:rPr>
            </w:pPr>
            <w:r>
              <w:rPr>
                <w:rFonts w:ascii="Arial" w:cs="Arial" w:eastAsia="Arial" w:hAnsi="Arial"/>
                <w:sz w:val="14"/>
                <w:szCs w:val="14"/>
                <w:color w:val="auto"/>
              </w:rPr>
              <w:t>6,564</w:t>
            </w:r>
          </w:p>
        </w:tc>
        <w:tc>
          <w:tcPr>
            <w:tcW w:w="0" w:type="dxa"/>
            <w:vAlign w:val="bottom"/>
          </w:tcPr>
          <w:p>
            <w:pPr>
              <w:spacing w:after="0"/>
              <w:rPr>
                <w:sz w:val="1"/>
                <w:szCs w:val="1"/>
                <w:color w:val="auto"/>
              </w:rPr>
            </w:pPr>
          </w:p>
        </w:tc>
      </w:tr>
      <w:tr>
        <w:trPr>
          <w:trHeight w:val="211"/>
        </w:trPr>
        <w:tc>
          <w:tcPr>
            <w:tcW w:w="1460" w:type="dxa"/>
            <w:vAlign w:val="bottom"/>
            <w:shd w:val="clear" w:color="auto" w:fill="9DBDE4"/>
          </w:tcPr>
          <w:p>
            <w:pPr>
              <w:ind w:left="60"/>
              <w:spacing w:after="0"/>
              <w:rPr>
                <w:sz w:val="20"/>
                <w:szCs w:val="20"/>
                <w:color w:val="auto"/>
              </w:rPr>
            </w:pPr>
            <w:r>
              <w:rPr>
                <w:rFonts w:ascii="Arial" w:cs="Arial" w:eastAsia="Arial" w:hAnsi="Arial"/>
                <w:sz w:val="14"/>
                <w:szCs w:val="14"/>
                <w:color w:val="auto"/>
              </w:rPr>
              <w:t>Ram K. Puppala</w:t>
            </w:r>
          </w:p>
        </w:tc>
        <w:tc>
          <w:tcPr>
            <w:tcW w:w="78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9DBDE4"/>
          </w:tcPr>
          <w:p>
            <w:pPr>
              <w:jc w:val="right"/>
              <w:ind w:right="14"/>
              <w:spacing w:after="0"/>
              <w:rPr>
                <w:sz w:val="20"/>
                <w:szCs w:val="20"/>
                <w:color w:val="auto"/>
              </w:rPr>
            </w:pPr>
            <w:r>
              <w:rPr>
                <w:rFonts w:ascii="Arial" w:cs="Arial" w:eastAsia="Arial" w:hAnsi="Arial"/>
                <w:sz w:val="14"/>
                <w:szCs w:val="14"/>
                <w:color w:val="auto"/>
              </w:rPr>
              <w:t>-</w:t>
            </w:r>
          </w:p>
        </w:tc>
        <w:tc>
          <w:tcPr>
            <w:tcW w:w="900" w:type="dxa"/>
            <w:vAlign w:val="bottom"/>
            <w:shd w:val="clear" w:color="auto" w:fill="9DBDE4"/>
          </w:tcPr>
          <w:p>
            <w:pPr>
              <w:jc w:val="right"/>
              <w:spacing w:after="0"/>
              <w:rPr>
                <w:sz w:val="20"/>
                <w:szCs w:val="20"/>
                <w:color w:val="auto"/>
              </w:rPr>
            </w:pPr>
            <w:r>
              <w:rPr>
                <w:rFonts w:ascii="Arial" w:cs="Arial" w:eastAsia="Arial" w:hAnsi="Arial"/>
                <w:sz w:val="14"/>
                <w:szCs w:val="14"/>
                <w:color w:val="auto"/>
              </w:rPr>
              <w:t>5,000</w:t>
            </w:r>
          </w:p>
        </w:tc>
        <w:tc>
          <w:tcPr>
            <w:tcW w:w="70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9DBDE4"/>
          </w:tcPr>
          <w:p>
            <w:pPr>
              <w:jc w:val="right"/>
              <w:spacing w:after="0"/>
              <w:rPr>
                <w:sz w:val="20"/>
                <w:szCs w:val="20"/>
                <w:color w:val="auto"/>
              </w:rPr>
            </w:pPr>
            <w:r>
              <w:rPr>
                <w:rFonts w:ascii="Arial" w:cs="Arial" w:eastAsia="Arial" w:hAnsi="Arial"/>
                <w:sz w:val="14"/>
                <w:szCs w:val="14"/>
                <w:color w:val="auto"/>
              </w:rPr>
              <w:t>66,579</w:t>
            </w:r>
          </w:p>
        </w:tc>
        <w:tc>
          <w:tcPr>
            <w:tcW w:w="720" w:type="dxa"/>
            <w:vAlign w:val="bottom"/>
            <w:shd w:val="clear" w:color="auto" w:fill="9DBDE4"/>
          </w:tcPr>
          <w:p>
            <w:pPr>
              <w:jc w:val="right"/>
              <w:spacing w:after="0"/>
              <w:rPr>
                <w:sz w:val="20"/>
                <w:szCs w:val="20"/>
                <w:color w:val="auto"/>
              </w:rPr>
            </w:pPr>
            <w:r>
              <w:rPr>
                <w:rFonts w:ascii="Arial" w:cs="Arial" w:eastAsia="Arial" w:hAnsi="Arial"/>
                <w:sz w:val="14"/>
                <w:szCs w:val="14"/>
                <w:color w:val="auto"/>
              </w:rPr>
              <w:t>864</w:t>
            </w:r>
          </w:p>
        </w:tc>
        <w:tc>
          <w:tcPr>
            <w:tcW w:w="940" w:type="dxa"/>
            <w:vAlign w:val="bottom"/>
            <w:shd w:val="clear" w:color="auto" w:fill="9DBDE4"/>
          </w:tcPr>
          <w:p>
            <w:pPr>
              <w:jc w:val="right"/>
              <w:spacing w:after="0"/>
              <w:rPr>
                <w:sz w:val="20"/>
                <w:szCs w:val="20"/>
                <w:color w:val="auto"/>
              </w:rPr>
            </w:pPr>
            <w:r>
              <w:rPr>
                <w:rFonts w:ascii="Arial" w:cs="Arial" w:eastAsia="Arial" w:hAnsi="Arial"/>
                <w:sz w:val="14"/>
                <w:szCs w:val="14"/>
                <w:color w:val="auto"/>
              </w:rPr>
              <w:t>72,443</w:t>
            </w:r>
          </w:p>
        </w:tc>
        <w:tc>
          <w:tcPr>
            <w:tcW w:w="0" w:type="dxa"/>
            <w:vAlign w:val="bottom"/>
          </w:tcPr>
          <w:p>
            <w:pPr>
              <w:spacing w:after="0"/>
              <w:rPr>
                <w:sz w:val="1"/>
                <w:szCs w:val="1"/>
                <w:color w:val="auto"/>
              </w:rPr>
            </w:pPr>
          </w:p>
        </w:tc>
      </w:tr>
      <w:tr>
        <w:trPr>
          <w:trHeight w:val="203"/>
        </w:trPr>
        <w:tc>
          <w:tcPr>
            <w:tcW w:w="1460" w:type="dxa"/>
            <w:vAlign w:val="bottom"/>
          </w:tcPr>
          <w:p>
            <w:pPr>
              <w:ind w:left="60"/>
              <w:spacing w:after="0"/>
              <w:rPr>
                <w:sz w:val="20"/>
                <w:szCs w:val="20"/>
                <w:color w:val="auto"/>
              </w:rPr>
            </w:pPr>
            <w:r>
              <w:rPr>
                <w:rFonts w:ascii="Arial" w:cs="Arial" w:eastAsia="Arial" w:hAnsi="Arial"/>
                <w:sz w:val="14"/>
                <w:szCs w:val="14"/>
                <w:color w:val="auto"/>
              </w:rPr>
              <w:t>Alessandro Silva</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5,000</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864</w:t>
            </w:r>
          </w:p>
        </w:tc>
        <w:tc>
          <w:tcPr>
            <w:tcW w:w="940" w:type="dxa"/>
            <w:vAlign w:val="bottom"/>
          </w:tcPr>
          <w:p>
            <w:pPr>
              <w:jc w:val="right"/>
              <w:spacing w:after="0"/>
              <w:rPr>
                <w:sz w:val="20"/>
                <w:szCs w:val="20"/>
                <w:color w:val="auto"/>
              </w:rPr>
            </w:pPr>
            <w:r>
              <w:rPr>
                <w:rFonts w:ascii="Arial" w:cs="Arial" w:eastAsia="Arial" w:hAnsi="Arial"/>
                <w:sz w:val="14"/>
                <w:szCs w:val="14"/>
                <w:color w:val="auto"/>
              </w:rPr>
              <w:t>5,864</w:t>
            </w:r>
          </w:p>
        </w:tc>
        <w:tc>
          <w:tcPr>
            <w:tcW w:w="0" w:type="dxa"/>
            <w:vAlign w:val="bottom"/>
          </w:tcPr>
          <w:p>
            <w:pPr>
              <w:spacing w:after="0"/>
              <w:rPr>
                <w:sz w:val="1"/>
                <w:szCs w:val="1"/>
                <w:color w:val="auto"/>
              </w:rPr>
            </w:pPr>
          </w:p>
        </w:tc>
      </w:tr>
      <w:tr>
        <w:trPr>
          <w:trHeight w:val="211"/>
        </w:trPr>
        <w:tc>
          <w:tcPr>
            <w:tcW w:w="1460" w:type="dxa"/>
            <w:vAlign w:val="bottom"/>
            <w:shd w:val="clear" w:color="auto" w:fill="9DBDE4"/>
          </w:tcPr>
          <w:p>
            <w:pPr>
              <w:ind w:left="60"/>
              <w:spacing w:after="0"/>
              <w:rPr>
                <w:sz w:val="20"/>
                <w:szCs w:val="20"/>
                <w:color w:val="auto"/>
              </w:rPr>
            </w:pPr>
            <w:r>
              <w:rPr>
                <w:rFonts w:ascii="Arial" w:cs="Arial" w:eastAsia="Arial" w:hAnsi="Arial"/>
                <w:sz w:val="14"/>
                <w:szCs w:val="14"/>
                <w:color w:val="auto"/>
              </w:rPr>
              <w:t>Jeremy M. Wilmot</w:t>
            </w:r>
          </w:p>
        </w:tc>
        <w:tc>
          <w:tcPr>
            <w:tcW w:w="78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9DBDE4"/>
          </w:tcPr>
          <w:p>
            <w:pPr>
              <w:jc w:val="right"/>
              <w:ind w:right="14"/>
              <w:spacing w:after="0"/>
              <w:rPr>
                <w:sz w:val="20"/>
                <w:szCs w:val="20"/>
                <w:color w:val="auto"/>
              </w:rPr>
            </w:pPr>
            <w:r>
              <w:rPr>
                <w:rFonts w:ascii="Arial" w:cs="Arial" w:eastAsia="Arial" w:hAnsi="Arial"/>
                <w:sz w:val="14"/>
                <w:szCs w:val="14"/>
                <w:color w:val="auto"/>
              </w:rPr>
              <w:t>-</w:t>
            </w:r>
          </w:p>
        </w:tc>
        <w:tc>
          <w:tcPr>
            <w:tcW w:w="900" w:type="dxa"/>
            <w:vAlign w:val="bottom"/>
            <w:shd w:val="clear" w:color="auto" w:fill="9DBDE4"/>
          </w:tcPr>
          <w:p>
            <w:pPr>
              <w:jc w:val="right"/>
              <w:spacing w:after="0"/>
              <w:rPr>
                <w:sz w:val="20"/>
                <w:szCs w:val="20"/>
                <w:color w:val="auto"/>
              </w:rPr>
            </w:pPr>
            <w:r>
              <w:rPr>
                <w:rFonts w:ascii="Arial" w:cs="Arial" w:eastAsia="Arial" w:hAnsi="Arial"/>
                <w:sz w:val="14"/>
                <w:szCs w:val="14"/>
                <w:color w:val="auto"/>
              </w:rPr>
              <w:t>5,000</w:t>
            </w:r>
          </w:p>
        </w:tc>
        <w:tc>
          <w:tcPr>
            <w:tcW w:w="700" w:type="dxa"/>
            <w:vAlign w:val="bottom"/>
            <w:shd w:val="clear" w:color="auto" w:fill="9DBDE4"/>
          </w:tcPr>
          <w:p>
            <w:pPr>
              <w:jc w:val="right"/>
              <w:spacing w:after="0"/>
              <w:rPr>
                <w:sz w:val="20"/>
                <w:szCs w:val="20"/>
                <w:color w:val="auto"/>
              </w:rPr>
            </w:pPr>
            <w:r>
              <w:rPr>
                <w:rFonts w:ascii="Arial" w:cs="Arial" w:eastAsia="Arial" w:hAnsi="Arial"/>
                <w:sz w:val="14"/>
                <w:szCs w:val="14"/>
                <w:color w:val="auto"/>
              </w:rPr>
              <w:t>187</w:t>
            </w:r>
          </w:p>
        </w:tc>
        <w:tc>
          <w:tcPr>
            <w:tcW w:w="1040" w:type="dxa"/>
            <w:vAlign w:val="bottom"/>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rPr>
                <w:sz w:val="20"/>
                <w:szCs w:val="20"/>
                <w:color w:val="auto"/>
              </w:rPr>
            </w:pPr>
            <w:r>
              <w:rPr>
                <w:rFonts w:ascii="Arial" w:cs="Arial" w:eastAsia="Arial" w:hAnsi="Arial"/>
                <w:sz w:val="14"/>
                <w:szCs w:val="14"/>
                <w:color w:val="auto"/>
              </w:rPr>
              <w:t>576</w:t>
            </w:r>
          </w:p>
        </w:tc>
        <w:tc>
          <w:tcPr>
            <w:tcW w:w="940" w:type="dxa"/>
            <w:vAlign w:val="bottom"/>
            <w:shd w:val="clear" w:color="auto" w:fill="9DBDE4"/>
          </w:tcPr>
          <w:p>
            <w:pPr>
              <w:jc w:val="right"/>
              <w:spacing w:after="0"/>
              <w:rPr>
                <w:sz w:val="20"/>
                <w:szCs w:val="20"/>
                <w:color w:val="auto"/>
              </w:rPr>
            </w:pPr>
            <w:r>
              <w:rPr>
                <w:rFonts w:ascii="Arial" w:cs="Arial" w:eastAsia="Arial" w:hAnsi="Arial"/>
                <w:sz w:val="14"/>
                <w:szCs w:val="14"/>
                <w:color w:val="auto"/>
              </w:rPr>
              <w:t>5,763</w:t>
            </w:r>
          </w:p>
        </w:tc>
        <w:tc>
          <w:tcPr>
            <w:tcW w:w="0" w:type="dxa"/>
            <w:vAlign w:val="bottom"/>
          </w:tcPr>
          <w:p>
            <w:pPr>
              <w:spacing w:after="0"/>
              <w:rPr>
                <w:sz w:val="1"/>
                <w:szCs w:val="1"/>
                <w:color w:val="auto"/>
              </w:rPr>
            </w:pPr>
          </w:p>
        </w:tc>
      </w:tr>
      <w:tr>
        <w:trPr>
          <w:trHeight w:val="203"/>
        </w:trPr>
        <w:tc>
          <w:tcPr>
            <w:tcW w:w="1460" w:type="dxa"/>
            <w:vAlign w:val="bottom"/>
          </w:tcPr>
          <w:p>
            <w:pPr>
              <w:ind w:left="60"/>
              <w:spacing w:after="0"/>
              <w:rPr>
                <w:sz w:val="20"/>
                <w:szCs w:val="20"/>
                <w:color w:val="auto"/>
              </w:rPr>
            </w:pPr>
            <w:r>
              <w:rPr>
                <w:rFonts w:ascii="Arial" w:cs="Arial" w:eastAsia="Arial" w:hAnsi="Arial"/>
                <w:sz w:val="14"/>
                <w:szCs w:val="14"/>
                <w:color w:val="auto"/>
              </w:rPr>
              <w:t>Deborah L. Guerra</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
              <w:spacing w:after="0"/>
              <w:rPr>
                <w:sz w:val="20"/>
                <w:szCs w:val="20"/>
                <w:color w:val="auto"/>
              </w:rPr>
            </w:pPr>
            <w:r>
              <w:rPr>
                <w:rFonts w:ascii="Arial" w:cs="Arial" w:eastAsia="Arial" w:hAnsi="Arial"/>
                <w:sz w:val="14"/>
                <w:szCs w:val="14"/>
                <w:color w:val="auto"/>
              </w:rPr>
              <w:t>45,075</w:t>
            </w:r>
          </w:p>
        </w:tc>
        <w:tc>
          <w:tcPr>
            <w:tcW w:w="900" w:type="dxa"/>
            <w:vAlign w:val="bottom"/>
          </w:tcPr>
          <w:p>
            <w:pPr>
              <w:jc w:val="right"/>
              <w:spacing w:after="0"/>
              <w:rPr>
                <w:sz w:val="20"/>
                <w:szCs w:val="20"/>
                <w:color w:val="auto"/>
              </w:rPr>
            </w:pPr>
            <w:r>
              <w:rPr>
                <w:rFonts w:ascii="Arial" w:cs="Arial" w:eastAsia="Arial" w:hAnsi="Arial"/>
                <w:sz w:val="14"/>
                <w:szCs w:val="14"/>
                <w:color w:val="auto"/>
              </w:rPr>
              <w:t>5,000</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864</w:t>
            </w:r>
          </w:p>
        </w:tc>
        <w:tc>
          <w:tcPr>
            <w:tcW w:w="940" w:type="dxa"/>
            <w:vAlign w:val="bottom"/>
          </w:tcPr>
          <w:p>
            <w:pPr>
              <w:jc w:val="right"/>
              <w:spacing w:after="0"/>
              <w:rPr>
                <w:sz w:val="20"/>
                <w:szCs w:val="20"/>
                <w:color w:val="auto"/>
              </w:rPr>
            </w:pPr>
            <w:r>
              <w:rPr>
                <w:rFonts w:ascii="Arial" w:cs="Arial" w:eastAsia="Arial" w:hAnsi="Arial"/>
                <w:sz w:val="14"/>
                <w:szCs w:val="14"/>
                <w:color w:val="auto"/>
              </w:rPr>
              <w:t>50,939</w:t>
            </w:r>
          </w:p>
        </w:tc>
        <w:tc>
          <w:tcPr>
            <w:tcW w:w="0" w:type="dxa"/>
            <w:vAlign w:val="bottom"/>
          </w:tcPr>
          <w:p>
            <w:pPr>
              <w:spacing w:after="0"/>
              <w:rPr>
                <w:sz w:val="1"/>
                <w:szCs w:val="1"/>
                <w:color w:val="auto"/>
              </w:rPr>
            </w:pPr>
          </w:p>
        </w:tc>
      </w:tr>
      <w:tr>
        <w:trPr>
          <w:trHeight w:val="207"/>
        </w:trPr>
        <w:tc>
          <w:tcPr>
            <w:tcW w:w="1460" w:type="dxa"/>
            <w:vAlign w:val="bottom"/>
            <w:tcBorders>
              <w:bottom w:val="single" w:sz="8" w:color="284993"/>
            </w:tcBorders>
            <w:shd w:val="clear" w:color="auto" w:fill="9DBDE4"/>
          </w:tcPr>
          <w:p>
            <w:pPr>
              <w:ind w:left="60"/>
              <w:spacing w:after="0"/>
              <w:rPr>
                <w:sz w:val="20"/>
                <w:szCs w:val="20"/>
                <w:color w:val="auto"/>
              </w:rPr>
            </w:pPr>
            <w:r>
              <w:rPr>
                <w:rFonts w:ascii="Arial" w:cs="Arial" w:eastAsia="Arial" w:hAnsi="Arial"/>
                <w:sz w:val="14"/>
                <w:szCs w:val="14"/>
                <w:color w:val="auto"/>
              </w:rPr>
              <w:t>Evanthia Aretakis</w:t>
            </w:r>
          </w:p>
        </w:tc>
        <w:tc>
          <w:tcPr>
            <w:tcW w:w="780" w:type="dxa"/>
            <w:vAlign w:val="bottom"/>
            <w:tcBorders>
              <w:bottom w:val="single" w:sz="8" w:color="284993"/>
            </w:tcBorders>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284993"/>
            </w:tcBorders>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284993"/>
            </w:tcBorders>
            <w:shd w:val="clear" w:color="auto" w:fill="9DBDE4"/>
          </w:tcPr>
          <w:p>
            <w:pPr>
              <w:jc w:val="right"/>
              <w:spacing w:after="0"/>
              <w:rPr>
                <w:sz w:val="20"/>
                <w:szCs w:val="20"/>
                <w:color w:val="auto"/>
              </w:rPr>
            </w:pPr>
            <w:r>
              <w:rPr>
                <w:rFonts w:ascii="Arial" w:cs="Arial" w:eastAsia="Arial" w:hAnsi="Arial"/>
                <w:sz w:val="14"/>
                <w:szCs w:val="14"/>
                <w:color w:val="auto"/>
              </w:rPr>
              <w:t>3,915</w:t>
            </w:r>
          </w:p>
        </w:tc>
        <w:tc>
          <w:tcPr>
            <w:tcW w:w="720" w:type="dxa"/>
            <w:vAlign w:val="bottom"/>
            <w:tcBorders>
              <w:bottom w:val="single" w:sz="8" w:color="284993"/>
            </w:tcBorders>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84993"/>
            </w:tcBorders>
            <w:shd w:val="clear" w:color="auto" w:fill="9DBDE4"/>
          </w:tcPr>
          <w:p>
            <w:pPr>
              <w:jc w:val="right"/>
              <w:ind w:right="14"/>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284993"/>
            </w:tcBorders>
            <w:shd w:val="clear" w:color="auto" w:fill="9DBDE4"/>
          </w:tcPr>
          <w:p>
            <w:pPr>
              <w:jc w:val="right"/>
              <w:spacing w:after="0"/>
              <w:rPr>
                <w:sz w:val="20"/>
                <w:szCs w:val="20"/>
                <w:color w:val="auto"/>
              </w:rPr>
            </w:pPr>
            <w:r>
              <w:rPr>
                <w:rFonts w:ascii="Arial" w:cs="Arial" w:eastAsia="Arial" w:hAnsi="Arial"/>
                <w:sz w:val="14"/>
                <w:szCs w:val="14"/>
                <w:color w:val="auto"/>
              </w:rPr>
              <w:t>5,000</w:t>
            </w:r>
          </w:p>
        </w:tc>
        <w:tc>
          <w:tcPr>
            <w:tcW w:w="700" w:type="dxa"/>
            <w:vAlign w:val="bottom"/>
            <w:tcBorders>
              <w:bottom w:val="single" w:sz="8" w:color="284993"/>
            </w:tcBorders>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284993"/>
            </w:tcBorders>
            <w:shd w:val="clear" w:color="auto" w:fill="9DBDE4"/>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284993"/>
            </w:tcBorders>
            <w:shd w:val="clear" w:color="auto" w:fill="9DBDE4"/>
          </w:tcPr>
          <w:p>
            <w:pPr>
              <w:jc w:val="right"/>
              <w:spacing w:after="0"/>
              <w:rPr>
                <w:sz w:val="20"/>
                <w:szCs w:val="20"/>
                <w:color w:val="auto"/>
              </w:rPr>
            </w:pPr>
            <w:r>
              <w:rPr>
                <w:rFonts w:ascii="Arial" w:cs="Arial" w:eastAsia="Arial" w:hAnsi="Arial"/>
                <w:sz w:val="14"/>
                <w:szCs w:val="14"/>
                <w:color w:val="auto"/>
              </w:rPr>
              <w:t>360</w:t>
            </w:r>
          </w:p>
        </w:tc>
        <w:tc>
          <w:tcPr>
            <w:tcW w:w="940" w:type="dxa"/>
            <w:vAlign w:val="bottom"/>
            <w:tcBorders>
              <w:bottom w:val="single" w:sz="8" w:color="284993"/>
            </w:tcBorders>
            <w:shd w:val="clear" w:color="auto" w:fill="9DBDE4"/>
          </w:tcPr>
          <w:p>
            <w:pPr>
              <w:jc w:val="right"/>
              <w:spacing w:after="0"/>
              <w:rPr>
                <w:sz w:val="20"/>
                <w:szCs w:val="20"/>
                <w:color w:val="auto"/>
              </w:rPr>
            </w:pPr>
            <w:r>
              <w:rPr>
                <w:rFonts w:ascii="Arial" w:cs="Arial" w:eastAsia="Arial" w:hAnsi="Arial"/>
                <w:sz w:val="14"/>
                <w:szCs w:val="14"/>
                <w:color w:val="auto"/>
              </w:rPr>
              <w:t>9,275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-1553845</wp:posOffset>
            </wp:positionV>
            <wp:extent cx="8255" cy="15544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1554480"/>
                    </a:xfrm>
                    <a:prstGeom prst="rect">
                      <a:avLst/>
                    </a:prstGeom>
                    <a:noFill/>
                  </pic:spPr>
                </pic:pic>
              </a:graphicData>
            </a:graphic>
          </wp:anchor>
        </w:drawing>
        <w:drawing>
          <wp:anchor simplePos="0" relativeHeight="251657728" behindDoc="1" locked="0" layoutInCell="0" allowOverlap="1">
            <wp:simplePos x="0" y="0"/>
            <wp:positionH relativeFrom="column">
              <wp:posOffset>4861560</wp:posOffset>
            </wp:positionH>
            <wp:positionV relativeFrom="paragraph">
              <wp:posOffset>-1553845</wp:posOffset>
            </wp:positionV>
            <wp:extent cx="8255" cy="15544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155448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-1553845</wp:posOffset>
            </wp:positionV>
            <wp:extent cx="8255" cy="15544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155448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-1553845</wp:posOffset>
            </wp:positionV>
            <wp:extent cx="8255" cy="15544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155448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-1553845</wp:posOffset>
            </wp:positionV>
            <wp:extent cx="8255" cy="15544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1554480"/>
                    </a:xfrm>
                    <a:prstGeom prst="rect">
                      <a:avLst/>
                    </a:prstGeom>
                    <a:noFill/>
                  </pic:spPr>
                </pic:pic>
              </a:graphicData>
            </a:graphic>
          </wp:anchor>
        </w:drawing>
        <w:drawing>
          <wp:anchor simplePos="0" relativeHeight="251657728" behindDoc="1" locked="0" layoutInCell="0" allowOverlap="1">
            <wp:simplePos x="0" y="0"/>
            <wp:positionH relativeFrom="column">
              <wp:posOffset>2649220</wp:posOffset>
            </wp:positionH>
            <wp:positionV relativeFrom="paragraph">
              <wp:posOffset>-1553845</wp:posOffset>
            </wp:positionV>
            <wp:extent cx="8255" cy="15544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1554480"/>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-1553845</wp:posOffset>
            </wp:positionV>
            <wp:extent cx="8255" cy="15544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155448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-1553845</wp:posOffset>
            </wp:positionV>
            <wp:extent cx="8255" cy="15544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155448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-1553845</wp:posOffset>
            </wp:positionV>
            <wp:extent cx="8255" cy="15544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155448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-1553845</wp:posOffset>
            </wp:positionV>
            <wp:extent cx="8255" cy="15544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1554480"/>
                    </a:xfrm>
                    <a:prstGeom prst="rect">
                      <a:avLst/>
                    </a:prstGeom>
                    <a:noFill/>
                  </pic:spPr>
                </pic:pic>
              </a:graphicData>
            </a:graphic>
          </wp:anchor>
        </w:drawing>
      </w:r>
    </w:p>
    <w:p>
      <w:pPr>
        <w:ind w:left="280" w:hanging="278"/>
        <w:spacing w:after="0" w:line="233" w:lineRule="auto"/>
        <w:tabs>
          <w:tab w:leader="none" w:pos="280" w:val="left"/>
        </w:tabs>
        <w:numPr>
          <w:ilvl w:val="0"/>
          <w:numId w:val="53"/>
        </w:numPr>
        <w:rPr>
          <w:rFonts w:ascii="Arial" w:cs="Arial" w:eastAsia="Arial" w:hAnsi="Arial"/>
          <w:sz w:val="18"/>
          <w:szCs w:val="18"/>
          <w:color w:val="auto"/>
          <w:vertAlign w:val="superscript"/>
        </w:rPr>
      </w:pPr>
      <w:r>
        <w:rPr>
          <w:rFonts w:ascii="Arial" w:cs="Arial" w:eastAsia="Arial" w:hAnsi="Arial"/>
          <w:sz w:val="12"/>
          <w:szCs w:val="12"/>
          <w:color w:val="auto"/>
        </w:rPr>
        <w:t>Severance payment to Odilon Almeida due to his departure in 2022.</w:t>
      </w:r>
    </w:p>
    <w:p>
      <w:pPr>
        <w:ind w:left="280" w:hanging="278"/>
        <w:spacing w:after="0" w:line="180" w:lineRule="auto"/>
        <w:tabs>
          <w:tab w:leader="none" w:pos="280" w:val="left"/>
        </w:tabs>
        <w:numPr>
          <w:ilvl w:val="0"/>
          <w:numId w:val="53"/>
        </w:numPr>
        <w:rPr>
          <w:rFonts w:ascii="Arial" w:cs="Arial" w:eastAsia="Arial" w:hAnsi="Arial"/>
          <w:sz w:val="15"/>
          <w:szCs w:val="15"/>
          <w:color w:val="auto"/>
          <w:vertAlign w:val="superscript"/>
        </w:rPr>
      </w:pPr>
      <w:r>
        <w:rPr>
          <w:rFonts w:ascii="Arial" w:cs="Arial" w:eastAsia="Arial" w:hAnsi="Arial"/>
          <w:sz w:val="10"/>
          <w:szCs w:val="10"/>
          <w:color w:val="auto"/>
        </w:rPr>
        <w:t>Estimated value of continued health benefits pursuant to Mr. Almeida’s severance agreement.</w:t>
      </w:r>
    </w:p>
    <w:p>
      <w:pPr>
        <w:ind w:left="280" w:hanging="278"/>
        <w:spacing w:after="0" w:line="180" w:lineRule="auto"/>
        <w:tabs>
          <w:tab w:leader="none" w:pos="280" w:val="left"/>
        </w:tabs>
        <w:numPr>
          <w:ilvl w:val="0"/>
          <w:numId w:val="53"/>
        </w:numPr>
        <w:rPr>
          <w:rFonts w:ascii="Arial" w:cs="Arial" w:eastAsia="Arial" w:hAnsi="Arial"/>
          <w:sz w:val="15"/>
          <w:szCs w:val="15"/>
          <w:color w:val="auto"/>
          <w:vertAlign w:val="superscript"/>
        </w:rPr>
      </w:pPr>
      <w:r>
        <w:rPr>
          <w:rFonts w:ascii="Arial" w:cs="Arial" w:eastAsia="Arial" w:hAnsi="Arial"/>
          <w:sz w:val="10"/>
          <w:szCs w:val="10"/>
          <w:color w:val="auto"/>
        </w:rPr>
        <w:t>Value of accrued vacation days paid in connection with separation from employment.</w:t>
      </w:r>
    </w:p>
    <w:p>
      <w:pPr>
        <w:ind w:left="280" w:hanging="278"/>
        <w:spacing w:after="0" w:line="180" w:lineRule="auto"/>
        <w:tabs>
          <w:tab w:leader="none" w:pos="280" w:val="left"/>
        </w:tabs>
        <w:numPr>
          <w:ilvl w:val="0"/>
          <w:numId w:val="53"/>
        </w:numPr>
        <w:rPr>
          <w:rFonts w:ascii="Arial" w:cs="Arial" w:eastAsia="Arial" w:hAnsi="Arial"/>
          <w:sz w:val="15"/>
          <w:szCs w:val="15"/>
          <w:color w:val="auto"/>
          <w:vertAlign w:val="superscript"/>
        </w:rPr>
      </w:pPr>
      <w:r>
        <w:rPr>
          <w:rFonts w:ascii="Arial" w:cs="Arial" w:eastAsia="Arial" w:hAnsi="Arial"/>
          <w:sz w:val="10"/>
          <w:szCs w:val="10"/>
          <w:color w:val="auto"/>
        </w:rPr>
        <w:t>Consulting fees paid pursuant to transition services agreement.</w:t>
      </w:r>
    </w:p>
    <w:p>
      <w:pPr>
        <w:ind w:left="280" w:right="240" w:hanging="278"/>
        <w:spacing w:after="0" w:line="180" w:lineRule="auto"/>
        <w:tabs>
          <w:tab w:leader="none" w:pos="280" w:val="left"/>
        </w:tabs>
        <w:numPr>
          <w:ilvl w:val="0"/>
          <w:numId w:val="53"/>
        </w:numPr>
        <w:rPr>
          <w:rFonts w:ascii="Arial" w:cs="Arial" w:eastAsia="Arial" w:hAnsi="Arial"/>
          <w:sz w:val="18"/>
          <w:szCs w:val="18"/>
          <w:color w:val="auto"/>
          <w:vertAlign w:val="superscript"/>
        </w:rPr>
      </w:pPr>
      <w:r>
        <w:rPr>
          <w:rFonts w:ascii="Arial" w:cs="Arial" w:eastAsia="Arial" w:hAnsi="Arial"/>
          <w:sz w:val="12"/>
          <w:szCs w:val="12"/>
          <w:color w:val="auto"/>
        </w:rPr>
        <w:t>Relocation Bonus consists of a lump-sum payment of $31,967 to cover all costs related to Mrs. Guerra relocation to ACI’s headquarters in 2022, and $13,108 is a tax reimbursement for the same.</w:t>
      </w:r>
    </w:p>
    <w:p>
      <w:pPr>
        <w:ind w:left="280" w:hanging="278"/>
        <w:spacing w:after="0" w:line="180" w:lineRule="auto"/>
        <w:tabs>
          <w:tab w:leader="none" w:pos="280" w:val="left"/>
        </w:tabs>
        <w:numPr>
          <w:ilvl w:val="0"/>
          <w:numId w:val="53"/>
        </w:numPr>
        <w:rPr>
          <w:rFonts w:ascii="Arial" w:cs="Arial" w:eastAsia="Arial" w:hAnsi="Arial"/>
          <w:sz w:val="15"/>
          <w:szCs w:val="15"/>
          <w:color w:val="auto"/>
          <w:vertAlign w:val="superscript"/>
        </w:rPr>
      </w:pPr>
      <w:r>
        <w:rPr>
          <w:rFonts w:ascii="Arial" w:cs="Arial" w:eastAsia="Arial" w:hAnsi="Arial"/>
          <w:sz w:val="10"/>
          <w:szCs w:val="10"/>
          <w:color w:val="auto"/>
        </w:rPr>
        <w:t>Corporate award – Years of Service</w:t>
      </w:r>
    </w:p>
    <w:p>
      <w:pPr>
        <w:ind w:left="280" w:right="300" w:hanging="278"/>
        <w:spacing w:after="0" w:line="192" w:lineRule="auto"/>
        <w:tabs>
          <w:tab w:leader="none" w:pos="280" w:val="left"/>
        </w:tabs>
        <w:numPr>
          <w:ilvl w:val="0"/>
          <w:numId w:val="53"/>
        </w:numPr>
        <w:rPr>
          <w:rFonts w:ascii="Arial" w:cs="Arial" w:eastAsia="Arial" w:hAnsi="Arial"/>
          <w:sz w:val="18"/>
          <w:szCs w:val="18"/>
          <w:color w:val="auto"/>
          <w:vertAlign w:val="superscript"/>
        </w:rPr>
      </w:pPr>
      <w:r>
        <w:rPr>
          <w:rFonts w:ascii="Arial" w:cs="Arial" w:eastAsia="Arial" w:hAnsi="Arial"/>
          <w:sz w:val="12"/>
          <w:szCs w:val="12"/>
          <w:color w:val="auto"/>
        </w:rPr>
        <w:t>Mr. Puppala received a tuition fee reimbursement of $40,380 for continuation of his MBA program plus additional payment of $26,199 for income taxes owed on this reimbursement.</w:t>
      </w:r>
    </w:p>
    <w:p>
      <w:pPr>
        <w:spacing w:after="0" w:line="122" w:lineRule="exact"/>
        <w:rPr>
          <w:sz w:val="20"/>
          <w:szCs w:val="20"/>
          <w:color w:val="auto"/>
        </w:rPr>
      </w:pPr>
    </w:p>
    <w:p>
      <w:pPr>
        <w:ind w:left="7420"/>
        <w:spacing w:after="0"/>
        <w:rPr>
          <w:sz w:val="20"/>
          <w:szCs w:val="20"/>
          <w:color w:val="auto"/>
        </w:rPr>
      </w:pPr>
      <w:r>
        <w:rPr>
          <w:rFonts w:ascii="Arial" w:cs="Arial" w:eastAsia="Arial" w:hAnsi="Arial"/>
          <w:sz w:val="13"/>
          <w:szCs w:val="13"/>
          <w:color w:val="auto"/>
        </w:rPr>
        <w:t xml:space="preserve">2023 PROXY STATEMENT </w:t>
      </w:r>
      <w:r>
        <w:rPr>
          <w:rFonts w:ascii="Arial" w:cs="Arial" w:eastAsia="Arial" w:hAnsi="Arial"/>
          <w:sz w:val="13"/>
          <w:szCs w:val="13"/>
          <w:b w:val="1"/>
          <w:bCs w:val="1"/>
          <w:color w:val="284993"/>
        </w:rPr>
        <w:t>71</w:t>
      </w:r>
    </w:p>
    <w:p>
      <w:pPr>
        <w:sectPr>
          <w:pgSz w:w="11900" w:h="16838" w:orient="portrait"/>
          <w:cols w:equalWidth="0" w:num="1">
            <w:col w:w="9320"/>
          </w:cols>
          <w:pgMar w:left="1280" w:top="300" w:right="1299" w:bottom="1440" w:gutter="0" w:footer="0" w:header="0"/>
        </w:sectPr>
      </w:pPr>
    </w:p>
    <w:bookmarkStart w:id="77" w:name="page78"/>
    <w:bookmarkEnd w:id="77"/>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2022 Grants of Plan-Based Awards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20" w:type="dxa"/>
            <w:vAlign w:val="bottom"/>
            <w:shd w:val="clear" w:color="auto" w:fill="284993"/>
          </w:tcPr>
          <w:p>
            <w:pPr>
              <w:spacing w:after="0"/>
              <w:rPr>
                <w:sz w:val="12"/>
                <w:szCs w:val="12"/>
                <w:color w:val="auto"/>
              </w:rPr>
            </w:pPr>
          </w:p>
        </w:tc>
        <w:tc>
          <w:tcPr>
            <w:tcW w:w="80" w:type="dxa"/>
            <w:vAlign w:val="bottom"/>
            <w:shd w:val="clear" w:color="auto" w:fill="284993"/>
          </w:tcPr>
          <w:p>
            <w:pPr>
              <w:spacing w:after="0"/>
              <w:rPr>
                <w:sz w:val="12"/>
                <w:szCs w:val="12"/>
                <w:color w:val="auto"/>
              </w:rPr>
            </w:pPr>
          </w:p>
        </w:tc>
        <w:tc>
          <w:tcPr>
            <w:tcW w:w="620" w:type="dxa"/>
            <w:vAlign w:val="bottom"/>
            <w:shd w:val="clear" w:color="auto" w:fill="284993"/>
          </w:tcPr>
          <w:p>
            <w:pPr>
              <w:spacing w:after="0"/>
              <w:rPr>
                <w:sz w:val="12"/>
                <w:szCs w:val="12"/>
                <w:color w:val="auto"/>
              </w:rPr>
            </w:pPr>
          </w:p>
        </w:tc>
        <w:tc>
          <w:tcPr>
            <w:tcW w:w="60" w:type="dxa"/>
            <w:vAlign w:val="bottom"/>
            <w:shd w:val="clear" w:color="auto" w:fill="284993"/>
          </w:tcPr>
          <w:p>
            <w:pPr>
              <w:spacing w:after="0"/>
              <w:rPr>
                <w:sz w:val="12"/>
                <w:szCs w:val="12"/>
                <w:color w:val="auto"/>
              </w:rPr>
            </w:pPr>
          </w:p>
        </w:tc>
        <w:tc>
          <w:tcPr>
            <w:tcW w:w="600" w:type="dxa"/>
            <w:vAlign w:val="bottom"/>
            <w:shd w:val="clear" w:color="auto" w:fill="284993"/>
          </w:tcPr>
          <w:p>
            <w:pPr>
              <w:spacing w:after="0"/>
              <w:rPr>
                <w:sz w:val="12"/>
                <w:szCs w:val="12"/>
                <w:color w:val="auto"/>
              </w:rPr>
            </w:pPr>
          </w:p>
        </w:tc>
        <w:tc>
          <w:tcPr>
            <w:tcW w:w="80" w:type="dxa"/>
            <w:vAlign w:val="bottom"/>
            <w:shd w:val="clear" w:color="auto" w:fill="284993"/>
          </w:tcPr>
          <w:p>
            <w:pPr>
              <w:spacing w:after="0"/>
              <w:rPr>
                <w:sz w:val="12"/>
                <w:szCs w:val="12"/>
                <w:color w:val="auto"/>
              </w:rPr>
            </w:pPr>
          </w:p>
        </w:tc>
        <w:tc>
          <w:tcPr>
            <w:tcW w:w="680" w:type="dxa"/>
            <w:vAlign w:val="bottom"/>
            <w:shd w:val="clear" w:color="auto" w:fill="284993"/>
          </w:tcPr>
          <w:p>
            <w:pPr>
              <w:spacing w:after="0"/>
              <w:rPr>
                <w:sz w:val="12"/>
                <w:szCs w:val="12"/>
                <w:color w:val="auto"/>
              </w:rPr>
            </w:pPr>
          </w:p>
        </w:tc>
        <w:tc>
          <w:tcPr>
            <w:tcW w:w="760" w:type="dxa"/>
            <w:vAlign w:val="bottom"/>
            <w:shd w:val="clear" w:color="auto" w:fill="284993"/>
          </w:tcPr>
          <w:p>
            <w:pPr>
              <w:spacing w:after="0"/>
              <w:rPr>
                <w:sz w:val="12"/>
                <w:szCs w:val="12"/>
                <w:color w:val="auto"/>
              </w:rPr>
            </w:pPr>
          </w:p>
        </w:tc>
        <w:tc>
          <w:tcPr>
            <w:tcW w:w="720" w:type="dxa"/>
            <w:vAlign w:val="bottom"/>
            <w:shd w:val="clear" w:color="auto" w:fill="284993"/>
          </w:tcPr>
          <w:p>
            <w:pPr>
              <w:spacing w:after="0"/>
              <w:rPr>
                <w:sz w:val="12"/>
                <w:szCs w:val="12"/>
                <w:color w:val="auto"/>
              </w:rPr>
            </w:pPr>
          </w:p>
        </w:tc>
        <w:tc>
          <w:tcPr>
            <w:tcW w:w="660" w:type="dxa"/>
            <w:vAlign w:val="bottom"/>
            <w:shd w:val="clear" w:color="auto" w:fill="284993"/>
          </w:tcPr>
          <w:p>
            <w:pPr>
              <w:spacing w:after="0"/>
              <w:rPr>
                <w:sz w:val="12"/>
                <w:szCs w:val="12"/>
                <w:color w:val="auto"/>
              </w:rPr>
            </w:pPr>
          </w:p>
        </w:tc>
        <w:tc>
          <w:tcPr>
            <w:tcW w:w="720" w:type="dxa"/>
            <w:vAlign w:val="bottom"/>
            <w:shd w:val="clear" w:color="auto" w:fill="284993"/>
          </w:tcPr>
          <w:p>
            <w:pPr>
              <w:spacing w:after="0"/>
              <w:rPr>
                <w:sz w:val="12"/>
                <w:szCs w:val="12"/>
                <w:color w:val="auto"/>
              </w:rPr>
            </w:pPr>
          </w:p>
        </w:tc>
        <w:tc>
          <w:tcPr>
            <w:tcW w:w="40" w:type="dxa"/>
            <w:vAlign w:val="bottom"/>
            <w:shd w:val="clear" w:color="auto" w:fill="284993"/>
          </w:tcPr>
          <w:p>
            <w:pPr>
              <w:spacing w:after="0"/>
              <w:rPr>
                <w:sz w:val="12"/>
                <w:szCs w:val="12"/>
                <w:color w:val="auto"/>
              </w:rPr>
            </w:pPr>
          </w:p>
        </w:tc>
        <w:tc>
          <w:tcPr>
            <w:tcW w:w="700" w:type="dxa"/>
            <w:vAlign w:val="bottom"/>
            <w:shd w:val="clear" w:color="auto" w:fill="284993"/>
          </w:tcPr>
          <w:p>
            <w:pPr>
              <w:jc w:val="center"/>
              <w:ind w:right="20"/>
              <w:spacing w:after="0"/>
              <w:rPr>
                <w:sz w:val="20"/>
                <w:szCs w:val="20"/>
                <w:color w:val="auto"/>
              </w:rPr>
            </w:pPr>
            <w:r>
              <w:rPr>
                <w:rFonts w:ascii="Arial" w:cs="Arial" w:eastAsia="Arial" w:hAnsi="Arial"/>
                <w:sz w:val="12"/>
                <w:szCs w:val="12"/>
                <w:b w:val="1"/>
                <w:bCs w:val="1"/>
                <w:color w:val="FFFFFF"/>
                <w:w w:val="98"/>
              </w:rPr>
              <w:t>All Other</w:t>
            </w:r>
          </w:p>
        </w:tc>
        <w:tc>
          <w:tcPr>
            <w:tcW w:w="78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Grant</w:t>
            </w:r>
          </w:p>
        </w:tc>
        <w:tc>
          <w:tcPr>
            <w:tcW w:w="0" w:type="dxa"/>
            <w:vAlign w:val="bottom"/>
          </w:tcPr>
          <w:p>
            <w:pPr>
              <w:spacing w:after="0"/>
              <w:rPr>
                <w:sz w:val="1"/>
                <w:szCs w:val="1"/>
                <w:color w:val="auto"/>
              </w:rPr>
            </w:pPr>
          </w:p>
        </w:tc>
      </w:tr>
      <w:tr>
        <w:trPr>
          <w:trHeight w:val="121"/>
        </w:trPr>
        <w:tc>
          <w:tcPr>
            <w:tcW w:w="2820" w:type="dxa"/>
            <w:vAlign w:val="bottom"/>
            <w:shd w:val="clear" w:color="auto" w:fill="284993"/>
          </w:tcPr>
          <w:p>
            <w:pPr>
              <w:spacing w:after="0"/>
              <w:rPr>
                <w:sz w:val="10"/>
                <w:szCs w:val="10"/>
                <w:color w:val="auto"/>
              </w:rPr>
            </w:pPr>
          </w:p>
        </w:tc>
        <w:tc>
          <w:tcPr>
            <w:tcW w:w="80" w:type="dxa"/>
            <w:vAlign w:val="bottom"/>
            <w:shd w:val="clear" w:color="auto" w:fill="284993"/>
          </w:tcPr>
          <w:p>
            <w:pPr>
              <w:spacing w:after="0"/>
              <w:rPr>
                <w:sz w:val="10"/>
                <w:szCs w:val="10"/>
                <w:color w:val="auto"/>
              </w:rPr>
            </w:pPr>
          </w:p>
        </w:tc>
        <w:tc>
          <w:tcPr>
            <w:tcW w:w="620" w:type="dxa"/>
            <w:vAlign w:val="bottom"/>
            <w:shd w:val="clear" w:color="auto" w:fill="284993"/>
          </w:tcPr>
          <w:p>
            <w:pPr>
              <w:spacing w:after="0"/>
              <w:rPr>
                <w:sz w:val="10"/>
                <w:szCs w:val="10"/>
                <w:color w:val="auto"/>
              </w:rPr>
            </w:pPr>
          </w:p>
        </w:tc>
        <w:tc>
          <w:tcPr>
            <w:tcW w:w="60" w:type="dxa"/>
            <w:vAlign w:val="bottom"/>
            <w:shd w:val="clear" w:color="auto" w:fill="284993"/>
          </w:tcPr>
          <w:p>
            <w:pPr>
              <w:spacing w:after="0"/>
              <w:rPr>
                <w:sz w:val="10"/>
                <w:szCs w:val="10"/>
                <w:color w:val="auto"/>
              </w:rPr>
            </w:pPr>
          </w:p>
        </w:tc>
        <w:tc>
          <w:tcPr>
            <w:tcW w:w="2120" w:type="dxa"/>
            <w:vAlign w:val="bottom"/>
            <w:gridSpan w:val="4"/>
            <w:vMerge w:val="restart"/>
            <w:shd w:val="clear" w:color="auto" w:fill="284993"/>
          </w:tcPr>
          <w:p>
            <w:pPr>
              <w:ind w:left="220"/>
              <w:spacing w:after="0"/>
              <w:rPr>
                <w:sz w:val="20"/>
                <w:szCs w:val="20"/>
                <w:color w:val="auto"/>
              </w:rPr>
            </w:pPr>
            <w:r>
              <w:rPr>
                <w:rFonts w:ascii="Arial" w:cs="Arial" w:eastAsia="Arial" w:hAnsi="Arial"/>
                <w:sz w:val="12"/>
                <w:szCs w:val="12"/>
                <w:b w:val="1"/>
                <w:bCs w:val="1"/>
                <w:color w:val="FFFFFF"/>
              </w:rPr>
              <w:t>Estimated Possible Payouts</w:t>
            </w:r>
          </w:p>
        </w:tc>
        <w:tc>
          <w:tcPr>
            <w:tcW w:w="2100" w:type="dxa"/>
            <w:vAlign w:val="bottom"/>
            <w:gridSpan w:val="3"/>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Estimated Future Payouts</w:t>
            </w:r>
          </w:p>
        </w:tc>
        <w:tc>
          <w:tcPr>
            <w:tcW w:w="40" w:type="dxa"/>
            <w:vAlign w:val="bottom"/>
            <w:shd w:val="clear" w:color="auto" w:fill="284993"/>
          </w:tcPr>
          <w:p>
            <w:pPr>
              <w:spacing w:after="0"/>
              <w:rPr>
                <w:sz w:val="10"/>
                <w:szCs w:val="10"/>
                <w:color w:val="auto"/>
              </w:rPr>
            </w:pPr>
          </w:p>
        </w:tc>
        <w:tc>
          <w:tcPr>
            <w:tcW w:w="700" w:type="dxa"/>
            <w:vAlign w:val="bottom"/>
            <w:shd w:val="clear" w:color="auto" w:fill="284993"/>
          </w:tcPr>
          <w:p>
            <w:pPr>
              <w:jc w:val="center"/>
              <w:ind w:right="20"/>
              <w:spacing w:after="0" w:line="122" w:lineRule="exact"/>
              <w:rPr>
                <w:sz w:val="20"/>
                <w:szCs w:val="20"/>
                <w:color w:val="auto"/>
              </w:rPr>
            </w:pPr>
            <w:r>
              <w:rPr>
                <w:rFonts w:ascii="Arial" w:cs="Arial" w:eastAsia="Arial" w:hAnsi="Arial"/>
                <w:sz w:val="12"/>
                <w:szCs w:val="12"/>
                <w:b w:val="1"/>
                <w:bCs w:val="1"/>
                <w:color w:val="FFFFFF"/>
              </w:rPr>
              <w:t>Stock</w:t>
            </w:r>
          </w:p>
        </w:tc>
        <w:tc>
          <w:tcPr>
            <w:tcW w:w="780" w:type="dxa"/>
            <w:vAlign w:val="bottom"/>
            <w:vMerge w:val="continue"/>
            <w:shd w:val="clear" w:color="auto" w:fill="28499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820" w:type="dxa"/>
            <w:vAlign w:val="bottom"/>
            <w:shd w:val="clear" w:color="auto" w:fill="284993"/>
          </w:tcPr>
          <w:p>
            <w:pPr>
              <w:spacing w:after="0"/>
              <w:rPr>
                <w:sz w:val="6"/>
                <w:szCs w:val="6"/>
                <w:color w:val="auto"/>
              </w:rPr>
            </w:pPr>
          </w:p>
        </w:tc>
        <w:tc>
          <w:tcPr>
            <w:tcW w:w="80" w:type="dxa"/>
            <w:vAlign w:val="bottom"/>
            <w:shd w:val="clear" w:color="auto" w:fill="284993"/>
          </w:tcPr>
          <w:p>
            <w:pPr>
              <w:spacing w:after="0"/>
              <w:rPr>
                <w:sz w:val="6"/>
                <w:szCs w:val="6"/>
                <w:color w:val="auto"/>
              </w:rPr>
            </w:pPr>
          </w:p>
        </w:tc>
        <w:tc>
          <w:tcPr>
            <w:tcW w:w="620" w:type="dxa"/>
            <w:vAlign w:val="bottom"/>
            <w:shd w:val="clear" w:color="auto" w:fill="284993"/>
          </w:tcPr>
          <w:p>
            <w:pPr>
              <w:spacing w:after="0"/>
              <w:rPr>
                <w:sz w:val="6"/>
                <w:szCs w:val="6"/>
                <w:color w:val="auto"/>
              </w:rPr>
            </w:pPr>
          </w:p>
        </w:tc>
        <w:tc>
          <w:tcPr>
            <w:tcW w:w="60" w:type="dxa"/>
            <w:vAlign w:val="bottom"/>
            <w:shd w:val="clear" w:color="auto" w:fill="284993"/>
          </w:tcPr>
          <w:p>
            <w:pPr>
              <w:spacing w:after="0"/>
              <w:rPr>
                <w:sz w:val="6"/>
                <w:szCs w:val="6"/>
                <w:color w:val="auto"/>
              </w:rPr>
            </w:pPr>
          </w:p>
        </w:tc>
        <w:tc>
          <w:tcPr>
            <w:tcW w:w="2120" w:type="dxa"/>
            <w:vAlign w:val="bottom"/>
            <w:gridSpan w:val="4"/>
            <w:vMerge w:val="continue"/>
            <w:shd w:val="clear" w:color="auto" w:fill="284993"/>
          </w:tcPr>
          <w:p>
            <w:pPr>
              <w:spacing w:after="0"/>
              <w:rPr>
                <w:sz w:val="6"/>
                <w:szCs w:val="6"/>
                <w:color w:val="auto"/>
              </w:rPr>
            </w:pPr>
          </w:p>
        </w:tc>
        <w:tc>
          <w:tcPr>
            <w:tcW w:w="2100" w:type="dxa"/>
            <w:vAlign w:val="bottom"/>
            <w:gridSpan w:val="3"/>
            <w:vMerge w:val="continue"/>
            <w:shd w:val="clear" w:color="auto" w:fill="284993"/>
          </w:tcPr>
          <w:p>
            <w:pPr>
              <w:spacing w:after="0"/>
              <w:rPr>
                <w:sz w:val="6"/>
                <w:szCs w:val="6"/>
                <w:color w:val="auto"/>
              </w:rPr>
            </w:pPr>
          </w:p>
        </w:tc>
        <w:tc>
          <w:tcPr>
            <w:tcW w:w="40" w:type="dxa"/>
            <w:vAlign w:val="bottom"/>
            <w:shd w:val="clear" w:color="auto" w:fill="284993"/>
          </w:tcPr>
          <w:p>
            <w:pPr>
              <w:spacing w:after="0"/>
              <w:rPr>
                <w:sz w:val="6"/>
                <w:szCs w:val="6"/>
                <w:color w:val="auto"/>
              </w:rPr>
            </w:pPr>
          </w:p>
        </w:tc>
        <w:tc>
          <w:tcPr>
            <w:tcW w:w="700" w:type="dxa"/>
            <w:vAlign w:val="bottom"/>
            <w:vMerge w:val="restart"/>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Awards:</w:t>
            </w:r>
          </w:p>
        </w:tc>
        <w:tc>
          <w:tcPr>
            <w:tcW w:w="780" w:type="dxa"/>
            <w:vAlign w:val="bottom"/>
            <w:vMerge w:val="restart"/>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Date Fair</w:t>
            </w:r>
          </w:p>
        </w:tc>
        <w:tc>
          <w:tcPr>
            <w:tcW w:w="0" w:type="dxa"/>
            <w:vAlign w:val="bottom"/>
          </w:tcPr>
          <w:p>
            <w:pPr>
              <w:spacing w:after="0"/>
              <w:rPr>
                <w:sz w:val="1"/>
                <w:szCs w:val="1"/>
                <w:color w:val="auto"/>
              </w:rPr>
            </w:pPr>
          </w:p>
        </w:tc>
      </w:tr>
      <w:tr>
        <w:trPr>
          <w:trHeight w:val="57"/>
        </w:trPr>
        <w:tc>
          <w:tcPr>
            <w:tcW w:w="2820" w:type="dxa"/>
            <w:vAlign w:val="bottom"/>
            <w:shd w:val="clear" w:color="auto" w:fill="284993"/>
          </w:tcPr>
          <w:p>
            <w:pPr>
              <w:spacing w:after="0"/>
              <w:rPr>
                <w:sz w:val="4"/>
                <w:szCs w:val="4"/>
                <w:color w:val="auto"/>
              </w:rPr>
            </w:pPr>
          </w:p>
        </w:tc>
        <w:tc>
          <w:tcPr>
            <w:tcW w:w="80" w:type="dxa"/>
            <w:vAlign w:val="bottom"/>
            <w:shd w:val="clear" w:color="auto" w:fill="284993"/>
          </w:tcPr>
          <w:p>
            <w:pPr>
              <w:spacing w:after="0"/>
              <w:rPr>
                <w:sz w:val="4"/>
                <w:szCs w:val="4"/>
                <w:color w:val="auto"/>
              </w:rPr>
            </w:pPr>
          </w:p>
        </w:tc>
        <w:tc>
          <w:tcPr>
            <w:tcW w:w="620" w:type="dxa"/>
            <w:vAlign w:val="bottom"/>
            <w:shd w:val="clear" w:color="auto" w:fill="284993"/>
          </w:tcPr>
          <w:p>
            <w:pPr>
              <w:spacing w:after="0"/>
              <w:rPr>
                <w:sz w:val="4"/>
                <w:szCs w:val="4"/>
                <w:color w:val="auto"/>
              </w:rPr>
            </w:pPr>
          </w:p>
        </w:tc>
        <w:tc>
          <w:tcPr>
            <w:tcW w:w="60" w:type="dxa"/>
            <w:vAlign w:val="bottom"/>
            <w:shd w:val="clear" w:color="auto" w:fill="284993"/>
          </w:tcPr>
          <w:p>
            <w:pPr>
              <w:spacing w:after="0"/>
              <w:rPr>
                <w:sz w:val="4"/>
                <w:szCs w:val="4"/>
                <w:color w:val="auto"/>
              </w:rPr>
            </w:pPr>
          </w:p>
        </w:tc>
        <w:tc>
          <w:tcPr>
            <w:tcW w:w="2120" w:type="dxa"/>
            <w:vAlign w:val="bottom"/>
            <w:gridSpan w:val="4"/>
            <w:vMerge w:val="restart"/>
            <w:shd w:val="clear" w:color="auto" w:fill="284993"/>
          </w:tcPr>
          <w:p>
            <w:pPr>
              <w:jc w:val="right"/>
              <w:ind w:right="92"/>
              <w:spacing w:after="0" w:line="130" w:lineRule="exact"/>
              <w:rPr>
                <w:sz w:val="20"/>
                <w:szCs w:val="20"/>
                <w:color w:val="auto"/>
              </w:rPr>
            </w:pPr>
            <w:r>
              <w:rPr>
                <w:rFonts w:ascii="Arial" w:cs="Arial" w:eastAsia="Arial" w:hAnsi="Arial"/>
                <w:sz w:val="12"/>
                <w:szCs w:val="12"/>
                <w:b w:val="1"/>
                <w:bCs w:val="1"/>
                <w:color w:val="FFFFFF"/>
              </w:rPr>
              <w:t>Under Non-Equity Incentive Plan</w:t>
            </w:r>
          </w:p>
        </w:tc>
        <w:tc>
          <w:tcPr>
            <w:tcW w:w="2100" w:type="dxa"/>
            <w:vAlign w:val="bottom"/>
            <w:gridSpan w:val="3"/>
            <w:vMerge w:val="restart"/>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Under Equity Incentive Plan</w:t>
            </w:r>
          </w:p>
        </w:tc>
        <w:tc>
          <w:tcPr>
            <w:tcW w:w="40" w:type="dxa"/>
            <w:vAlign w:val="bottom"/>
            <w:shd w:val="clear" w:color="auto" w:fill="284993"/>
          </w:tcPr>
          <w:p>
            <w:pPr>
              <w:spacing w:after="0"/>
              <w:rPr>
                <w:sz w:val="4"/>
                <w:szCs w:val="4"/>
                <w:color w:val="auto"/>
              </w:rPr>
            </w:pPr>
          </w:p>
        </w:tc>
        <w:tc>
          <w:tcPr>
            <w:tcW w:w="700" w:type="dxa"/>
            <w:vAlign w:val="bottom"/>
            <w:vMerge w:val="continue"/>
            <w:shd w:val="clear" w:color="auto" w:fill="284993"/>
          </w:tcPr>
          <w:p>
            <w:pPr>
              <w:spacing w:after="0"/>
              <w:rPr>
                <w:sz w:val="4"/>
                <w:szCs w:val="4"/>
                <w:color w:val="auto"/>
              </w:rPr>
            </w:pPr>
          </w:p>
        </w:tc>
        <w:tc>
          <w:tcPr>
            <w:tcW w:w="780" w:type="dxa"/>
            <w:vAlign w:val="bottom"/>
            <w:vMerge w:val="continue"/>
            <w:shd w:val="clear" w:color="auto" w:fill="284993"/>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820" w:type="dxa"/>
            <w:vAlign w:val="bottom"/>
            <w:shd w:val="clear" w:color="auto" w:fill="284993"/>
          </w:tcPr>
          <w:p>
            <w:pPr>
              <w:spacing w:after="0"/>
              <w:rPr>
                <w:sz w:val="6"/>
                <w:szCs w:val="6"/>
                <w:color w:val="auto"/>
              </w:rPr>
            </w:pPr>
          </w:p>
        </w:tc>
        <w:tc>
          <w:tcPr>
            <w:tcW w:w="80" w:type="dxa"/>
            <w:vAlign w:val="bottom"/>
            <w:shd w:val="clear" w:color="auto" w:fill="284993"/>
          </w:tcPr>
          <w:p>
            <w:pPr>
              <w:spacing w:after="0"/>
              <w:rPr>
                <w:sz w:val="6"/>
                <w:szCs w:val="6"/>
                <w:color w:val="auto"/>
              </w:rPr>
            </w:pPr>
          </w:p>
        </w:tc>
        <w:tc>
          <w:tcPr>
            <w:tcW w:w="620" w:type="dxa"/>
            <w:vAlign w:val="bottom"/>
            <w:shd w:val="clear" w:color="auto" w:fill="284993"/>
          </w:tcPr>
          <w:p>
            <w:pPr>
              <w:spacing w:after="0"/>
              <w:rPr>
                <w:sz w:val="6"/>
                <w:szCs w:val="6"/>
                <w:color w:val="auto"/>
              </w:rPr>
            </w:pPr>
          </w:p>
        </w:tc>
        <w:tc>
          <w:tcPr>
            <w:tcW w:w="60" w:type="dxa"/>
            <w:vAlign w:val="bottom"/>
            <w:shd w:val="clear" w:color="auto" w:fill="284993"/>
          </w:tcPr>
          <w:p>
            <w:pPr>
              <w:spacing w:after="0"/>
              <w:rPr>
                <w:sz w:val="6"/>
                <w:szCs w:val="6"/>
                <w:color w:val="auto"/>
              </w:rPr>
            </w:pPr>
          </w:p>
        </w:tc>
        <w:tc>
          <w:tcPr>
            <w:tcW w:w="2120" w:type="dxa"/>
            <w:vAlign w:val="bottom"/>
            <w:gridSpan w:val="4"/>
            <w:vMerge w:val="continue"/>
            <w:shd w:val="clear" w:color="auto" w:fill="284993"/>
          </w:tcPr>
          <w:p>
            <w:pPr>
              <w:spacing w:after="0"/>
              <w:rPr>
                <w:sz w:val="6"/>
                <w:szCs w:val="6"/>
                <w:color w:val="auto"/>
              </w:rPr>
            </w:pPr>
          </w:p>
        </w:tc>
        <w:tc>
          <w:tcPr>
            <w:tcW w:w="2100" w:type="dxa"/>
            <w:vAlign w:val="bottom"/>
            <w:gridSpan w:val="3"/>
            <w:vMerge w:val="continue"/>
            <w:shd w:val="clear" w:color="auto" w:fill="284993"/>
          </w:tcPr>
          <w:p>
            <w:pPr>
              <w:spacing w:after="0"/>
              <w:rPr>
                <w:sz w:val="6"/>
                <w:szCs w:val="6"/>
                <w:color w:val="auto"/>
              </w:rPr>
            </w:pPr>
          </w:p>
        </w:tc>
        <w:tc>
          <w:tcPr>
            <w:tcW w:w="40" w:type="dxa"/>
            <w:vAlign w:val="bottom"/>
            <w:shd w:val="clear" w:color="auto" w:fill="284993"/>
          </w:tcPr>
          <w:p>
            <w:pPr>
              <w:spacing w:after="0"/>
              <w:rPr>
                <w:sz w:val="6"/>
                <w:szCs w:val="6"/>
                <w:color w:val="auto"/>
              </w:rPr>
            </w:pPr>
          </w:p>
        </w:tc>
        <w:tc>
          <w:tcPr>
            <w:tcW w:w="700" w:type="dxa"/>
            <w:vAlign w:val="bottom"/>
            <w:vMerge w:val="restart"/>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Number of</w:t>
            </w:r>
          </w:p>
        </w:tc>
        <w:tc>
          <w:tcPr>
            <w:tcW w:w="780" w:type="dxa"/>
            <w:vAlign w:val="bottom"/>
            <w:vMerge w:val="restart"/>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8"/>
              </w:rPr>
              <w:t>Value of</w:t>
            </w:r>
          </w:p>
        </w:tc>
        <w:tc>
          <w:tcPr>
            <w:tcW w:w="0" w:type="dxa"/>
            <w:vAlign w:val="bottom"/>
          </w:tcPr>
          <w:p>
            <w:pPr>
              <w:spacing w:after="0"/>
              <w:rPr>
                <w:sz w:val="1"/>
                <w:szCs w:val="1"/>
                <w:color w:val="auto"/>
              </w:rPr>
            </w:pPr>
          </w:p>
        </w:tc>
      </w:tr>
      <w:tr>
        <w:trPr>
          <w:trHeight w:val="57"/>
        </w:trPr>
        <w:tc>
          <w:tcPr>
            <w:tcW w:w="2820" w:type="dxa"/>
            <w:vAlign w:val="bottom"/>
            <w:shd w:val="clear" w:color="auto" w:fill="284993"/>
          </w:tcPr>
          <w:p>
            <w:pPr>
              <w:spacing w:after="0"/>
              <w:rPr>
                <w:sz w:val="4"/>
                <w:szCs w:val="4"/>
                <w:color w:val="auto"/>
              </w:rPr>
            </w:pPr>
          </w:p>
        </w:tc>
        <w:tc>
          <w:tcPr>
            <w:tcW w:w="80" w:type="dxa"/>
            <w:vAlign w:val="bottom"/>
            <w:shd w:val="clear" w:color="auto" w:fill="284993"/>
          </w:tcPr>
          <w:p>
            <w:pPr>
              <w:spacing w:after="0"/>
              <w:rPr>
                <w:sz w:val="4"/>
                <w:szCs w:val="4"/>
                <w:color w:val="auto"/>
              </w:rPr>
            </w:pPr>
          </w:p>
        </w:tc>
        <w:tc>
          <w:tcPr>
            <w:tcW w:w="620" w:type="dxa"/>
            <w:vAlign w:val="bottom"/>
            <w:shd w:val="clear" w:color="auto" w:fill="284993"/>
          </w:tcPr>
          <w:p>
            <w:pPr>
              <w:spacing w:after="0"/>
              <w:rPr>
                <w:sz w:val="4"/>
                <w:szCs w:val="4"/>
                <w:color w:val="auto"/>
              </w:rPr>
            </w:pPr>
          </w:p>
        </w:tc>
        <w:tc>
          <w:tcPr>
            <w:tcW w:w="60" w:type="dxa"/>
            <w:vAlign w:val="bottom"/>
            <w:shd w:val="clear" w:color="auto" w:fill="284993"/>
          </w:tcPr>
          <w:p>
            <w:pPr>
              <w:spacing w:after="0"/>
              <w:rPr>
                <w:sz w:val="4"/>
                <w:szCs w:val="4"/>
                <w:color w:val="auto"/>
              </w:rPr>
            </w:pPr>
          </w:p>
        </w:tc>
        <w:tc>
          <w:tcPr>
            <w:tcW w:w="600" w:type="dxa"/>
            <w:vAlign w:val="bottom"/>
            <w:shd w:val="clear" w:color="auto" w:fill="284993"/>
          </w:tcPr>
          <w:p>
            <w:pPr>
              <w:spacing w:after="0"/>
              <w:rPr>
                <w:sz w:val="4"/>
                <w:szCs w:val="4"/>
                <w:color w:val="auto"/>
              </w:rPr>
            </w:pPr>
          </w:p>
        </w:tc>
        <w:tc>
          <w:tcPr>
            <w:tcW w:w="80" w:type="dxa"/>
            <w:vAlign w:val="bottom"/>
            <w:shd w:val="clear" w:color="auto" w:fill="284993"/>
          </w:tcPr>
          <w:p>
            <w:pPr>
              <w:spacing w:after="0"/>
              <w:rPr>
                <w:sz w:val="4"/>
                <w:szCs w:val="4"/>
                <w:color w:val="auto"/>
              </w:rPr>
            </w:pPr>
          </w:p>
        </w:tc>
        <w:tc>
          <w:tcPr>
            <w:tcW w:w="680" w:type="dxa"/>
            <w:vAlign w:val="bottom"/>
            <w:vMerge w:val="restart"/>
            <w:shd w:val="clear" w:color="auto" w:fill="284993"/>
          </w:tcPr>
          <w:p>
            <w:pPr>
              <w:jc w:val="right"/>
              <w:spacing w:after="0" w:line="160"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8"/>
                <w:szCs w:val="18"/>
                <w:b w:val="1"/>
                <w:bCs w:val="1"/>
                <w:color w:val="FFFFFF"/>
                <w:vertAlign w:val="superscript"/>
              </w:rPr>
              <w:t>(1)</w:t>
            </w:r>
          </w:p>
        </w:tc>
        <w:tc>
          <w:tcPr>
            <w:tcW w:w="760" w:type="dxa"/>
            <w:vAlign w:val="bottom"/>
            <w:shd w:val="clear" w:color="auto" w:fill="284993"/>
          </w:tcPr>
          <w:p>
            <w:pPr>
              <w:spacing w:after="0"/>
              <w:rPr>
                <w:sz w:val="4"/>
                <w:szCs w:val="4"/>
                <w:color w:val="auto"/>
              </w:rPr>
            </w:pPr>
          </w:p>
        </w:tc>
        <w:tc>
          <w:tcPr>
            <w:tcW w:w="720" w:type="dxa"/>
            <w:vAlign w:val="bottom"/>
            <w:shd w:val="clear" w:color="auto" w:fill="284993"/>
          </w:tcPr>
          <w:p>
            <w:pPr>
              <w:spacing w:after="0"/>
              <w:rPr>
                <w:sz w:val="4"/>
                <w:szCs w:val="4"/>
                <w:color w:val="auto"/>
              </w:rPr>
            </w:pPr>
          </w:p>
        </w:tc>
        <w:tc>
          <w:tcPr>
            <w:tcW w:w="660" w:type="dxa"/>
            <w:vAlign w:val="bottom"/>
            <w:vMerge w:val="restart"/>
            <w:shd w:val="clear" w:color="auto" w:fill="284993"/>
          </w:tcPr>
          <w:p>
            <w:pPr>
              <w:jc w:val="center"/>
              <w:spacing w:after="0" w:line="160" w:lineRule="exact"/>
              <w:rPr>
                <w:sz w:val="20"/>
                <w:szCs w:val="20"/>
                <w:color w:val="auto"/>
              </w:rPr>
            </w:pPr>
            <w:r>
              <w:rPr>
                <w:rFonts w:ascii="Arial" w:cs="Arial" w:eastAsia="Arial" w:hAnsi="Arial"/>
                <w:sz w:val="12"/>
                <w:szCs w:val="12"/>
                <w:b w:val="1"/>
                <w:bCs w:val="1"/>
                <w:color w:val="FFFFFF"/>
                <w:w w:val="93"/>
              </w:rPr>
              <w:t>Awards</w:t>
            </w:r>
            <w:r>
              <w:rPr>
                <w:rFonts w:ascii="Arial" w:cs="Arial" w:eastAsia="Arial" w:hAnsi="Arial"/>
                <w:sz w:val="18"/>
                <w:szCs w:val="18"/>
                <w:b w:val="1"/>
                <w:bCs w:val="1"/>
                <w:color w:val="FFFFFF"/>
                <w:w w:val="93"/>
                <w:vertAlign w:val="superscript"/>
              </w:rPr>
              <w:t>(2)</w:t>
            </w:r>
          </w:p>
        </w:tc>
        <w:tc>
          <w:tcPr>
            <w:tcW w:w="720" w:type="dxa"/>
            <w:vAlign w:val="bottom"/>
            <w:shd w:val="clear" w:color="auto" w:fill="284993"/>
          </w:tcPr>
          <w:p>
            <w:pPr>
              <w:spacing w:after="0"/>
              <w:rPr>
                <w:sz w:val="4"/>
                <w:szCs w:val="4"/>
                <w:color w:val="auto"/>
              </w:rPr>
            </w:pPr>
          </w:p>
        </w:tc>
        <w:tc>
          <w:tcPr>
            <w:tcW w:w="40" w:type="dxa"/>
            <w:vAlign w:val="bottom"/>
            <w:shd w:val="clear" w:color="auto" w:fill="284993"/>
          </w:tcPr>
          <w:p>
            <w:pPr>
              <w:spacing w:after="0"/>
              <w:rPr>
                <w:sz w:val="4"/>
                <w:szCs w:val="4"/>
                <w:color w:val="auto"/>
              </w:rPr>
            </w:pPr>
          </w:p>
        </w:tc>
        <w:tc>
          <w:tcPr>
            <w:tcW w:w="700" w:type="dxa"/>
            <w:vAlign w:val="bottom"/>
            <w:vMerge w:val="continue"/>
            <w:shd w:val="clear" w:color="auto" w:fill="284993"/>
          </w:tcPr>
          <w:p>
            <w:pPr>
              <w:spacing w:after="0"/>
              <w:rPr>
                <w:sz w:val="4"/>
                <w:szCs w:val="4"/>
                <w:color w:val="auto"/>
              </w:rPr>
            </w:pPr>
          </w:p>
        </w:tc>
        <w:tc>
          <w:tcPr>
            <w:tcW w:w="780" w:type="dxa"/>
            <w:vAlign w:val="bottom"/>
            <w:vMerge w:val="continue"/>
            <w:shd w:val="clear" w:color="auto" w:fill="284993"/>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820" w:type="dxa"/>
            <w:vAlign w:val="bottom"/>
            <w:shd w:val="clear" w:color="auto" w:fill="284993"/>
          </w:tcPr>
          <w:p>
            <w:pPr>
              <w:spacing w:after="0"/>
              <w:rPr>
                <w:sz w:val="9"/>
                <w:szCs w:val="9"/>
                <w:color w:val="auto"/>
              </w:rPr>
            </w:pPr>
          </w:p>
        </w:tc>
        <w:tc>
          <w:tcPr>
            <w:tcW w:w="80" w:type="dxa"/>
            <w:vAlign w:val="bottom"/>
            <w:shd w:val="clear" w:color="auto" w:fill="284993"/>
          </w:tcPr>
          <w:p>
            <w:pPr>
              <w:spacing w:after="0"/>
              <w:rPr>
                <w:sz w:val="9"/>
                <w:szCs w:val="9"/>
                <w:color w:val="auto"/>
              </w:rPr>
            </w:pPr>
          </w:p>
        </w:tc>
        <w:tc>
          <w:tcPr>
            <w:tcW w:w="620" w:type="dxa"/>
            <w:vAlign w:val="bottom"/>
            <w:shd w:val="clear" w:color="auto" w:fill="284993"/>
          </w:tcPr>
          <w:p>
            <w:pPr>
              <w:spacing w:after="0"/>
              <w:rPr>
                <w:sz w:val="9"/>
                <w:szCs w:val="9"/>
                <w:color w:val="auto"/>
              </w:rPr>
            </w:pPr>
          </w:p>
        </w:tc>
        <w:tc>
          <w:tcPr>
            <w:tcW w:w="60" w:type="dxa"/>
            <w:vAlign w:val="bottom"/>
            <w:shd w:val="clear" w:color="auto" w:fill="284993"/>
          </w:tcPr>
          <w:p>
            <w:pPr>
              <w:spacing w:after="0"/>
              <w:rPr>
                <w:sz w:val="9"/>
                <w:szCs w:val="9"/>
                <w:color w:val="auto"/>
              </w:rPr>
            </w:pPr>
          </w:p>
        </w:tc>
        <w:tc>
          <w:tcPr>
            <w:tcW w:w="600" w:type="dxa"/>
            <w:vAlign w:val="bottom"/>
            <w:shd w:val="clear" w:color="auto" w:fill="284993"/>
          </w:tcPr>
          <w:p>
            <w:pPr>
              <w:spacing w:after="0"/>
              <w:rPr>
                <w:sz w:val="9"/>
                <w:szCs w:val="9"/>
                <w:color w:val="auto"/>
              </w:rPr>
            </w:pPr>
          </w:p>
        </w:tc>
        <w:tc>
          <w:tcPr>
            <w:tcW w:w="80" w:type="dxa"/>
            <w:vAlign w:val="bottom"/>
            <w:shd w:val="clear" w:color="auto" w:fill="284993"/>
          </w:tcPr>
          <w:p>
            <w:pPr>
              <w:spacing w:after="0"/>
              <w:rPr>
                <w:sz w:val="9"/>
                <w:szCs w:val="9"/>
                <w:color w:val="auto"/>
              </w:rPr>
            </w:pPr>
          </w:p>
        </w:tc>
        <w:tc>
          <w:tcPr>
            <w:tcW w:w="680" w:type="dxa"/>
            <w:vAlign w:val="bottom"/>
            <w:vMerge w:val="continue"/>
            <w:shd w:val="clear" w:color="auto" w:fill="284993"/>
          </w:tcPr>
          <w:p>
            <w:pPr>
              <w:spacing w:after="0"/>
              <w:rPr>
                <w:sz w:val="9"/>
                <w:szCs w:val="9"/>
                <w:color w:val="auto"/>
              </w:rPr>
            </w:pPr>
          </w:p>
        </w:tc>
        <w:tc>
          <w:tcPr>
            <w:tcW w:w="760" w:type="dxa"/>
            <w:vAlign w:val="bottom"/>
            <w:shd w:val="clear" w:color="auto" w:fill="284993"/>
          </w:tcPr>
          <w:p>
            <w:pPr>
              <w:spacing w:after="0"/>
              <w:rPr>
                <w:sz w:val="9"/>
                <w:szCs w:val="9"/>
                <w:color w:val="auto"/>
              </w:rPr>
            </w:pPr>
          </w:p>
        </w:tc>
        <w:tc>
          <w:tcPr>
            <w:tcW w:w="720" w:type="dxa"/>
            <w:vAlign w:val="bottom"/>
            <w:shd w:val="clear" w:color="auto" w:fill="284993"/>
          </w:tcPr>
          <w:p>
            <w:pPr>
              <w:spacing w:after="0"/>
              <w:rPr>
                <w:sz w:val="9"/>
                <w:szCs w:val="9"/>
                <w:color w:val="auto"/>
              </w:rPr>
            </w:pPr>
          </w:p>
        </w:tc>
        <w:tc>
          <w:tcPr>
            <w:tcW w:w="660" w:type="dxa"/>
            <w:vAlign w:val="bottom"/>
            <w:vMerge w:val="continue"/>
            <w:shd w:val="clear" w:color="auto" w:fill="284993"/>
          </w:tcPr>
          <w:p>
            <w:pPr>
              <w:spacing w:after="0"/>
              <w:rPr>
                <w:sz w:val="9"/>
                <w:szCs w:val="9"/>
                <w:color w:val="auto"/>
              </w:rPr>
            </w:pPr>
          </w:p>
        </w:tc>
        <w:tc>
          <w:tcPr>
            <w:tcW w:w="720" w:type="dxa"/>
            <w:vAlign w:val="bottom"/>
            <w:shd w:val="clear" w:color="auto" w:fill="284993"/>
          </w:tcPr>
          <w:p>
            <w:pPr>
              <w:spacing w:after="0"/>
              <w:rPr>
                <w:sz w:val="9"/>
                <w:szCs w:val="9"/>
                <w:color w:val="auto"/>
              </w:rPr>
            </w:pPr>
          </w:p>
        </w:tc>
        <w:tc>
          <w:tcPr>
            <w:tcW w:w="40" w:type="dxa"/>
            <w:vAlign w:val="bottom"/>
            <w:shd w:val="clear" w:color="auto" w:fill="284993"/>
          </w:tcPr>
          <w:p>
            <w:pPr>
              <w:spacing w:after="0"/>
              <w:rPr>
                <w:sz w:val="9"/>
                <w:szCs w:val="9"/>
                <w:color w:val="auto"/>
              </w:rPr>
            </w:pPr>
          </w:p>
        </w:tc>
        <w:tc>
          <w:tcPr>
            <w:tcW w:w="700" w:type="dxa"/>
            <w:vAlign w:val="bottom"/>
            <w:vMerge w:val="restart"/>
            <w:shd w:val="clear" w:color="auto" w:fill="284993"/>
          </w:tcPr>
          <w:p>
            <w:pPr>
              <w:jc w:val="center"/>
              <w:ind w:right="20"/>
              <w:spacing w:after="0" w:line="130" w:lineRule="exact"/>
              <w:rPr>
                <w:sz w:val="20"/>
                <w:szCs w:val="20"/>
                <w:color w:val="auto"/>
              </w:rPr>
            </w:pPr>
            <w:r>
              <w:rPr>
                <w:rFonts w:ascii="Arial" w:cs="Arial" w:eastAsia="Arial" w:hAnsi="Arial"/>
                <w:sz w:val="12"/>
                <w:szCs w:val="12"/>
                <w:b w:val="1"/>
                <w:bCs w:val="1"/>
                <w:color w:val="FFFFFF"/>
                <w:w w:val="98"/>
              </w:rPr>
              <w:t>Shares of</w:t>
            </w:r>
          </w:p>
        </w:tc>
        <w:tc>
          <w:tcPr>
            <w:tcW w:w="780" w:type="dxa"/>
            <w:vAlign w:val="bottom"/>
            <w:vMerge w:val="restart"/>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Stock and</w:t>
            </w:r>
          </w:p>
        </w:tc>
        <w:tc>
          <w:tcPr>
            <w:tcW w:w="0" w:type="dxa"/>
            <w:vAlign w:val="bottom"/>
          </w:tcPr>
          <w:p>
            <w:pPr>
              <w:spacing w:after="0"/>
              <w:rPr>
                <w:sz w:val="1"/>
                <w:szCs w:val="1"/>
                <w:color w:val="auto"/>
              </w:rPr>
            </w:pPr>
          </w:p>
        </w:tc>
      </w:tr>
      <w:tr>
        <w:trPr>
          <w:trHeight w:val="26"/>
        </w:trPr>
        <w:tc>
          <w:tcPr>
            <w:tcW w:w="2820" w:type="dxa"/>
            <w:vAlign w:val="bottom"/>
            <w:shd w:val="clear" w:color="auto" w:fill="284993"/>
          </w:tcPr>
          <w:p>
            <w:pPr>
              <w:spacing w:after="0"/>
              <w:rPr>
                <w:sz w:val="2"/>
                <w:szCs w:val="2"/>
                <w:color w:val="auto"/>
              </w:rPr>
            </w:pPr>
          </w:p>
        </w:tc>
        <w:tc>
          <w:tcPr>
            <w:tcW w:w="80" w:type="dxa"/>
            <w:vAlign w:val="bottom"/>
            <w:shd w:val="clear" w:color="auto" w:fill="284993"/>
          </w:tcPr>
          <w:p>
            <w:pPr>
              <w:spacing w:after="0"/>
              <w:rPr>
                <w:sz w:val="2"/>
                <w:szCs w:val="2"/>
                <w:color w:val="auto"/>
              </w:rPr>
            </w:pPr>
          </w:p>
        </w:tc>
        <w:tc>
          <w:tcPr>
            <w:tcW w:w="620" w:type="dxa"/>
            <w:vAlign w:val="bottom"/>
            <w:shd w:val="clear" w:color="auto" w:fill="284993"/>
          </w:tcPr>
          <w:p>
            <w:pPr>
              <w:spacing w:after="0"/>
              <w:rPr>
                <w:sz w:val="2"/>
                <w:szCs w:val="2"/>
                <w:color w:val="auto"/>
              </w:rPr>
            </w:pPr>
          </w:p>
        </w:tc>
        <w:tc>
          <w:tcPr>
            <w:tcW w:w="60" w:type="dxa"/>
            <w:vAlign w:val="bottom"/>
            <w:shd w:val="clear" w:color="auto" w:fill="284993"/>
          </w:tcPr>
          <w:p>
            <w:pPr>
              <w:spacing w:after="0"/>
              <w:rPr>
                <w:sz w:val="2"/>
                <w:szCs w:val="2"/>
                <w:color w:val="auto"/>
              </w:rPr>
            </w:pPr>
          </w:p>
        </w:tc>
        <w:tc>
          <w:tcPr>
            <w:tcW w:w="600" w:type="dxa"/>
            <w:vAlign w:val="bottom"/>
            <w:shd w:val="clear" w:color="auto" w:fill="284993"/>
          </w:tcPr>
          <w:p>
            <w:pPr>
              <w:spacing w:after="0"/>
              <w:rPr>
                <w:sz w:val="2"/>
                <w:szCs w:val="2"/>
                <w:color w:val="auto"/>
              </w:rPr>
            </w:pPr>
          </w:p>
        </w:tc>
        <w:tc>
          <w:tcPr>
            <w:tcW w:w="80" w:type="dxa"/>
            <w:vAlign w:val="bottom"/>
            <w:shd w:val="clear" w:color="auto" w:fill="284993"/>
          </w:tcPr>
          <w:p>
            <w:pPr>
              <w:spacing w:after="0"/>
              <w:rPr>
                <w:sz w:val="2"/>
                <w:szCs w:val="2"/>
                <w:color w:val="auto"/>
              </w:rPr>
            </w:pPr>
          </w:p>
        </w:tc>
        <w:tc>
          <w:tcPr>
            <w:tcW w:w="680" w:type="dxa"/>
            <w:vAlign w:val="bottom"/>
            <w:shd w:val="clear" w:color="auto" w:fill="284993"/>
          </w:tcPr>
          <w:p>
            <w:pPr>
              <w:spacing w:after="0"/>
              <w:rPr>
                <w:sz w:val="2"/>
                <w:szCs w:val="2"/>
                <w:color w:val="auto"/>
              </w:rPr>
            </w:pPr>
          </w:p>
        </w:tc>
        <w:tc>
          <w:tcPr>
            <w:tcW w:w="760" w:type="dxa"/>
            <w:vAlign w:val="bottom"/>
            <w:shd w:val="clear" w:color="auto" w:fill="284993"/>
          </w:tcPr>
          <w:p>
            <w:pPr>
              <w:spacing w:after="0"/>
              <w:rPr>
                <w:sz w:val="2"/>
                <w:szCs w:val="2"/>
                <w:color w:val="auto"/>
              </w:rPr>
            </w:pPr>
          </w:p>
        </w:tc>
        <w:tc>
          <w:tcPr>
            <w:tcW w:w="720" w:type="dxa"/>
            <w:vAlign w:val="bottom"/>
            <w:shd w:val="clear" w:color="auto" w:fill="284993"/>
          </w:tcPr>
          <w:p>
            <w:pPr>
              <w:spacing w:after="0"/>
              <w:rPr>
                <w:sz w:val="2"/>
                <w:szCs w:val="2"/>
                <w:color w:val="auto"/>
              </w:rPr>
            </w:pPr>
          </w:p>
        </w:tc>
        <w:tc>
          <w:tcPr>
            <w:tcW w:w="660" w:type="dxa"/>
            <w:vAlign w:val="bottom"/>
            <w:shd w:val="clear" w:color="auto" w:fill="284993"/>
          </w:tcPr>
          <w:p>
            <w:pPr>
              <w:spacing w:after="0"/>
              <w:rPr>
                <w:sz w:val="2"/>
                <w:szCs w:val="2"/>
                <w:color w:val="auto"/>
              </w:rPr>
            </w:pPr>
          </w:p>
        </w:tc>
        <w:tc>
          <w:tcPr>
            <w:tcW w:w="720" w:type="dxa"/>
            <w:vAlign w:val="bottom"/>
            <w:shd w:val="clear" w:color="auto" w:fill="284993"/>
          </w:tcPr>
          <w:p>
            <w:pPr>
              <w:spacing w:after="0"/>
              <w:rPr>
                <w:sz w:val="2"/>
                <w:szCs w:val="2"/>
                <w:color w:val="auto"/>
              </w:rPr>
            </w:pPr>
          </w:p>
        </w:tc>
        <w:tc>
          <w:tcPr>
            <w:tcW w:w="40" w:type="dxa"/>
            <w:vAlign w:val="bottom"/>
            <w:shd w:val="clear" w:color="auto" w:fill="284993"/>
          </w:tcPr>
          <w:p>
            <w:pPr>
              <w:spacing w:after="0"/>
              <w:rPr>
                <w:sz w:val="2"/>
                <w:szCs w:val="2"/>
                <w:color w:val="auto"/>
              </w:rPr>
            </w:pPr>
          </w:p>
        </w:tc>
        <w:tc>
          <w:tcPr>
            <w:tcW w:w="700" w:type="dxa"/>
            <w:vAlign w:val="bottom"/>
            <w:vMerge w:val="continue"/>
            <w:shd w:val="clear" w:color="auto" w:fill="284993"/>
          </w:tcPr>
          <w:p>
            <w:pPr>
              <w:spacing w:after="0"/>
              <w:rPr>
                <w:sz w:val="2"/>
                <w:szCs w:val="2"/>
                <w:color w:val="auto"/>
              </w:rPr>
            </w:pPr>
          </w:p>
        </w:tc>
        <w:tc>
          <w:tcPr>
            <w:tcW w:w="780" w:type="dxa"/>
            <w:vAlign w:val="bottom"/>
            <w:vMerge w:val="continue"/>
            <w:shd w:val="clear" w:color="auto" w:fill="28499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820" w:type="dxa"/>
            <w:vAlign w:val="bottom"/>
            <w:shd w:val="clear" w:color="auto" w:fill="284993"/>
          </w:tcPr>
          <w:p>
            <w:pPr>
              <w:spacing w:after="0"/>
              <w:rPr>
                <w:sz w:val="11"/>
                <w:szCs w:val="11"/>
                <w:color w:val="auto"/>
              </w:rPr>
            </w:pPr>
          </w:p>
        </w:tc>
        <w:tc>
          <w:tcPr>
            <w:tcW w:w="80" w:type="dxa"/>
            <w:vAlign w:val="bottom"/>
            <w:shd w:val="clear" w:color="auto" w:fill="284993"/>
          </w:tcPr>
          <w:p>
            <w:pPr>
              <w:spacing w:after="0"/>
              <w:rPr>
                <w:sz w:val="11"/>
                <w:szCs w:val="11"/>
                <w:color w:val="auto"/>
              </w:rPr>
            </w:pPr>
          </w:p>
        </w:tc>
        <w:tc>
          <w:tcPr>
            <w:tcW w:w="620" w:type="dxa"/>
            <w:vAlign w:val="bottom"/>
            <w:vMerge w:val="restart"/>
            <w:shd w:val="clear" w:color="auto" w:fill="284993"/>
          </w:tcPr>
          <w:p>
            <w:pPr>
              <w:jc w:val="center"/>
              <w:ind w:right="34"/>
              <w:spacing w:after="0"/>
              <w:rPr>
                <w:sz w:val="20"/>
                <w:szCs w:val="20"/>
                <w:color w:val="auto"/>
              </w:rPr>
            </w:pPr>
            <w:r>
              <w:rPr>
                <w:rFonts w:ascii="Arial" w:cs="Arial" w:eastAsia="Arial" w:hAnsi="Arial"/>
                <w:sz w:val="12"/>
                <w:szCs w:val="12"/>
                <w:b w:val="1"/>
                <w:bCs w:val="1"/>
                <w:color w:val="FFFFFF"/>
                <w:w w:val="99"/>
              </w:rPr>
              <w:t>Grant</w:t>
            </w:r>
          </w:p>
        </w:tc>
        <w:tc>
          <w:tcPr>
            <w:tcW w:w="60" w:type="dxa"/>
            <w:vAlign w:val="bottom"/>
            <w:shd w:val="clear" w:color="auto" w:fill="284993"/>
          </w:tcPr>
          <w:p>
            <w:pPr>
              <w:spacing w:after="0"/>
              <w:rPr>
                <w:sz w:val="11"/>
                <w:szCs w:val="11"/>
                <w:color w:val="auto"/>
              </w:rPr>
            </w:pPr>
          </w:p>
        </w:tc>
        <w:tc>
          <w:tcPr>
            <w:tcW w:w="600" w:type="dxa"/>
            <w:vAlign w:val="bottom"/>
            <w:vMerge w:val="restart"/>
            <w:shd w:val="clear" w:color="auto" w:fill="284993"/>
          </w:tcPr>
          <w:p>
            <w:pPr>
              <w:jc w:val="right"/>
              <w:spacing w:after="0"/>
              <w:rPr>
                <w:sz w:val="20"/>
                <w:szCs w:val="20"/>
                <w:color w:val="auto"/>
              </w:rPr>
            </w:pPr>
            <w:r>
              <w:rPr>
                <w:rFonts w:ascii="Arial" w:cs="Arial" w:eastAsia="Arial" w:hAnsi="Arial"/>
                <w:sz w:val="12"/>
                <w:szCs w:val="12"/>
                <w:b w:val="1"/>
                <w:bCs w:val="1"/>
                <w:color w:val="FFFFFF"/>
                <w:w w:val="96"/>
              </w:rPr>
              <w:t>Threshold</w:t>
            </w:r>
          </w:p>
        </w:tc>
        <w:tc>
          <w:tcPr>
            <w:tcW w:w="80" w:type="dxa"/>
            <w:vAlign w:val="bottom"/>
            <w:shd w:val="clear" w:color="auto" w:fill="284993"/>
          </w:tcPr>
          <w:p>
            <w:pPr>
              <w:spacing w:after="0"/>
              <w:rPr>
                <w:sz w:val="11"/>
                <w:szCs w:val="11"/>
                <w:color w:val="auto"/>
              </w:rPr>
            </w:pPr>
          </w:p>
        </w:tc>
        <w:tc>
          <w:tcPr>
            <w:tcW w:w="680" w:type="dxa"/>
            <w:vAlign w:val="bottom"/>
            <w:vMerge w:val="restart"/>
            <w:shd w:val="clear" w:color="auto" w:fill="284993"/>
          </w:tcPr>
          <w:p>
            <w:pPr>
              <w:jc w:val="right"/>
              <w:ind w:right="112"/>
              <w:spacing w:after="0"/>
              <w:rPr>
                <w:sz w:val="20"/>
                <w:szCs w:val="20"/>
                <w:color w:val="auto"/>
              </w:rPr>
            </w:pPr>
            <w:r>
              <w:rPr>
                <w:rFonts w:ascii="Arial" w:cs="Arial" w:eastAsia="Arial" w:hAnsi="Arial"/>
                <w:sz w:val="12"/>
                <w:szCs w:val="12"/>
                <w:b w:val="1"/>
                <w:bCs w:val="1"/>
                <w:color w:val="FFFFFF"/>
              </w:rPr>
              <w:t>Target</w:t>
            </w:r>
          </w:p>
        </w:tc>
        <w:tc>
          <w:tcPr>
            <w:tcW w:w="760" w:type="dxa"/>
            <w:vAlign w:val="bottom"/>
            <w:vMerge w:val="restart"/>
            <w:shd w:val="clear" w:color="auto" w:fill="284993"/>
          </w:tcPr>
          <w:p>
            <w:pPr>
              <w:jc w:val="right"/>
              <w:ind w:right="52"/>
              <w:spacing w:after="0"/>
              <w:rPr>
                <w:sz w:val="20"/>
                <w:szCs w:val="20"/>
                <w:color w:val="auto"/>
              </w:rPr>
            </w:pPr>
            <w:r>
              <w:rPr>
                <w:rFonts w:ascii="Arial" w:cs="Arial" w:eastAsia="Arial" w:hAnsi="Arial"/>
                <w:sz w:val="12"/>
                <w:szCs w:val="12"/>
                <w:b w:val="1"/>
                <w:bCs w:val="1"/>
                <w:color w:val="FFFFFF"/>
              </w:rPr>
              <w:t>Maximum</w:t>
            </w:r>
          </w:p>
        </w:tc>
        <w:tc>
          <w:tcPr>
            <w:tcW w:w="72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Threshold</w:t>
            </w:r>
          </w:p>
        </w:tc>
        <w:tc>
          <w:tcPr>
            <w:tcW w:w="66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8"/>
              </w:rPr>
              <w:t>Target</w:t>
            </w:r>
          </w:p>
        </w:tc>
        <w:tc>
          <w:tcPr>
            <w:tcW w:w="720" w:type="dxa"/>
            <w:vAlign w:val="bottom"/>
            <w:vMerge w:val="restart"/>
            <w:shd w:val="clear" w:color="auto" w:fill="284993"/>
          </w:tcPr>
          <w:p>
            <w:pPr>
              <w:jc w:val="right"/>
              <w:ind w:right="12"/>
              <w:spacing w:after="0"/>
              <w:rPr>
                <w:sz w:val="20"/>
                <w:szCs w:val="20"/>
                <w:color w:val="auto"/>
              </w:rPr>
            </w:pPr>
            <w:r>
              <w:rPr>
                <w:rFonts w:ascii="Arial" w:cs="Arial" w:eastAsia="Arial" w:hAnsi="Arial"/>
                <w:sz w:val="12"/>
                <w:szCs w:val="12"/>
                <w:b w:val="1"/>
                <w:bCs w:val="1"/>
                <w:color w:val="FFFFFF"/>
              </w:rPr>
              <w:t>Maximum</w:t>
            </w:r>
          </w:p>
        </w:tc>
        <w:tc>
          <w:tcPr>
            <w:tcW w:w="40" w:type="dxa"/>
            <w:vAlign w:val="bottom"/>
            <w:shd w:val="clear" w:color="auto" w:fill="284993"/>
          </w:tcPr>
          <w:p>
            <w:pPr>
              <w:spacing w:after="0"/>
              <w:rPr>
                <w:sz w:val="11"/>
                <w:szCs w:val="11"/>
                <w:color w:val="auto"/>
              </w:rPr>
            </w:pPr>
          </w:p>
        </w:tc>
        <w:tc>
          <w:tcPr>
            <w:tcW w:w="7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Stock or</w:t>
            </w:r>
          </w:p>
        </w:tc>
        <w:tc>
          <w:tcPr>
            <w:tcW w:w="7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Option</w:t>
            </w:r>
          </w:p>
        </w:tc>
        <w:tc>
          <w:tcPr>
            <w:tcW w:w="0" w:type="dxa"/>
            <w:vAlign w:val="bottom"/>
          </w:tcPr>
          <w:p>
            <w:pPr>
              <w:spacing w:after="0"/>
              <w:rPr>
                <w:sz w:val="1"/>
                <w:szCs w:val="1"/>
                <w:color w:val="auto"/>
              </w:rPr>
            </w:pPr>
          </w:p>
        </w:tc>
      </w:tr>
      <w:tr>
        <w:trPr>
          <w:trHeight w:val="130"/>
        </w:trPr>
        <w:tc>
          <w:tcPr>
            <w:tcW w:w="2820" w:type="dxa"/>
            <w:vAlign w:val="bottom"/>
            <w:vMerge w:val="restart"/>
            <w:shd w:val="clear" w:color="auto" w:fill="284993"/>
          </w:tcPr>
          <w:p>
            <w:pPr>
              <w:ind w:left="80"/>
              <w:spacing w:after="0"/>
              <w:rPr>
                <w:sz w:val="20"/>
                <w:szCs w:val="20"/>
                <w:color w:val="auto"/>
              </w:rPr>
            </w:pPr>
            <w:r>
              <w:rPr>
                <w:rFonts w:ascii="Arial" w:cs="Arial" w:eastAsia="Arial" w:hAnsi="Arial"/>
                <w:sz w:val="12"/>
                <w:szCs w:val="12"/>
                <w:b w:val="1"/>
                <w:bCs w:val="1"/>
                <w:color w:val="FFFFFF"/>
              </w:rPr>
              <w:t>Name</w:t>
            </w:r>
          </w:p>
        </w:tc>
        <w:tc>
          <w:tcPr>
            <w:tcW w:w="80" w:type="dxa"/>
            <w:vAlign w:val="bottom"/>
            <w:shd w:val="clear" w:color="auto" w:fill="284993"/>
          </w:tcPr>
          <w:p>
            <w:pPr>
              <w:spacing w:after="0"/>
              <w:rPr>
                <w:sz w:val="11"/>
                <w:szCs w:val="11"/>
                <w:color w:val="auto"/>
              </w:rPr>
            </w:pPr>
          </w:p>
        </w:tc>
        <w:tc>
          <w:tcPr>
            <w:tcW w:w="620" w:type="dxa"/>
            <w:vAlign w:val="bottom"/>
            <w:vMerge w:val="continue"/>
            <w:shd w:val="clear" w:color="auto" w:fill="284993"/>
          </w:tcPr>
          <w:p>
            <w:pPr>
              <w:spacing w:after="0"/>
              <w:rPr>
                <w:sz w:val="11"/>
                <w:szCs w:val="11"/>
                <w:color w:val="auto"/>
              </w:rPr>
            </w:pPr>
          </w:p>
        </w:tc>
        <w:tc>
          <w:tcPr>
            <w:tcW w:w="60" w:type="dxa"/>
            <w:vAlign w:val="bottom"/>
            <w:shd w:val="clear" w:color="auto" w:fill="284993"/>
          </w:tcPr>
          <w:p>
            <w:pPr>
              <w:spacing w:after="0"/>
              <w:rPr>
                <w:sz w:val="11"/>
                <w:szCs w:val="11"/>
                <w:color w:val="auto"/>
              </w:rPr>
            </w:pPr>
          </w:p>
        </w:tc>
        <w:tc>
          <w:tcPr>
            <w:tcW w:w="600" w:type="dxa"/>
            <w:vAlign w:val="bottom"/>
            <w:vMerge w:val="continue"/>
            <w:shd w:val="clear" w:color="auto" w:fill="284993"/>
          </w:tcPr>
          <w:p>
            <w:pPr>
              <w:spacing w:after="0"/>
              <w:rPr>
                <w:sz w:val="11"/>
                <w:szCs w:val="11"/>
                <w:color w:val="auto"/>
              </w:rPr>
            </w:pPr>
          </w:p>
        </w:tc>
        <w:tc>
          <w:tcPr>
            <w:tcW w:w="80" w:type="dxa"/>
            <w:vAlign w:val="bottom"/>
            <w:shd w:val="clear" w:color="auto" w:fill="284993"/>
          </w:tcPr>
          <w:p>
            <w:pPr>
              <w:spacing w:after="0"/>
              <w:rPr>
                <w:sz w:val="11"/>
                <w:szCs w:val="11"/>
                <w:color w:val="auto"/>
              </w:rPr>
            </w:pPr>
          </w:p>
        </w:tc>
        <w:tc>
          <w:tcPr>
            <w:tcW w:w="680" w:type="dxa"/>
            <w:vAlign w:val="bottom"/>
            <w:vMerge w:val="continue"/>
            <w:shd w:val="clear" w:color="auto" w:fill="284993"/>
          </w:tcPr>
          <w:p>
            <w:pPr>
              <w:spacing w:after="0"/>
              <w:rPr>
                <w:sz w:val="11"/>
                <w:szCs w:val="11"/>
                <w:color w:val="auto"/>
              </w:rPr>
            </w:pPr>
          </w:p>
        </w:tc>
        <w:tc>
          <w:tcPr>
            <w:tcW w:w="760" w:type="dxa"/>
            <w:vAlign w:val="bottom"/>
            <w:vMerge w:val="continue"/>
            <w:shd w:val="clear" w:color="auto" w:fill="284993"/>
          </w:tcPr>
          <w:p>
            <w:pPr>
              <w:spacing w:after="0"/>
              <w:rPr>
                <w:sz w:val="11"/>
                <w:szCs w:val="11"/>
                <w:color w:val="auto"/>
              </w:rPr>
            </w:pPr>
          </w:p>
        </w:tc>
        <w:tc>
          <w:tcPr>
            <w:tcW w:w="720" w:type="dxa"/>
            <w:vAlign w:val="bottom"/>
            <w:vMerge w:val="continue"/>
            <w:shd w:val="clear" w:color="auto" w:fill="284993"/>
          </w:tcPr>
          <w:p>
            <w:pPr>
              <w:spacing w:after="0"/>
              <w:rPr>
                <w:sz w:val="11"/>
                <w:szCs w:val="11"/>
                <w:color w:val="auto"/>
              </w:rPr>
            </w:pPr>
          </w:p>
        </w:tc>
        <w:tc>
          <w:tcPr>
            <w:tcW w:w="660" w:type="dxa"/>
            <w:vAlign w:val="bottom"/>
            <w:vMerge w:val="continue"/>
            <w:shd w:val="clear" w:color="auto" w:fill="284993"/>
          </w:tcPr>
          <w:p>
            <w:pPr>
              <w:spacing w:after="0"/>
              <w:rPr>
                <w:sz w:val="11"/>
                <w:szCs w:val="11"/>
                <w:color w:val="auto"/>
              </w:rPr>
            </w:pPr>
          </w:p>
        </w:tc>
        <w:tc>
          <w:tcPr>
            <w:tcW w:w="720" w:type="dxa"/>
            <w:vAlign w:val="bottom"/>
            <w:vMerge w:val="continue"/>
            <w:shd w:val="clear" w:color="auto" w:fill="284993"/>
          </w:tcPr>
          <w:p>
            <w:pPr>
              <w:spacing w:after="0"/>
              <w:rPr>
                <w:sz w:val="11"/>
                <w:szCs w:val="11"/>
                <w:color w:val="auto"/>
              </w:rPr>
            </w:pPr>
          </w:p>
        </w:tc>
        <w:tc>
          <w:tcPr>
            <w:tcW w:w="40" w:type="dxa"/>
            <w:vAlign w:val="bottom"/>
            <w:shd w:val="clear" w:color="auto" w:fill="284993"/>
          </w:tcPr>
          <w:p>
            <w:pPr>
              <w:spacing w:after="0"/>
              <w:rPr>
                <w:sz w:val="11"/>
                <w:szCs w:val="11"/>
                <w:color w:val="auto"/>
              </w:rPr>
            </w:pPr>
          </w:p>
        </w:tc>
        <w:tc>
          <w:tcPr>
            <w:tcW w:w="700" w:type="dxa"/>
            <w:vAlign w:val="bottom"/>
            <w:shd w:val="clear" w:color="auto" w:fill="284993"/>
          </w:tcPr>
          <w:p>
            <w:pPr>
              <w:jc w:val="center"/>
              <w:ind w:right="20"/>
              <w:spacing w:after="0" w:line="130" w:lineRule="exact"/>
              <w:rPr>
                <w:sz w:val="20"/>
                <w:szCs w:val="20"/>
                <w:color w:val="auto"/>
              </w:rPr>
            </w:pPr>
            <w:r>
              <w:rPr>
                <w:rFonts w:ascii="Arial" w:cs="Arial" w:eastAsia="Arial" w:hAnsi="Arial"/>
                <w:sz w:val="10"/>
                <w:szCs w:val="10"/>
                <w:b w:val="1"/>
                <w:bCs w:val="1"/>
                <w:color w:val="FFFFFF"/>
              </w:rPr>
              <w:t>Units</w:t>
            </w:r>
            <w:r>
              <w:rPr>
                <w:rFonts w:ascii="Arial" w:cs="Arial" w:eastAsia="Arial" w:hAnsi="Arial"/>
                <w:sz w:val="15"/>
                <w:szCs w:val="15"/>
                <w:b w:val="1"/>
                <w:bCs w:val="1"/>
                <w:color w:val="FFFFFF"/>
                <w:vertAlign w:val="superscript"/>
              </w:rPr>
              <w:t>(3)</w:t>
            </w:r>
          </w:p>
        </w:tc>
        <w:tc>
          <w:tcPr>
            <w:tcW w:w="780" w:type="dxa"/>
            <w:vAlign w:val="bottom"/>
            <w:shd w:val="clear" w:color="auto" w:fill="284993"/>
          </w:tcPr>
          <w:p>
            <w:pPr>
              <w:jc w:val="center"/>
              <w:spacing w:after="0" w:line="130"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5"/>
                <w:szCs w:val="15"/>
                <w:b w:val="1"/>
                <w:bCs w:val="1"/>
                <w:color w:val="FFFFFF"/>
                <w:vertAlign w:val="superscript"/>
              </w:rPr>
              <w:t>(4)</w:t>
            </w:r>
          </w:p>
        </w:tc>
        <w:tc>
          <w:tcPr>
            <w:tcW w:w="0" w:type="dxa"/>
            <w:vAlign w:val="bottom"/>
          </w:tcPr>
          <w:p>
            <w:pPr>
              <w:spacing w:after="0"/>
              <w:rPr>
                <w:sz w:val="1"/>
                <w:szCs w:val="1"/>
                <w:color w:val="auto"/>
              </w:rPr>
            </w:pPr>
          </w:p>
        </w:tc>
      </w:tr>
      <w:tr>
        <w:trPr>
          <w:trHeight w:val="155"/>
        </w:trPr>
        <w:tc>
          <w:tcPr>
            <w:tcW w:w="2820" w:type="dxa"/>
            <w:vAlign w:val="bottom"/>
            <w:vMerge w:val="continue"/>
            <w:shd w:val="clear" w:color="auto" w:fill="284993"/>
          </w:tcPr>
          <w:p>
            <w:pPr>
              <w:spacing w:after="0"/>
              <w:rPr>
                <w:sz w:val="13"/>
                <w:szCs w:val="13"/>
                <w:color w:val="auto"/>
              </w:rPr>
            </w:pPr>
          </w:p>
        </w:tc>
        <w:tc>
          <w:tcPr>
            <w:tcW w:w="80" w:type="dxa"/>
            <w:vAlign w:val="bottom"/>
            <w:shd w:val="clear" w:color="auto" w:fill="284993"/>
          </w:tcPr>
          <w:p>
            <w:pPr>
              <w:spacing w:after="0"/>
              <w:rPr>
                <w:sz w:val="13"/>
                <w:szCs w:val="13"/>
                <w:color w:val="auto"/>
              </w:rPr>
            </w:pPr>
          </w:p>
        </w:tc>
        <w:tc>
          <w:tcPr>
            <w:tcW w:w="620" w:type="dxa"/>
            <w:vAlign w:val="bottom"/>
            <w:shd w:val="clear" w:color="auto" w:fill="284993"/>
          </w:tcPr>
          <w:p>
            <w:pPr>
              <w:jc w:val="center"/>
              <w:ind w:right="54"/>
              <w:spacing w:after="0"/>
              <w:rPr>
                <w:sz w:val="20"/>
                <w:szCs w:val="20"/>
                <w:color w:val="auto"/>
              </w:rPr>
            </w:pPr>
            <w:r>
              <w:rPr>
                <w:rFonts w:ascii="Arial" w:cs="Arial" w:eastAsia="Arial" w:hAnsi="Arial"/>
                <w:sz w:val="12"/>
                <w:szCs w:val="12"/>
                <w:b w:val="1"/>
                <w:bCs w:val="1"/>
                <w:color w:val="FFFFFF"/>
                <w:w w:val="99"/>
              </w:rPr>
              <w:t>Date</w:t>
            </w:r>
          </w:p>
        </w:tc>
        <w:tc>
          <w:tcPr>
            <w:tcW w:w="60" w:type="dxa"/>
            <w:vAlign w:val="bottom"/>
            <w:shd w:val="clear" w:color="auto" w:fill="284993"/>
          </w:tcPr>
          <w:p>
            <w:pPr>
              <w:spacing w:after="0"/>
              <w:rPr>
                <w:sz w:val="13"/>
                <w:szCs w:val="13"/>
                <w:color w:val="auto"/>
              </w:rPr>
            </w:pPr>
          </w:p>
        </w:tc>
        <w:tc>
          <w:tcPr>
            <w:tcW w:w="600" w:type="dxa"/>
            <w:vAlign w:val="bottom"/>
            <w:shd w:val="clear" w:color="auto" w:fill="284993"/>
          </w:tcPr>
          <w:p>
            <w:pPr>
              <w:ind w:left="220"/>
              <w:spacing w:after="0"/>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284993"/>
          </w:tcPr>
          <w:p>
            <w:pPr>
              <w:spacing w:after="0"/>
              <w:rPr>
                <w:sz w:val="13"/>
                <w:szCs w:val="13"/>
                <w:color w:val="auto"/>
              </w:rPr>
            </w:pPr>
          </w:p>
        </w:tc>
        <w:tc>
          <w:tcPr>
            <w:tcW w:w="680" w:type="dxa"/>
            <w:vAlign w:val="bottom"/>
            <w:shd w:val="clear" w:color="auto" w:fill="284993"/>
          </w:tcPr>
          <w:p>
            <w:pPr>
              <w:jc w:val="right"/>
              <w:ind w:right="232"/>
              <w:spacing w:after="0"/>
              <w:rPr>
                <w:sz w:val="20"/>
                <w:szCs w:val="20"/>
                <w:color w:val="auto"/>
              </w:rPr>
            </w:pPr>
            <w:r>
              <w:rPr>
                <w:rFonts w:ascii="Arial" w:cs="Arial" w:eastAsia="Arial" w:hAnsi="Arial"/>
                <w:sz w:val="12"/>
                <w:szCs w:val="12"/>
                <w:b w:val="1"/>
                <w:bCs w:val="1"/>
                <w:color w:val="FFFFFF"/>
              </w:rPr>
              <w:t>($)</w:t>
            </w:r>
          </w:p>
        </w:tc>
        <w:tc>
          <w:tcPr>
            <w:tcW w:w="760" w:type="dxa"/>
            <w:vAlign w:val="bottom"/>
            <w:shd w:val="clear" w:color="auto" w:fill="284993"/>
          </w:tcPr>
          <w:p>
            <w:pPr>
              <w:jc w:val="right"/>
              <w:ind w:right="252"/>
              <w:spacing w:after="0"/>
              <w:rPr>
                <w:sz w:val="20"/>
                <w:szCs w:val="20"/>
                <w:color w:val="auto"/>
              </w:rPr>
            </w:pPr>
            <w:r>
              <w:rPr>
                <w:rFonts w:ascii="Arial" w:cs="Arial" w:eastAsia="Arial" w:hAnsi="Arial"/>
                <w:sz w:val="12"/>
                <w:szCs w:val="12"/>
                <w:b w:val="1"/>
                <w:bCs w:val="1"/>
                <w:color w:val="FFFFFF"/>
              </w:rPr>
              <w:t>($)</w:t>
            </w:r>
          </w:p>
        </w:tc>
        <w:tc>
          <w:tcPr>
            <w:tcW w:w="7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w:t>
            </w:r>
          </w:p>
        </w:tc>
        <w:tc>
          <w:tcPr>
            <w:tcW w:w="66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w:t>
            </w:r>
          </w:p>
        </w:tc>
        <w:tc>
          <w:tcPr>
            <w:tcW w:w="720" w:type="dxa"/>
            <w:vAlign w:val="bottom"/>
            <w:shd w:val="clear" w:color="auto" w:fill="284993"/>
          </w:tcPr>
          <w:p>
            <w:pPr>
              <w:jc w:val="right"/>
              <w:ind w:right="232"/>
              <w:spacing w:after="0"/>
              <w:rPr>
                <w:sz w:val="20"/>
                <w:szCs w:val="20"/>
                <w:color w:val="auto"/>
              </w:rPr>
            </w:pPr>
            <w:r>
              <w:rPr>
                <w:rFonts w:ascii="Arial" w:cs="Arial" w:eastAsia="Arial" w:hAnsi="Arial"/>
                <w:sz w:val="12"/>
                <w:szCs w:val="12"/>
                <w:b w:val="1"/>
                <w:bCs w:val="1"/>
                <w:color w:val="FFFFFF"/>
              </w:rPr>
              <w:t>(#)</w:t>
            </w:r>
          </w:p>
        </w:tc>
        <w:tc>
          <w:tcPr>
            <w:tcW w:w="740" w:type="dxa"/>
            <w:vAlign w:val="bottom"/>
            <w:gridSpan w:val="2"/>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w:t>
            </w:r>
          </w:p>
        </w:tc>
        <w:tc>
          <w:tcPr>
            <w:tcW w:w="78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42"/>
        </w:trPr>
        <w:tc>
          <w:tcPr>
            <w:tcW w:w="2820" w:type="dxa"/>
            <w:vAlign w:val="bottom"/>
            <w:shd w:val="clear" w:color="auto" w:fill="284993"/>
          </w:tcPr>
          <w:p>
            <w:pPr>
              <w:ind w:left="80"/>
              <w:spacing w:after="0"/>
              <w:rPr>
                <w:sz w:val="20"/>
                <w:szCs w:val="20"/>
                <w:color w:val="auto"/>
              </w:rPr>
            </w:pPr>
            <w:r>
              <w:rPr>
                <w:rFonts w:ascii="Arial" w:cs="Arial" w:eastAsia="Arial" w:hAnsi="Arial"/>
                <w:sz w:val="12"/>
                <w:szCs w:val="12"/>
                <w:b w:val="1"/>
                <w:bCs w:val="1"/>
                <w:color w:val="FFFFFF"/>
              </w:rPr>
              <w:t>(a)</w:t>
            </w:r>
          </w:p>
        </w:tc>
        <w:tc>
          <w:tcPr>
            <w:tcW w:w="80" w:type="dxa"/>
            <w:vAlign w:val="bottom"/>
            <w:shd w:val="clear" w:color="auto" w:fill="284993"/>
          </w:tcPr>
          <w:p>
            <w:pPr>
              <w:spacing w:after="0"/>
              <w:rPr>
                <w:sz w:val="12"/>
                <w:szCs w:val="12"/>
                <w:color w:val="auto"/>
              </w:rPr>
            </w:pPr>
          </w:p>
        </w:tc>
        <w:tc>
          <w:tcPr>
            <w:tcW w:w="620" w:type="dxa"/>
            <w:vAlign w:val="bottom"/>
            <w:shd w:val="clear" w:color="auto" w:fill="284993"/>
          </w:tcPr>
          <w:p>
            <w:pPr>
              <w:jc w:val="center"/>
              <w:ind w:right="34"/>
              <w:spacing w:after="0"/>
              <w:rPr>
                <w:sz w:val="20"/>
                <w:szCs w:val="20"/>
                <w:color w:val="auto"/>
              </w:rPr>
            </w:pPr>
            <w:r>
              <w:rPr>
                <w:rFonts w:ascii="Arial" w:cs="Arial" w:eastAsia="Arial" w:hAnsi="Arial"/>
                <w:sz w:val="12"/>
                <w:szCs w:val="12"/>
                <w:b w:val="1"/>
                <w:bCs w:val="1"/>
                <w:color w:val="FFFFFF"/>
              </w:rPr>
              <w:t>(b)</w:t>
            </w:r>
          </w:p>
        </w:tc>
        <w:tc>
          <w:tcPr>
            <w:tcW w:w="60" w:type="dxa"/>
            <w:vAlign w:val="bottom"/>
            <w:shd w:val="clear" w:color="auto" w:fill="284993"/>
          </w:tcPr>
          <w:p>
            <w:pPr>
              <w:spacing w:after="0"/>
              <w:rPr>
                <w:sz w:val="12"/>
                <w:szCs w:val="12"/>
                <w:color w:val="auto"/>
              </w:rPr>
            </w:pPr>
          </w:p>
        </w:tc>
        <w:tc>
          <w:tcPr>
            <w:tcW w:w="600" w:type="dxa"/>
            <w:vAlign w:val="bottom"/>
            <w:shd w:val="clear" w:color="auto" w:fill="284993"/>
          </w:tcPr>
          <w:p>
            <w:pPr>
              <w:ind w:left="220"/>
              <w:spacing w:after="0"/>
              <w:rPr>
                <w:sz w:val="20"/>
                <w:szCs w:val="20"/>
                <w:color w:val="auto"/>
              </w:rPr>
            </w:pPr>
            <w:r>
              <w:rPr>
                <w:rFonts w:ascii="Arial" w:cs="Arial" w:eastAsia="Arial" w:hAnsi="Arial"/>
                <w:sz w:val="12"/>
                <w:szCs w:val="12"/>
                <w:b w:val="1"/>
                <w:bCs w:val="1"/>
                <w:color w:val="FFFFFF"/>
              </w:rPr>
              <w:t>(c)</w:t>
            </w:r>
          </w:p>
        </w:tc>
        <w:tc>
          <w:tcPr>
            <w:tcW w:w="80" w:type="dxa"/>
            <w:vAlign w:val="bottom"/>
            <w:shd w:val="clear" w:color="auto" w:fill="284993"/>
          </w:tcPr>
          <w:p>
            <w:pPr>
              <w:spacing w:after="0"/>
              <w:rPr>
                <w:sz w:val="12"/>
                <w:szCs w:val="12"/>
                <w:color w:val="auto"/>
              </w:rPr>
            </w:pPr>
          </w:p>
        </w:tc>
        <w:tc>
          <w:tcPr>
            <w:tcW w:w="680" w:type="dxa"/>
            <w:vAlign w:val="bottom"/>
            <w:shd w:val="clear" w:color="auto" w:fill="284993"/>
          </w:tcPr>
          <w:p>
            <w:pPr>
              <w:jc w:val="right"/>
              <w:ind w:right="212"/>
              <w:spacing w:after="0"/>
              <w:rPr>
                <w:sz w:val="20"/>
                <w:szCs w:val="20"/>
                <w:color w:val="auto"/>
              </w:rPr>
            </w:pPr>
            <w:r>
              <w:rPr>
                <w:rFonts w:ascii="Arial" w:cs="Arial" w:eastAsia="Arial" w:hAnsi="Arial"/>
                <w:sz w:val="12"/>
                <w:szCs w:val="12"/>
                <w:b w:val="1"/>
                <w:bCs w:val="1"/>
                <w:color w:val="FFFFFF"/>
              </w:rPr>
              <w:t>(d)</w:t>
            </w:r>
          </w:p>
        </w:tc>
        <w:tc>
          <w:tcPr>
            <w:tcW w:w="760" w:type="dxa"/>
            <w:vAlign w:val="bottom"/>
            <w:shd w:val="clear" w:color="auto" w:fill="284993"/>
          </w:tcPr>
          <w:p>
            <w:pPr>
              <w:jc w:val="right"/>
              <w:ind w:right="252"/>
              <w:spacing w:after="0"/>
              <w:rPr>
                <w:sz w:val="20"/>
                <w:szCs w:val="20"/>
                <w:color w:val="auto"/>
              </w:rPr>
            </w:pPr>
            <w:r>
              <w:rPr>
                <w:rFonts w:ascii="Arial" w:cs="Arial" w:eastAsia="Arial" w:hAnsi="Arial"/>
                <w:sz w:val="12"/>
                <w:szCs w:val="12"/>
                <w:b w:val="1"/>
                <w:bCs w:val="1"/>
                <w:color w:val="FFFFFF"/>
              </w:rPr>
              <w:t>(e)</w:t>
            </w:r>
          </w:p>
        </w:tc>
        <w:tc>
          <w:tcPr>
            <w:tcW w:w="7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(f)</w:t>
            </w:r>
          </w:p>
        </w:tc>
        <w:tc>
          <w:tcPr>
            <w:tcW w:w="66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(g)</w:t>
            </w:r>
          </w:p>
        </w:tc>
        <w:tc>
          <w:tcPr>
            <w:tcW w:w="720" w:type="dxa"/>
            <w:vAlign w:val="bottom"/>
            <w:shd w:val="clear" w:color="auto" w:fill="284993"/>
          </w:tcPr>
          <w:p>
            <w:pPr>
              <w:jc w:val="right"/>
              <w:ind w:right="212"/>
              <w:spacing w:after="0"/>
              <w:rPr>
                <w:sz w:val="20"/>
                <w:szCs w:val="20"/>
                <w:color w:val="auto"/>
              </w:rPr>
            </w:pPr>
            <w:r>
              <w:rPr>
                <w:rFonts w:ascii="Arial" w:cs="Arial" w:eastAsia="Arial" w:hAnsi="Arial"/>
                <w:sz w:val="12"/>
                <w:szCs w:val="12"/>
                <w:b w:val="1"/>
                <w:bCs w:val="1"/>
                <w:color w:val="FFFFFF"/>
              </w:rPr>
              <w:t>(h)</w:t>
            </w:r>
          </w:p>
        </w:tc>
        <w:tc>
          <w:tcPr>
            <w:tcW w:w="40" w:type="dxa"/>
            <w:vAlign w:val="bottom"/>
            <w:shd w:val="clear" w:color="auto" w:fill="284993"/>
          </w:tcPr>
          <w:p>
            <w:pPr>
              <w:spacing w:after="0"/>
              <w:rPr>
                <w:sz w:val="12"/>
                <w:szCs w:val="12"/>
                <w:color w:val="auto"/>
              </w:rPr>
            </w:pPr>
          </w:p>
        </w:tc>
        <w:tc>
          <w:tcPr>
            <w:tcW w:w="70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(i)</w:t>
            </w:r>
          </w:p>
        </w:tc>
        <w:tc>
          <w:tcPr>
            <w:tcW w:w="78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(l)</w:t>
            </w:r>
          </w:p>
        </w:tc>
        <w:tc>
          <w:tcPr>
            <w:tcW w:w="0" w:type="dxa"/>
            <w:vAlign w:val="bottom"/>
          </w:tcPr>
          <w:p>
            <w:pPr>
              <w:spacing w:after="0"/>
              <w:rPr>
                <w:sz w:val="1"/>
                <w:szCs w:val="1"/>
                <w:color w:val="auto"/>
              </w:rPr>
            </w:pPr>
          </w:p>
        </w:tc>
      </w:tr>
      <w:tr>
        <w:trPr>
          <w:trHeight w:val="155"/>
        </w:trPr>
        <w:tc>
          <w:tcPr>
            <w:tcW w:w="2820" w:type="dxa"/>
            <w:vAlign w:val="bottom"/>
            <w:shd w:val="clear" w:color="auto" w:fill="E9ECF4"/>
          </w:tcPr>
          <w:p>
            <w:pPr>
              <w:ind w:left="60"/>
              <w:spacing w:after="0" w:line="155" w:lineRule="exact"/>
              <w:rPr>
                <w:sz w:val="20"/>
                <w:szCs w:val="20"/>
                <w:color w:val="auto"/>
              </w:rPr>
            </w:pPr>
            <w:r>
              <w:rPr>
                <w:rFonts w:ascii="Arial" w:cs="Arial" w:eastAsia="Arial" w:hAnsi="Arial"/>
                <w:sz w:val="14"/>
                <w:szCs w:val="14"/>
                <w:color w:val="auto"/>
              </w:rPr>
              <w:t>Odilon Almeida</w:t>
            </w:r>
          </w:p>
        </w:tc>
        <w:tc>
          <w:tcPr>
            <w:tcW w:w="700" w:type="dxa"/>
            <w:vAlign w:val="bottom"/>
            <w:gridSpan w:val="2"/>
            <w:shd w:val="clear" w:color="auto" w:fill="E9ECF4"/>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E9ECF4"/>
          </w:tcPr>
          <w:p>
            <w:pPr>
              <w:spacing w:after="0"/>
              <w:rPr>
                <w:sz w:val="13"/>
                <w:szCs w:val="13"/>
                <w:color w:val="auto"/>
              </w:rPr>
            </w:pPr>
          </w:p>
        </w:tc>
        <w:tc>
          <w:tcPr>
            <w:tcW w:w="680" w:type="dxa"/>
            <w:vAlign w:val="bottom"/>
            <w:shd w:val="clear" w:color="auto" w:fill="E9ECF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40" w:type="dxa"/>
            <w:vAlign w:val="bottom"/>
            <w:shd w:val="clear" w:color="auto" w:fill="E9ECF4"/>
          </w:tcPr>
          <w:p>
            <w:pPr>
              <w:spacing w:after="0"/>
              <w:rPr>
                <w:sz w:val="13"/>
                <w:szCs w:val="13"/>
                <w:color w:val="auto"/>
              </w:rPr>
            </w:pPr>
          </w:p>
        </w:tc>
        <w:tc>
          <w:tcPr>
            <w:tcW w:w="700" w:type="dxa"/>
            <w:vAlign w:val="bottom"/>
            <w:shd w:val="clear" w:color="auto" w:fill="E9ECF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9ECF4"/>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tcPr>
          <w:p>
            <w:pPr>
              <w:ind w:left="200"/>
              <w:spacing w:after="0" w:line="155" w:lineRule="exact"/>
              <w:rPr>
                <w:sz w:val="20"/>
                <w:szCs w:val="20"/>
                <w:color w:val="auto"/>
              </w:rPr>
            </w:pPr>
            <w:r>
              <w:rPr>
                <w:rFonts w:ascii="Arial" w:cs="Arial" w:eastAsia="Arial" w:hAnsi="Arial"/>
                <w:sz w:val="14"/>
                <w:szCs w:val="14"/>
                <w:color w:val="auto"/>
              </w:rPr>
              <w:t>-2022 STIP</w:t>
            </w:r>
          </w:p>
        </w:tc>
        <w:tc>
          <w:tcPr>
            <w:tcW w:w="700" w:type="dxa"/>
            <w:vAlign w:val="bottom"/>
            <w:gridSpan w:val="2"/>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175,000</w:t>
            </w:r>
          </w:p>
        </w:tc>
        <w:tc>
          <w:tcPr>
            <w:tcW w:w="680" w:type="dxa"/>
            <w:vAlign w:val="bottom"/>
          </w:tcPr>
          <w:p>
            <w:pPr>
              <w:jc w:val="right"/>
              <w:ind w:right="32"/>
              <w:spacing w:after="0" w:line="155" w:lineRule="exact"/>
              <w:rPr>
                <w:sz w:val="20"/>
                <w:szCs w:val="20"/>
                <w:color w:val="auto"/>
              </w:rPr>
            </w:pPr>
            <w:r>
              <w:rPr>
                <w:rFonts w:ascii="Arial" w:cs="Arial" w:eastAsia="Arial" w:hAnsi="Arial"/>
                <w:sz w:val="14"/>
                <w:szCs w:val="14"/>
                <w:color w:val="auto"/>
              </w:rPr>
              <w:t>700,000</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1,400,000</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shd w:val="clear" w:color="auto" w:fill="E9ECF4"/>
          </w:tcPr>
          <w:p>
            <w:pPr>
              <w:ind w:left="200"/>
              <w:spacing w:after="0" w:line="155" w:lineRule="exact"/>
              <w:rPr>
                <w:sz w:val="20"/>
                <w:szCs w:val="20"/>
                <w:color w:val="auto"/>
              </w:rPr>
            </w:pPr>
            <w:r>
              <w:rPr>
                <w:rFonts w:ascii="Arial" w:cs="Arial" w:eastAsia="Arial" w:hAnsi="Arial"/>
                <w:sz w:val="14"/>
                <w:szCs w:val="14"/>
                <w:color w:val="auto"/>
              </w:rPr>
              <w:t>-Restricted Share Units</w:t>
            </w:r>
          </w:p>
        </w:tc>
        <w:tc>
          <w:tcPr>
            <w:tcW w:w="700" w:type="dxa"/>
            <w:vAlign w:val="bottom"/>
            <w:gridSpan w:val="2"/>
            <w:shd w:val="clear" w:color="auto" w:fill="E9ECF4"/>
          </w:tcPr>
          <w:p>
            <w:pPr>
              <w:jc w:val="right"/>
              <w:ind w:right="14"/>
              <w:spacing w:after="0" w:line="155" w:lineRule="exact"/>
              <w:rPr>
                <w:sz w:val="20"/>
                <w:szCs w:val="20"/>
                <w:color w:val="auto"/>
              </w:rPr>
            </w:pPr>
            <w:r>
              <w:rPr>
                <w:rFonts w:ascii="Arial" w:cs="Arial" w:eastAsia="Arial" w:hAnsi="Arial"/>
                <w:sz w:val="14"/>
                <w:szCs w:val="14"/>
                <w:color w:val="auto"/>
              </w:rPr>
              <w:t>3/1/2022</w:t>
            </w:r>
          </w:p>
        </w:tc>
        <w:tc>
          <w:tcPr>
            <w:tcW w:w="740" w:type="dxa"/>
            <w:vAlign w:val="bottom"/>
            <w:gridSpan w:val="3"/>
            <w:shd w:val="clear" w:color="auto" w:fill="E9ECF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E9ECF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9ECF4"/>
          </w:tcPr>
          <w:p>
            <w:pPr>
              <w:jc w:val="right"/>
              <w:ind w:right="20"/>
              <w:spacing w:after="0" w:line="155" w:lineRule="exact"/>
              <w:rPr>
                <w:sz w:val="20"/>
                <w:szCs w:val="20"/>
                <w:color w:val="auto"/>
              </w:rPr>
            </w:pPr>
            <w:r>
              <w:rPr>
                <w:rFonts w:ascii="Arial" w:cs="Arial" w:eastAsia="Arial" w:hAnsi="Arial"/>
                <w:sz w:val="14"/>
                <w:szCs w:val="14"/>
                <w:color w:val="auto"/>
              </w:rPr>
              <w:t>82,834</w:t>
            </w:r>
          </w:p>
        </w:tc>
        <w:tc>
          <w:tcPr>
            <w:tcW w:w="780" w:type="dxa"/>
            <w:vAlign w:val="bottom"/>
            <w:shd w:val="clear" w:color="auto" w:fill="E9ECF4"/>
          </w:tcPr>
          <w:p>
            <w:pPr>
              <w:jc w:val="right"/>
              <w:ind w:right="13"/>
              <w:spacing w:after="0" w:line="155" w:lineRule="exact"/>
              <w:rPr>
                <w:sz w:val="20"/>
                <w:szCs w:val="20"/>
                <w:color w:val="auto"/>
              </w:rPr>
            </w:pPr>
            <w:r>
              <w:rPr>
                <w:rFonts w:ascii="Arial" w:cs="Arial" w:eastAsia="Arial" w:hAnsi="Arial"/>
                <w:sz w:val="14"/>
                <w:szCs w:val="14"/>
                <w:color w:val="auto"/>
              </w:rPr>
              <w:t>2,625,009</w:t>
            </w:r>
          </w:p>
        </w:tc>
        <w:tc>
          <w:tcPr>
            <w:tcW w:w="0" w:type="dxa"/>
            <w:vAlign w:val="bottom"/>
          </w:tcPr>
          <w:p>
            <w:pPr>
              <w:spacing w:after="0"/>
              <w:rPr>
                <w:sz w:val="1"/>
                <w:szCs w:val="1"/>
                <w:color w:val="auto"/>
              </w:rPr>
            </w:pPr>
          </w:p>
        </w:tc>
      </w:tr>
      <w:tr>
        <w:trPr>
          <w:trHeight w:val="155"/>
        </w:trPr>
        <w:tc>
          <w:tcPr>
            <w:tcW w:w="2820" w:type="dxa"/>
            <w:vAlign w:val="bottom"/>
          </w:tcPr>
          <w:p>
            <w:pPr>
              <w:ind w:left="200"/>
              <w:spacing w:after="0" w:line="155" w:lineRule="exact"/>
              <w:rPr>
                <w:sz w:val="20"/>
                <w:szCs w:val="20"/>
                <w:color w:val="auto"/>
              </w:rPr>
            </w:pPr>
            <w:r>
              <w:rPr>
                <w:rFonts w:ascii="Arial" w:cs="Arial" w:eastAsia="Arial" w:hAnsi="Arial"/>
                <w:sz w:val="14"/>
                <w:szCs w:val="14"/>
                <w:color w:val="auto"/>
              </w:rPr>
              <w:t>-rTSR Performance Share Units</w:t>
            </w:r>
          </w:p>
        </w:tc>
        <w:tc>
          <w:tcPr>
            <w:tcW w:w="700" w:type="dxa"/>
            <w:vAlign w:val="bottom"/>
            <w:gridSpan w:val="2"/>
          </w:tcPr>
          <w:p>
            <w:pPr>
              <w:jc w:val="right"/>
              <w:ind w:right="14"/>
              <w:spacing w:after="0" w:line="155" w:lineRule="exact"/>
              <w:rPr>
                <w:sz w:val="20"/>
                <w:szCs w:val="20"/>
                <w:color w:val="auto"/>
              </w:rPr>
            </w:pPr>
            <w:r>
              <w:rPr>
                <w:rFonts w:ascii="Arial" w:cs="Arial" w:eastAsia="Arial" w:hAnsi="Arial"/>
                <w:sz w:val="14"/>
                <w:szCs w:val="14"/>
                <w:color w:val="auto"/>
              </w:rPr>
              <w:t>3/1/2022</w:t>
            </w:r>
          </w:p>
        </w:tc>
        <w:tc>
          <w:tcPr>
            <w:tcW w:w="7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56,699</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113,398</w:t>
            </w: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226,796</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line="155" w:lineRule="exact"/>
              <w:rPr>
                <w:sz w:val="20"/>
                <w:szCs w:val="20"/>
                <w:color w:val="auto"/>
              </w:rPr>
            </w:pPr>
            <w:r>
              <w:rPr>
                <w:rFonts w:ascii="Arial" w:cs="Arial" w:eastAsia="Arial" w:hAnsi="Arial"/>
                <w:sz w:val="14"/>
                <w:szCs w:val="14"/>
                <w:color w:val="auto"/>
              </w:rPr>
              <w:t>4,874,980</w:t>
            </w:r>
          </w:p>
        </w:tc>
        <w:tc>
          <w:tcPr>
            <w:tcW w:w="0" w:type="dxa"/>
            <w:vAlign w:val="bottom"/>
          </w:tcPr>
          <w:p>
            <w:pPr>
              <w:spacing w:after="0"/>
              <w:rPr>
                <w:sz w:val="1"/>
                <w:szCs w:val="1"/>
                <w:color w:val="auto"/>
              </w:rPr>
            </w:pPr>
          </w:p>
        </w:tc>
      </w:tr>
      <w:tr>
        <w:trPr>
          <w:trHeight w:val="155"/>
        </w:trPr>
        <w:tc>
          <w:tcPr>
            <w:tcW w:w="2820" w:type="dxa"/>
            <w:vAlign w:val="bottom"/>
            <w:shd w:val="clear" w:color="auto" w:fill="9DBDE4"/>
          </w:tcPr>
          <w:p>
            <w:pPr>
              <w:ind w:left="60"/>
              <w:spacing w:after="0" w:line="155" w:lineRule="exact"/>
              <w:rPr>
                <w:sz w:val="20"/>
                <w:szCs w:val="20"/>
                <w:color w:val="auto"/>
              </w:rPr>
            </w:pPr>
            <w:r>
              <w:rPr>
                <w:rFonts w:ascii="Arial" w:cs="Arial" w:eastAsia="Arial" w:hAnsi="Arial"/>
                <w:sz w:val="14"/>
                <w:szCs w:val="14"/>
                <w:color w:val="auto"/>
              </w:rPr>
              <w:t>Thomas W. Warsop, III</w:t>
            </w:r>
          </w:p>
        </w:tc>
        <w:tc>
          <w:tcPr>
            <w:tcW w:w="700" w:type="dxa"/>
            <w:vAlign w:val="bottom"/>
            <w:gridSpan w:val="2"/>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tcPr>
          <w:p>
            <w:pPr>
              <w:ind w:left="60"/>
              <w:spacing w:after="0" w:line="155" w:lineRule="exact"/>
              <w:rPr>
                <w:sz w:val="20"/>
                <w:szCs w:val="20"/>
                <w:color w:val="auto"/>
              </w:rPr>
            </w:pPr>
            <w:r>
              <w:rPr>
                <w:rFonts w:ascii="Arial" w:cs="Arial" w:eastAsia="Arial" w:hAnsi="Arial"/>
                <w:sz w:val="14"/>
                <w:szCs w:val="14"/>
                <w:color w:val="auto"/>
              </w:rPr>
              <w:t>Scott W. Behrens</w:t>
            </w:r>
          </w:p>
        </w:tc>
        <w:tc>
          <w:tcPr>
            <w:tcW w:w="700" w:type="dxa"/>
            <w:vAlign w:val="bottom"/>
            <w:gridSpan w:val="2"/>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shd w:val="clear" w:color="auto" w:fill="E9ECF4"/>
          </w:tcPr>
          <w:p>
            <w:pPr>
              <w:ind w:left="200"/>
              <w:spacing w:after="0" w:line="155" w:lineRule="exact"/>
              <w:rPr>
                <w:sz w:val="20"/>
                <w:szCs w:val="20"/>
                <w:color w:val="auto"/>
              </w:rPr>
            </w:pPr>
            <w:r>
              <w:rPr>
                <w:rFonts w:ascii="Arial" w:cs="Arial" w:eastAsia="Arial" w:hAnsi="Arial"/>
                <w:sz w:val="14"/>
                <w:szCs w:val="14"/>
                <w:color w:val="auto"/>
              </w:rPr>
              <w:t>-2022 STIP</w:t>
            </w:r>
          </w:p>
        </w:tc>
        <w:tc>
          <w:tcPr>
            <w:tcW w:w="700" w:type="dxa"/>
            <w:vAlign w:val="bottom"/>
            <w:gridSpan w:val="2"/>
            <w:shd w:val="clear" w:color="auto" w:fill="E9ECF4"/>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E9ECF4"/>
          </w:tcPr>
          <w:p>
            <w:pPr>
              <w:jc w:val="right"/>
              <w:ind w:right="80"/>
              <w:spacing w:after="0" w:line="155" w:lineRule="exact"/>
              <w:rPr>
                <w:sz w:val="20"/>
                <w:szCs w:val="20"/>
                <w:color w:val="auto"/>
              </w:rPr>
            </w:pPr>
            <w:r>
              <w:rPr>
                <w:rFonts w:ascii="Arial" w:cs="Arial" w:eastAsia="Arial" w:hAnsi="Arial"/>
                <w:sz w:val="14"/>
                <w:szCs w:val="14"/>
                <w:color w:val="auto"/>
              </w:rPr>
              <w:t>118,750</w:t>
            </w:r>
          </w:p>
        </w:tc>
        <w:tc>
          <w:tcPr>
            <w:tcW w:w="680" w:type="dxa"/>
            <w:vAlign w:val="bottom"/>
            <w:shd w:val="clear" w:color="auto" w:fill="E9ECF4"/>
          </w:tcPr>
          <w:p>
            <w:pPr>
              <w:jc w:val="right"/>
              <w:ind w:right="32"/>
              <w:spacing w:after="0" w:line="155" w:lineRule="exact"/>
              <w:rPr>
                <w:sz w:val="20"/>
                <w:szCs w:val="20"/>
                <w:color w:val="auto"/>
              </w:rPr>
            </w:pPr>
            <w:r>
              <w:rPr>
                <w:rFonts w:ascii="Arial" w:cs="Arial" w:eastAsia="Arial" w:hAnsi="Arial"/>
                <w:sz w:val="14"/>
                <w:szCs w:val="14"/>
                <w:color w:val="auto"/>
              </w:rPr>
              <w:t>475,000</w:t>
            </w:r>
          </w:p>
        </w:tc>
        <w:tc>
          <w:tcPr>
            <w:tcW w:w="7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950,000</w:t>
            </w:r>
          </w:p>
        </w:tc>
        <w:tc>
          <w:tcPr>
            <w:tcW w:w="72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9ECF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9ECF4"/>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tcPr>
          <w:p>
            <w:pPr>
              <w:ind w:left="200"/>
              <w:spacing w:after="0" w:line="155" w:lineRule="exact"/>
              <w:rPr>
                <w:sz w:val="20"/>
                <w:szCs w:val="20"/>
                <w:color w:val="auto"/>
              </w:rPr>
            </w:pPr>
            <w:r>
              <w:rPr>
                <w:rFonts w:ascii="Arial" w:cs="Arial" w:eastAsia="Arial" w:hAnsi="Arial"/>
                <w:sz w:val="14"/>
                <w:szCs w:val="14"/>
                <w:color w:val="auto"/>
              </w:rPr>
              <w:t>-Restricted Share Units</w:t>
            </w:r>
          </w:p>
        </w:tc>
        <w:tc>
          <w:tcPr>
            <w:tcW w:w="700" w:type="dxa"/>
            <w:vAlign w:val="bottom"/>
            <w:gridSpan w:val="2"/>
          </w:tcPr>
          <w:p>
            <w:pPr>
              <w:jc w:val="right"/>
              <w:ind w:right="14"/>
              <w:spacing w:after="0" w:line="155" w:lineRule="exact"/>
              <w:rPr>
                <w:sz w:val="20"/>
                <w:szCs w:val="20"/>
                <w:color w:val="auto"/>
              </w:rPr>
            </w:pPr>
            <w:r>
              <w:rPr>
                <w:rFonts w:ascii="Arial" w:cs="Arial" w:eastAsia="Arial" w:hAnsi="Arial"/>
                <w:sz w:val="14"/>
                <w:szCs w:val="14"/>
                <w:color w:val="auto"/>
              </w:rPr>
              <w:t>3/1/2022</w:t>
            </w:r>
          </w:p>
        </w:tc>
        <w:tc>
          <w:tcPr>
            <w:tcW w:w="7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41,022</w:t>
            </w:r>
          </w:p>
        </w:tc>
        <w:tc>
          <w:tcPr>
            <w:tcW w:w="780" w:type="dxa"/>
            <w:vAlign w:val="bottom"/>
          </w:tcPr>
          <w:p>
            <w:pPr>
              <w:jc w:val="right"/>
              <w:ind w:right="13"/>
              <w:spacing w:after="0" w:line="155" w:lineRule="exact"/>
              <w:rPr>
                <w:sz w:val="20"/>
                <w:szCs w:val="20"/>
                <w:color w:val="auto"/>
              </w:rPr>
            </w:pPr>
            <w:r>
              <w:rPr>
                <w:rFonts w:ascii="Arial" w:cs="Arial" w:eastAsia="Arial" w:hAnsi="Arial"/>
                <w:sz w:val="14"/>
                <w:szCs w:val="14"/>
                <w:color w:val="auto"/>
              </w:rPr>
              <w:t>1,299,987</w:t>
            </w:r>
          </w:p>
        </w:tc>
        <w:tc>
          <w:tcPr>
            <w:tcW w:w="0" w:type="dxa"/>
            <w:vAlign w:val="bottom"/>
          </w:tcPr>
          <w:p>
            <w:pPr>
              <w:spacing w:after="0"/>
              <w:rPr>
                <w:sz w:val="1"/>
                <w:szCs w:val="1"/>
                <w:color w:val="auto"/>
              </w:rPr>
            </w:pPr>
          </w:p>
        </w:tc>
      </w:tr>
      <w:tr>
        <w:trPr>
          <w:trHeight w:val="155"/>
        </w:trPr>
        <w:tc>
          <w:tcPr>
            <w:tcW w:w="2820" w:type="dxa"/>
            <w:vAlign w:val="bottom"/>
            <w:shd w:val="clear" w:color="auto" w:fill="E9ECF4"/>
          </w:tcPr>
          <w:p>
            <w:pPr>
              <w:ind w:left="200"/>
              <w:spacing w:after="0" w:line="155" w:lineRule="exact"/>
              <w:rPr>
                <w:sz w:val="20"/>
                <w:szCs w:val="20"/>
                <w:color w:val="auto"/>
              </w:rPr>
            </w:pPr>
            <w:r>
              <w:rPr>
                <w:rFonts w:ascii="Arial" w:cs="Arial" w:eastAsia="Arial" w:hAnsi="Arial"/>
                <w:sz w:val="14"/>
                <w:szCs w:val="14"/>
                <w:color w:val="auto"/>
              </w:rPr>
              <w:t>-rTSR Performance Share Units</w:t>
            </w:r>
          </w:p>
        </w:tc>
        <w:tc>
          <w:tcPr>
            <w:tcW w:w="700" w:type="dxa"/>
            <w:vAlign w:val="bottom"/>
            <w:gridSpan w:val="2"/>
            <w:shd w:val="clear" w:color="auto" w:fill="E9ECF4"/>
          </w:tcPr>
          <w:p>
            <w:pPr>
              <w:jc w:val="right"/>
              <w:ind w:right="14"/>
              <w:spacing w:after="0" w:line="155" w:lineRule="exact"/>
              <w:rPr>
                <w:sz w:val="20"/>
                <w:szCs w:val="20"/>
                <w:color w:val="auto"/>
              </w:rPr>
            </w:pPr>
            <w:r>
              <w:rPr>
                <w:rFonts w:ascii="Arial" w:cs="Arial" w:eastAsia="Arial" w:hAnsi="Arial"/>
                <w:sz w:val="14"/>
                <w:szCs w:val="14"/>
                <w:color w:val="auto"/>
              </w:rPr>
              <w:t>3/1/2022</w:t>
            </w:r>
          </w:p>
        </w:tc>
        <w:tc>
          <w:tcPr>
            <w:tcW w:w="740" w:type="dxa"/>
            <w:vAlign w:val="bottom"/>
            <w:gridSpan w:val="3"/>
            <w:shd w:val="clear" w:color="auto" w:fill="E9ECF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E9ECF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15,120</w:t>
            </w:r>
          </w:p>
        </w:tc>
        <w:tc>
          <w:tcPr>
            <w:tcW w:w="6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30,240</w:t>
            </w:r>
          </w:p>
        </w:tc>
        <w:tc>
          <w:tcPr>
            <w:tcW w:w="720" w:type="dxa"/>
            <w:vAlign w:val="bottom"/>
            <w:shd w:val="clear" w:color="auto" w:fill="E9ECF4"/>
          </w:tcPr>
          <w:p>
            <w:pPr>
              <w:jc w:val="right"/>
              <w:ind w:right="12"/>
              <w:spacing w:after="0" w:line="155" w:lineRule="exact"/>
              <w:rPr>
                <w:sz w:val="20"/>
                <w:szCs w:val="20"/>
                <w:color w:val="auto"/>
              </w:rPr>
            </w:pPr>
            <w:r>
              <w:rPr>
                <w:rFonts w:ascii="Arial" w:cs="Arial" w:eastAsia="Arial" w:hAnsi="Arial"/>
                <w:sz w:val="14"/>
                <w:szCs w:val="14"/>
                <w:color w:val="auto"/>
              </w:rPr>
              <w:t>60,480</w:t>
            </w:r>
          </w:p>
        </w:tc>
        <w:tc>
          <w:tcPr>
            <w:tcW w:w="740" w:type="dxa"/>
            <w:vAlign w:val="bottom"/>
            <w:gridSpan w:val="2"/>
            <w:shd w:val="clear" w:color="auto" w:fill="E9ECF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9ECF4"/>
          </w:tcPr>
          <w:p>
            <w:pPr>
              <w:jc w:val="right"/>
              <w:ind w:right="13"/>
              <w:spacing w:after="0" w:line="155" w:lineRule="exact"/>
              <w:rPr>
                <w:sz w:val="20"/>
                <w:szCs w:val="20"/>
                <w:color w:val="auto"/>
              </w:rPr>
            </w:pPr>
            <w:r>
              <w:rPr>
                <w:rFonts w:ascii="Arial" w:cs="Arial" w:eastAsia="Arial" w:hAnsi="Arial"/>
                <w:sz w:val="14"/>
                <w:szCs w:val="14"/>
                <w:color w:val="auto"/>
              </w:rPr>
              <w:t>1,300,018</w:t>
            </w:r>
          </w:p>
        </w:tc>
        <w:tc>
          <w:tcPr>
            <w:tcW w:w="0" w:type="dxa"/>
            <w:vAlign w:val="bottom"/>
          </w:tcPr>
          <w:p>
            <w:pPr>
              <w:spacing w:after="0"/>
              <w:rPr>
                <w:sz w:val="1"/>
                <w:szCs w:val="1"/>
                <w:color w:val="auto"/>
              </w:rPr>
            </w:pPr>
          </w:p>
        </w:tc>
      </w:tr>
      <w:tr>
        <w:trPr>
          <w:trHeight w:val="155"/>
        </w:trPr>
        <w:tc>
          <w:tcPr>
            <w:tcW w:w="2820" w:type="dxa"/>
            <w:vAlign w:val="bottom"/>
            <w:shd w:val="clear" w:color="auto" w:fill="9DBDE4"/>
          </w:tcPr>
          <w:p>
            <w:pPr>
              <w:ind w:left="60"/>
              <w:spacing w:after="0" w:line="155" w:lineRule="exact"/>
              <w:rPr>
                <w:sz w:val="20"/>
                <w:szCs w:val="20"/>
                <w:color w:val="auto"/>
              </w:rPr>
            </w:pPr>
            <w:r>
              <w:rPr>
                <w:rFonts w:ascii="Arial" w:cs="Arial" w:eastAsia="Arial" w:hAnsi="Arial"/>
                <w:sz w:val="14"/>
                <w:szCs w:val="14"/>
                <w:color w:val="auto"/>
              </w:rPr>
              <w:t>Ram K. Puppala</w:t>
            </w:r>
          </w:p>
        </w:tc>
        <w:tc>
          <w:tcPr>
            <w:tcW w:w="700" w:type="dxa"/>
            <w:vAlign w:val="bottom"/>
            <w:gridSpan w:val="2"/>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shd w:val="clear" w:color="auto" w:fill="9DBDE4"/>
          </w:tcPr>
          <w:p>
            <w:pPr>
              <w:ind w:left="200"/>
              <w:spacing w:after="0" w:line="155" w:lineRule="exact"/>
              <w:rPr>
                <w:sz w:val="20"/>
                <w:szCs w:val="20"/>
                <w:color w:val="auto"/>
              </w:rPr>
            </w:pPr>
            <w:r>
              <w:rPr>
                <w:rFonts w:ascii="Arial" w:cs="Arial" w:eastAsia="Arial" w:hAnsi="Arial"/>
                <w:sz w:val="14"/>
                <w:szCs w:val="14"/>
                <w:color w:val="auto"/>
              </w:rPr>
              <w:t>-2022 STIP</w:t>
            </w:r>
          </w:p>
        </w:tc>
        <w:tc>
          <w:tcPr>
            <w:tcW w:w="700" w:type="dxa"/>
            <w:vAlign w:val="bottom"/>
            <w:gridSpan w:val="2"/>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102,500</w:t>
            </w:r>
          </w:p>
        </w:tc>
        <w:tc>
          <w:tcPr>
            <w:tcW w:w="680" w:type="dxa"/>
            <w:vAlign w:val="bottom"/>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410,000</w:t>
            </w:r>
          </w:p>
        </w:tc>
        <w:tc>
          <w:tcPr>
            <w:tcW w:w="7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820,000</w:t>
            </w:r>
          </w:p>
        </w:tc>
        <w:tc>
          <w:tcPr>
            <w:tcW w:w="72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shd w:val="clear" w:color="auto" w:fill="9DBDE4"/>
          </w:tcPr>
          <w:p>
            <w:pPr>
              <w:ind w:left="200"/>
              <w:spacing w:after="0" w:line="155" w:lineRule="exact"/>
              <w:rPr>
                <w:sz w:val="20"/>
                <w:szCs w:val="20"/>
                <w:color w:val="auto"/>
              </w:rPr>
            </w:pPr>
            <w:r>
              <w:rPr>
                <w:rFonts w:ascii="Arial" w:cs="Arial" w:eastAsia="Arial" w:hAnsi="Arial"/>
                <w:sz w:val="14"/>
                <w:szCs w:val="14"/>
                <w:color w:val="auto"/>
              </w:rPr>
              <w:t>-Restricted Share Units</w:t>
            </w:r>
          </w:p>
        </w:tc>
        <w:tc>
          <w:tcPr>
            <w:tcW w:w="80" w:type="dxa"/>
            <w:vAlign w:val="bottom"/>
            <w:shd w:val="clear" w:color="auto" w:fill="9DBDE4"/>
          </w:tcPr>
          <w:p>
            <w:pPr>
              <w:spacing w:after="0"/>
              <w:rPr>
                <w:sz w:val="13"/>
                <w:szCs w:val="13"/>
                <w:color w:val="auto"/>
              </w:rPr>
            </w:pPr>
          </w:p>
        </w:tc>
        <w:tc>
          <w:tcPr>
            <w:tcW w:w="620" w:type="dxa"/>
            <w:vAlign w:val="bottom"/>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w w:val="95"/>
              </w:rPr>
              <w:t>3/1/2022</w:t>
            </w:r>
          </w:p>
        </w:tc>
        <w:tc>
          <w:tcPr>
            <w:tcW w:w="740" w:type="dxa"/>
            <w:vAlign w:val="bottom"/>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29,978</w:t>
            </w:r>
          </w:p>
        </w:tc>
        <w:tc>
          <w:tcPr>
            <w:tcW w:w="780" w:type="dxa"/>
            <w:vAlign w:val="bottom"/>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950,003</w:t>
            </w:r>
          </w:p>
        </w:tc>
        <w:tc>
          <w:tcPr>
            <w:tcW w:w="0" w:type="dxa"/>
            <w:vAlign w:val="bottom"/>
          </w:tcPr>
          <w:p>
            <w:pPr>
              <w:spacing w:after="0"/>
              <w:rPr>
                <w:sz w:val="1"/>
                <w:szCs w:val="1"/>
                <w:color w:val="auto"/>
              </w:rPr>
            </w:pPr>
          </w:p>
        </w:tc>
      </w:tr>
      <w:tr>
        <w:trPr>
          <w:trHeight w:val="155"/>
        </w:trPr>
        <w:tc>
          <w:tcPr>
            <w:tcW w:w="2820" w:type="dxa"/>
            <w:vAlign w:val="bottom"/>
            <w:shd w:val="clear" w:color="auto" w:fill="9DBDE4"/>
          </w:tcPr>
          <w:p>
            <w:pPr>
              <w:ind w:left="200"/>
              <w:spacing w:after="0" w:line="155" w:lineRule="exact"/>
              <w:rPr>
                <w:sz w:val="20"/>
                <w:szCs w:val="20"/>
                <w:color w:val="auto"/>
              </w:rPr>
            </w:pPr>
            <w:r>
              <w:rPr>
                <w:rFonts w:ascii="Arial" w:cs="Arial" w:eastAsia="Arial" w:hAnsi="Arial"/>
                <w:sz w:val="14"/>
                <w:szCs w:val="14"/>
                <w:color w:val="auto"/>
              </w:rPr>
              <w:t>-rTSR Performance Share Units</w:t>
            </w:r>
          </w:p>
        </w:tc>
        <w:tc>
          <w:tcPr>
            <w:tcW w:w="80" w:type="dxa"/>
            <w:vAlign w:val="bottom"/>
            <w:shd w:val="clear" w:color="auto" w:fill="9DBDE4"/>
          </w:tcPr>
          <w:p>
            <w:pPr>
              <w:spacing w:after="0"/>
              <w:rPr>
                <w:sz w:val="13"/>
                <w:szCs w:val="13"/>
                <w:color w:val="auto"/>
              </w:rPr>
            </w:pPr>
          </w:p>
        </w:tc>
        <w:tc>
          <w:tcPr>
            <w:tcW w:w="620" w:type="dxa"/>
            <w:vAlign w:val="bottom"/>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w w:val="95"/>
              </w:rPr>
              <w:t>3/1/2022</w:t>
            </w:r>
          </w:p>
        </w:tc>
        <w:tc>
          <w:tcPr>
            <w:tcW w:w="740" w:type="dxa"/>
            <w:vAlign w:val="bottom"/>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11,049</w:t>
            </w:r>
          </w:p>
        </w:tc>
        <w:tc>
          <w:tcPr>
            <w:tcW w:w="6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22,098</w:t>
            </w:r>
          </w:p>
        </w:tc>
        <w:tc>
          <w:tcPr>
            <w:tcW w:w="720" w:type="dxa"/>
            <w:vAlign w:val="bottom"/>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44,196</w:t>
            </w:r>
          </w:p>
        </w:tc>
        <w:tc>
          <w:tcPr>
            <w:tcW w:w="740" w:type="dxa"/>
            <w:vAlign w:val="bottom"/>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949,993</w:t>
            </w:r>
          </w:p>
        </w:tc>
        <w:tc>
          <w:tcPr>
            <w:tcW w:w="0" w:type="dxa"/>
            <w:vAlign w:val="bottom"/>
          </w:tcPr>
          <w:p>
            <w:pPr>
              <w:spacing w:after="0"/>
              <w:rPr>
                <w:sz w:val="1"/>
                <w:szCs w:val="1"/>
                <w:color w:val="auto"/>
              </w:rPr>
            </w:pPr>
          </w:p>
        </w:tc>
      </w:tr>
      <w:tr>
        <w:trPr>
          <w:trHeight w:val="155"/>
        </w:trPr>
        <w:tc>
          <w:tcPr>
            <w:tcW w:w="2820" w:type="dxa"/>
            <w:vAlign w:val="bottom"/>
          </w:tcPr>
          <w:p>
            <w:pPr>
              <w:ind w:left="60"/>
              <w:spacing w:after="0" w:line="155" w:lineRule="exact"/>
              <w:rPr>
                <w:sz w:val="20"/>
                <w:szCs w:val="20"/>
                <w:color w:val="auto"/>
              </w:rPr>
            </w:pPr>
            <w:r>
              <w:rPr>
                <w:rFonts w:ascii="Arial" w:cs="Arial" w:eastAsia="Arial" w:hAnsi="Arial"/>
                <w:sz w:val="14"/>
                <w:szCs w:val="14"/>
                <w:color w:val="auto"/>
              </w:rPr>
              <w:t>Alessandro Silva</w:t>
            </w:r>
          </w:p>
        </w:tc>
        <w:tc>
          <w:tcPr>
            <w:tcW w:w="700" w:type="dxa"/>
            <w:vAlign w:val="bottom"/>
            <w:gridSpan w:val="2"/>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shd w:val="clear" w:color="auto" w:fill="E9ECF4"/>
          </w:tcPr>
          <w:p>
            <w:pPr>
              <w:ind w:left="200"/>
              <w:spacing w:after="0" w:line="155" w:lineRule="exact"/>
              <w:rPr>
                <w:sz w:val="20"/>
                <w:szCs w:val="20"/>
                <w:color w:val="auto"/>
              </w:rPr>
            </w:pPr>
            <w:r>
              <w:rPr>
                <w:rFonts w:ascii="Arial" w:cs="Arial" w:eastAsia="Arial" w:hAnsi="Arial"/>
                <w:sz w:val="14"/>
                <w:szCs w:val="14"/>
                <w:color w:val="auto"/>
              </w:rPr>
              <w:t>-2022 STIP</w:t>
            </w:r>
          </w:p>
        </w:tc>
        <w:tc>
          <w:tcPr>
            <w:tcW w:w="700" w:type="dxa"/>
            <w:vAlign w:val="bottom"/>
            <w:gridSpan w:val="2"/>
            <w:shd w:val="clear" w:color="auto" w:fill="E9ECF4"/>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E9ECF4"/>
          </w:tcPr>
          <w:p>
            <w:pPr>
              <w:jc w:val="right"/>
              <w:ind w:right="80"/>
              <w:spacing w:after="0" w:line="155" w:lineRule="exact"/>
              <w:rPr>
                <w:sz w:val="20"/>
                <w:szCs w:val="20"/>
                <w:color w:val="auto"/>
              </w:rPr>
            </w:pPr>
            <w:r>
              <w:rPr>
                <w:rFonts w:ascii="Arial" w:cs="Arial" w:eastAsia="Arial" w:hAnsi="Arial"/>
                <w:sz w:val="14"/>
                <w:szCs w:val="14"/>
                <w:color w:val="auto"/>
              </w:rPr>
              <w:t>31,500</w:t>
            </w:r>
          </w:p>
        </w:tc>
        <w:tc>
          <w:tcPr>
            <w:tcW w:w="680" w:type="dxa"/>
            <w:vAlign w:val="bottom"/>
            <w:shd w:val="clear" w:color="auto" w:fill="E9ECF4"/>
          </w:tcPr>
          <w:p>
            <w:pPr>
              <w:jc w:val="right"/>
              <w:ind w:right="32"/>
              <w:spacing w:after="0" w:line="155" w:lineRule="exact"/>
              <w:rPr>
                <w:sz w:val="20"/>
                <w:szCs w:val="20"/>
                <w:color w:val="auto"/>
              </w:rPr>
            </w:pPr>
            <w:r>
              <w:rPr>
                <w:rFonts w:ascii="Arial" w:cs="Arial" w:eastAsia="Arial" w:hAnsi="Arial"/>
                <w:sz w:val="14"/>
                <w:szCs w:val="14"/>
                <w:color w:val="auto"/>
              </w:rPr>
              <w:t>126,000</w:t>
            </w:r>
          </w:p>
        </w:tc>
        <w:tc>
          <w:tcPr>
            <w:tcW w:w="7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252,000</w:t>
            </w:r>
          </w:p>
        </w:tc>
        <w:tc>
          <w:tcPr>
            <w:tcW w:w="72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9ECF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9ECF4"/>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tcPr>
          <w:p>
            <w:pPr>
              <w:ind w:left="200"/>
              <w:spacing w:after="0" w:line="155" w:lineRule="exact"/>
              <w:rPr>
                <w:sz w:val="20"/>
                <w:szCs w:val="20"/>
                <w:color w:val="auto"/>
              </w:rPr>
            </w:pPr>
            <w:r>
              <w:rPr>
                <w:rFonts w:ascii="Arial" w:cs="Arial" w:eastAsia="Arial" w:hAnsi="Arial"/>
                <w:sz w:val="14"/>
                <w:szCs w:val="14"/>
                <w:color w:val="auto"/>
              </w:rPr>
              <w:t>-SIP</w:t>
            </w:r>
          </w:p>
        </w:tc>
        <w:tc>
          <w:tcPr>
            <w:tcW w:w="700" w:type="dxa"/>
            <w:vAlign w:val="bottom"/>
            <w:gridSpan w:val="2"/>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line="155" w:lineRule="exact"/>
              <w:rPr>
                <w:sz w:val="20"/>
                <w:szCs w:val="20"/>
                <w:color w:val="auto"/>
              </w:rPr>
            </w:pPr>
            <w:r>
              <w:rPr>
                <w:rFonts w:ascii="Arial" w:cs="Arial" w:eastAsia="Arial" w:hAnsi="Arial"/>
                <w:sz w:val="14"/>
                <w:szCs w:val="14"/>
                <w:color w:val="auto"/>
              </w:rPr>
              <w:t>352,750</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shd w:val="clear" w:color="auto" w:fill="E9ECF4"/>
          </w:tcPr>
          <w:p>
            <w:pPr>
              <w:ind w:left="200"/>
              <w:spacing w:after="0" w:line="155" w:lineRule="exact"/>
              <w:rPr>
                <w:sz w:val="20"/>
                <w:szCs w:val="20"/>
                <w:color w:val="auto"/>
              </w:rPr>
            </w:pPr>
            <w:r>
              <w:rPr>
                <w:rFonts w:ascii="Arial" w:cs="Arial" w:eastAsia="Arial" w:hAnsi="Arial"/>
                <w:sz w:val="14"/>
                <w:szCs w:val="14"/>
                <w:color w:val="auto"/>
              </w:rPr>
              <w:t>-Restricted Share Units</w:t>
            </w:r>
          </w:p>
        </w:tc>
        <w:tc>
          <w:tcPr>
            <w:tcW w:w="700" w:type="dxa"/>
            <w:vAlign w:val="bottom"/>
            <w:gridSpan w:val="2"/>
            <w:shd w:val="clear" w:color="auto" w:fill="E9ECF4"/>
          </w:tcPr>
          <w:p>
            <w:pPr>
              <w:jc w:val="right"/>
              <w:ind w:right="14"/>
              <w:spacing w:after="0" w:line="155" w:lineRule="exact"/>
              <w:rPr>
                <w:sz w:val="20"/>
                <w:szCs w:val="20"/>
                <w:color w:val="auto"/>
              </w:rPr>
            </w:pPr>
            <w:r>
              <w:rPr>
                <w:rFonts w:ascii="Arial" w:cs="Arial" w:eastAsia="Arial" w:hAnsi="Arial"/>
                <w:sz w:val="14"/>
                <w:szCs w:val="14"/>
                <w:color w:val="auto"/>
              </w:rPr>
              <w:t>3/1/2022</w:t>
            </w:r>
          </w:p>
        </w:tc>
        <w:tc>
          <w:tcPr>
            <w:tcW w:w="740" w:type="dxa"/>
            <w:vAlign w:val="bottom"/>
            <w:gridSpan w:val="3"/>
            <w:shd w:val="clear" w:color="auto" w:fill="E9ECF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E9ECF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9ECF4"/>
          </w:tcPr>
          <w:p>
            <w:pPr>
              <w:jc w:val="right"/>
              <w:ind w:right="20"/>
              <w:spacing w:after="0" w:line="155" w:lineRule="exact"/>
              <w:rPr>
                <w:sz w:val="20"/>
                <w:szCs w:val="20"/>
                <w:color w:val="auto"/>
              </w:rPr>
            </w:pPr>
            <w:r>
              <w:rPr>
                <w:rFonts w:ascii="Arial" w:cs="Arial" w:eastAsia="Arial" w:hAnsi="Arial"/>
                <w:sz w:val="14"/>
                <w:szCs w:val="14"/>
                <w:color w:val="auto"/>
              </w:rPr>
              <w:t>9,467</w:t>
            </w:r>
          </w:p>
        </w:tc>
        <w:tc>
          <w:tcPr>
            <w:tcW w:w="780" w:type="dxa"/>
            <w:vAlign w:val="bottom"/>
            <w:shd w:val="clear" w:color="auto" w:fill="E9ECF4"/>
          </w:tcPr>
          <w:p>
            <w:pPr>
              <w:jc w:val="right"/>
              <w:ind w:right="13"/>
              <w:spacing w:after="0" w:line="155" w:lineRule="exact"/>
              <w:rPr>
                <w:sz w:val="20"/>
                <w:szCs w:val="20"/>
                <w:color w:val="auto"/>
              </w:rPr>
            </w:pPr>
            <w:r>
              <w:rPr>
                <w:rFonts w:ascii="Arial" w:cs="Arial" w:eastAsia="Arial" w:hAnsi="Arial"/>
                <w:sz w:val="14"/>
                <w:szCs w:val="14"/>
                <w:color w:val="auto"/>
              </w:rPr>
              <w:t>300,009</w:t>
            </w:r>
          </w:p>
        </w:tc>
        <w:tc>
          <w:tcPr>
            <w:tcW w:w="0" w:type="dxa"/>
            <w:vAlign w:val="bottom"/>
          </w:tcPr>
          <w:p>
            <w:pPr>
              <w:spacing w:after="0"/>
              <w:rPr>
                <w:sz w:val="1"/>
                <w:szCs w:val="1"/>
                <w:color w:val="auto"/>
              </w:rPr>
            </w:pPr>
          </w:p>
        </w:tc>
      </w:tr>
      <w:tr>
        <w:trPr>
          <w:trHeight w:val="155"/>
        </w:trPr>
        <w:tc>
          <w:tcPr>
            <w:tcW w:w="2820" w:type="dxa"/>
            <w:vAlign w:val="bottom"/>
          </w:tcPr>
          <w:p>
            <w:pPr>
              <w:ind w:left="200"/>
              <w:spacing w:after="0" w:line="155" w:lineRule="exact"/>
              <w:rPr>
                <w:sz w:val="20"/>
                <w:szCs w:val="20"/>
                <w:color w:val="auto"/>
              </w:rPr>
            </w:pPr>
            <w:r>
              <w:rPr>
                <w:rFonts w:ascii="Arial" w:cs="Arial" w:eastAsia="Arial" w:hAnsi="Arial"/>
                <w:sz w:val="14"/>
                <w:szCs w:val="14"/>
                <w:color w:val="auto"/>
              </w:rPr>
              <w:t>-Restricted Share Units</w:t>
            </w:r>
          </w:p>
        </w:tc>
        <w:tc>
          <w:tcPr>
            <w:tcW w:w="700" w:type="dxa"/>
            <w:vAlign w:val="bottom"/>
            <w:gridSpan w:val="2"/>
          </w:tcPr>
          <w:p>
            <w:pPr>
              <w:jc w:val="right"/>
              <w:ind w:right="14"/>
              <w:spacing w:after="0" w:line="155" w:lineRule="exact"/>
              <w:rPr>
                <w:sz w:val="20"/>
                <w:szCs w:val="20"/>
                <w:color w:val="auto"/>
              </w:rPr>
            </w:pPr>
            <w:r>
              <w:rPr>
                <w:rFonts w:ascii="Arial" w:cs="Arial" w:eastAsia="Arial" w:hAnsi="Arial"/>
                <w:sz w:val="14"/>
                <w:szCs w:val="14"/>
                <w:color w:val="auto"/>
              </w:rPr>
              <w:t>8/9/2022</w:t>
            </w:r>
          </w:p>
        </w:tc>
        <w:tc>
          <w:tcPr>
            <w:tcW w:w="7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29,002</w:t>
            </w:r>
          </w:p>
        </w:tc>
        <w:tc>
          <w:tcPr>
            <w:tcW w:w="780" w:type="dxa"/>
            <w:vAlign w:val="bottom"/>
          </w:tcPr>
          <w:p>
            <w:pPr>
              <w:jc w:val="right"/>
              <w:ind w:right="13"/>
              <w:spacing w:after="0" w:line="155" w:lineRule="exact"/>
              <w:rPr>
                <w:sz w:val="20"/>
                <w:szCs w:val="20"/>
                <w:color w:val="auto"/>
              </w:rPr>
            </w:pPr>
            <w:r>
              <w:rPr>
                <w:rFonts w:ascii="Arial" w:cs="Arial" w:eastAsia="Arial" w:hAnsi="Arial"/>
                <w:sz w:val="14"/>
                <w:szCs w:val="14"/>
                <w:color w:val="auto"/>
              </w:rPr>
              <w:t>749,992</w:t>
            </w:r>
          </w:p>
        </w:tc>
        <w:tc>
          <w:tcPr>
            <w:tcW w:w="0" w:type="dxa"/>
            <w:vAlign w:val="bottom"/>
          </w:tcPr>
          <w:p>
            <w:pPr>
              <w:spacing w:after="0"/>
              <w:rPr>
                <w:sz w:val="1"/>
                <w:szCs w:val="1"/>
                <w:color w:val="auto"/>
              </w:rPr>
            </w:pPr>
          </w:p>
        </w:tc>
      </w:tr>
      <w:tr>
        <w:trPr>
          <w:trHeight w:val="155"/>
        </w:trPr>
        <w:tc>
          <w:tcPr>
            <w:tcW w:w="2820" w:type="dxa"/>
            <w:vAlign w:val="bottom"/>
            <w:shd w:val="clear" w:color="auto" w:fill="E9ECF4"/>
          </w:tcPr>
          <w:p>
            <w:pPr>
              <w:ind w:left="200"/>
              <w:spacing w:after="0" w:line="155" w:lineRule="exact"/>
              <w:rPr>
                <w:sz w:val="20"/>
                <w:szCs w:val="20"/>
                <w:color w:val="auto"/>
              </w:rPr>
            </w:pPr>
            <w:r>
              <w:rPr>
                <w:rFonts w:ascii="Arial" w:cs="Arial" w:eastAsia="Arial" w:hAnsi="Arial"/>
                <w:sz w:val="14"/>
                <w:szCs w:val="14"/>
                <w:color w:val="auto"/>
              </w:rPr>
              <w:t>-rTSR Performance Share Units</w:t>
            </w:r>
          </w:p>
        </w:tc>
        <w:tc>
          <w:tcPr>
            <w:tcW w:w="700" w:type="dxa"/>
            <w:vAlign w:val="bottom"/>
            <w:gridSpan w:val="2"/>
            <w:shd w:val="clear" w:color="auto" w:fill="E9ECF4"/>
          </w:tcPr>
          <w:p>
            <w:pPr>
              <w:jc w:val="right"/>
              <w:ind w:right="14"/>
              <w:spacing w:after="0" w:line="155" w:lineRule="exact"/>
              <w:rPr>
                <w:sz w:val="20"/>
                <w:szCs w:val="20"/>
                <w:color w:val="auto"/>
              </w:rPr>
            </w:pPr>
            <w:r>
              <w:rPr>
                <w:rFonts w:ascii="Arial" w:cs="Arial" w:eastAsia="Arial" w:hAnsi="Arial"/>
                <w:sz w:val="14"/>
                <w:szCs w:val="14"/>
                <w:color w:val="auto"/>
              </w:rPr>
              <w:t>3/1/2022</w:t>
            </w:r>
          </w:p>
        </w:tc>
        <w:tc>
          <w:tcPr>
            <w:tcW w:w="740" w:type="dxa"/>
            <w:vAlign w:val="bottom"/>
            <w:gridSpan w:val="3"/>
            <w:shd w:val="clear" w:color="auto" w:fill="E9ECF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E9ECF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3,489</w:t>
            </w:r>
          </w:p>
        </w:tc>
        <w:tc>
          <w:tcPr>
            <w:tcW w:w="6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6,978</w:t>
            </w:r>
          </w:p>
        </w:tc>
        <w:tc>
          <w:tcPr>
            <w:tcW w:w="720" w:type="dxa"/>
            <w:vAlign w:val="bottom"/>
            <w:shd w:val="clear" w:color="auto" w:fill="E9ECF4"/>
          </w:tcPr>
          <w:p>
            <w:pPr>
              <w:jc w:val="right"/>
              <w:ind w:right="12"/>
              <w:spacing w:after="0" w:line="155" w:lineRule="exact"/>
              <w:rPr>
                <w:sz w:val="20"/>
                <w:szCs w:val="20"/>
                <w:color w:val="auto"/>
              </w:rPr>
            </w:pPr>
            <w:r>
              <w:rPr>
                <w:rFonts w:ascii="Arial" w:cs="Arial" w:eastAsia="Arial" w:hAnsi="Arial"/>
                <w:sz w:val="14"/>
                <w:szCs w:val="14"/>
                <w:color w:val="auto"/>
              </w:rPr>
              <w:t>13,956</w:t>
            </w:r>
          </w:p>
        </w:tc>
        <w:tc>
          <w:tcPr>
            <w:tcW w:w="740" w:type="dxa"/>
            <w:vAlign w:val="bottom"/>
            <w:gridSpan w:val="2"/>
            <w:shd w:val="clear" w:color="auto" w:fill="E9ECF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9ECF4"/>
          </w:tcPr>
          <w:p>
            <w:pPr>
              <w:jc w:val="right"/>
              <w:ind w:right="13"/>
              <w:spacing w:after="0" w:line="155" w:lineRule="exact"/>
              <w:rPr>
                <w:sz w:val="20"/>
                <w:szCs w:val="20"/>
                <w:color w:val="auto"/>
              </w:rPr>
            </w:pPr>
            <w:r>
              <w:rPr>
                <w:rFonts w:ascii="Arial" w:cs="Arial" w:eastAsia="Arial" w:hAnsi="Arial"/>
                <w:sz w:val="14"/>
                <w:szCs w:val="14"/>
                <w:color w:val="auto"/>
              </w:rPr>
              <w:t>299,984</w:t>
            </w:r>
          </w:p>
        </w:tc>
        <w:tc>
          <w:tcPr>
            <w:tcW w:w="0" w:type="dxa"/>
            <w:vAlign w:val="bottom"/>
          </w:tcPr>
          <w:p>
            <w:pPr>
              <w:spacing w:after="0"/>
              <w:rPr>
                <w:sz w:val="1"/>
                <w:szCs w:val="1"/>
                <w:color w:val="auto"/>
              </w:rPr>
            </w:pPr>
          </w:p>
        </w:tc>
      </w:tr>
      <w:tr>
        <w:trPr>
          <w:trHeight w:val="155"/>
        </w:trPr>
        <w:tc>
          <w:tcPr>
            <w:tcW w:w="2820" w:type="dxa"/>
            <w:vAlign w:val="bottom"/>
            <w:shd w:val="clear" w:color="auto" w:fill="9DBDE4"/>
          </w:tcPr>
          <w:p>
            <w:pPr>
              <w:ind w:left="60"/>
              <w:spacing w:after="0" w:line="155" w:lineRule="exact"/>
              <w:rPr>
                <w:sz w:val="20"/>
                <w:szCs w:val="20"/>
                <w:color w:val="auto"/>
              </w:rPr>
            </w:pPr>
            <w:r>
              <w:rPr>
                <w:rFonts w:ascii="Arial" w:cs="Arial" w:eastAsia="Arial" w:hAnsi="Arial"/>
                <w:sz w:val="14"/>
                <w:szCs w:val="14"/>
                <w:color w:val="auto"/>
              </w:rPr>
              <w:t>Deborah L. Guerra</w:t>
            </w:r>
          </w:p>
        </w:tc>
        <w:tc>
          <w:tcPr>
            <w:tcW w:w="700" w:type="dxa"/>
            <w:vAlign w:val="bottom"/>
            <w:gridSpan w:val="2"/>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shd w:val="clear" w:color="auto" w:fill="9DBDE4"/>
          </w:tcPr>
          <w:p>
            <w:pPr>
              <w:ind w:left="200"/>
              <w:spacing w:after="0" w:line="155" w:lineRule="exact"/>
              <w:rPr>
                <w:sz w:val="20"/>
                <w:szCs w:val="20"/>
                <w:color w:val="auto"/>
              </w:rPr>
            </w:pPr>
            <w:r>
              <w:rPr>
                <w:rFonts w:ascii="Arial" w:cs="Arial" w:eastAsia="Arial" w:hAnsi="Arial"/>
                <w:sz w:val="14"/>
                <w:szCs w:val="14"/>
                <w:color w:val="auto"/>
              </w:rPr>
              <w:t>-2022 STIP</w:t>
            </w:r>
          </w:p>
        </w:tc>
        <w:tc>
          <w:tcPr>
            <w:tcW w:w="700" w:type="dxa"/>
            <w:vAlign w:val="bottom"/>
            <w:gridSpan w:val="2"/>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95,750</w:t>
            </w:r>
          </w:p>
        </w:tc>
        <w:tc>
          <w:tcPr>
            <w:tcW w:w="680" w:type="dxa"/>
            <w:vAlign w:val="bottom"/>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383,000</w:t>
            </w:r>
          </w:p>
        </w:tc>
        <w:tc>
          <w:tcPr>
            <w:tcW w:w="7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766,000</w:t>
            </w:r>
          </w:p>
        </w:tc>
        <w:tc>
          <w:tcPr>
            <w:tcW w:w="72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shd w:val="clear" w:color="auto" w:fill="9DBDE4"/>
          </w:tcPr>
          <w:p>
            <w:pPr>
              <w:ind w:left="200"/>
              <w:spacing w:after="0" w:line="155" w:lineRule="exact"/>
              <w:rPr>
                <w:sz w:val="20"/>
                <w:szCs w:val="20"/>
                <w:color w:val="auto"/>
              </w:rPr>
            </w:pPr>
            <w:r>
              <w:rPr>
                <w:rFonts w:ascii="Arial" w:cs="Arial" w:eastAsia="Arial" w:hAnsi="Arial"/>
                <w:sz w:val="14"/>
                <w:szCs w:val="14"/>
                <w:color w:val="auto"/>
              </w:rPr>
              <w:t>-Restricted Share Units</w:t>
            </w:r>
          </w:p>
        </w:tc>
        <w:tc>
          <w:tcPr>
            <w:tcW w:w="80" w:type="dxa"/>
            <w:vAlign w:val="bottom"/>
            <w:shd w:val="clear" w:color="auto" w:fill="9DBDE4"/>
          </w:tcPr>
          <w:p>
            <w:pPr>
              <w:spacing w:after="0"/>
              <w:rPr>
                <w:sz w:val="13"/>
                <w:szCs w:val="13"/>
                <w:color w:val="auto"/>
              </w:rPr>
            </w:pPr>
          </w:p>
        </w:tc>
        <w:tc>
          <w:tcPr>
            <w:tcW w:w="620" w:type="dxa"/>
            <w:vAlign w:val="bottom"/>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w w:val="95"/>
              </w:rPr>
              <w:t>3/1/2022</w:t>
            </w:r>
          </w:p>
        </w:tc>
        <w:tc>
          <w:tcPr>
            <w:tcW w:w="740" w:type="dxa"/>
            <w:vAlign w:val="bottom"/>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7,100</w:t>
            </w:r>
          </w:p>
        </w:tc>
        <w:tc>
          <w:tcPr>
            <w:tcW w:w="780" w:type="dxa"/>
            <w:vAlign w:val="bottom"/>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224,999</w:t>
            </w:r>
          </w:p>
        </w:tc>
        <w:tc>
          <w:tcPr>
            <w:tcW w:w="0" w:type="dxa"/>
            <w:vAlign w:val="bottom"/>
          </w:tcPr>
          <w:p>
            <w:pPr>
              <w:spacing w:after="0"/>
              <w:rPr>
                <w:sz w:val="1"/>
                <w:szCs w:val="1"/>
                <w:color w:val="auto"/>
              </w:rPr>
            </w:pPr>
          </w:p>
        </w:tc>
      </w:tr>
      <w:tr>
        <w:trPr>
          <w:trHeight w:val="155"/>
        </w:trPr>
        <w:tc>
          <w:tcPr>
            <w:tcW w:w="2820" w:type="dxa"/>
            <w:vAlign w:val="bottom"/>
            <w:shd w:val="clear" w:color="auto" w:fill="9DBDE4"/>
          </w:tcPr>
          <w:p>
            <w:pPr>
              <w:ind w:left="200"/>
              <w:spacing w:after="0" w:line="155" w:lineRule="exact"/>
              <w:rPr>
                <w:sz w:val="20"/>
                <w:szCs w:val="20"/>
                <w:color w:val="auto"/>
              </w:rPr>
            </w:pPr>
            <w:r>
              <w:rPr>
                <w:rFonts w:ascii="Arial" w:cs="Arial" w:eastAsia="Arial" w:hAnsi="Arial"/>
                <w:sz w:val="14"/>
                <w:szCs w:val="14"/>
                <w:color w:val="auto"/>
              </w:rPr>
              <w:t>-Restricted Share Units</w:t>
            </w:r>
          </w:p>
        </w:tc>
        <w:tc>
          <w:tcPr>
            <w:tcW w:w="80" w:type="dxa"/>
            <w:vAlign w:val="bottom"/>
            <w:shd w:val="clear" w:color="auto" w:fill="9DBDE4"/>
          </w:tcPr>
          <w:p>
            <w:pPr>
              <w:spacing w:after="0"/>
              <w:rPr>
                <w:sz w:val="13"/>
                <w:szCs w:val="13"/>
                <w:color w:val="auto"/>
              </w:rPr>
            </w:pPr>
          </w:p>
        </w:tc>
        <w:tc>
          <w:tcPr>
            <w:tcW w:w="620" w:type="dxa"/>
            <w:vAlign w:val="bottom"/>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w w:val="95"/>
              </w:rPr>
              <w:t>8/9/2022</w:t>
            </w:r>
          </w:p>
        </w:tc>
        <w:tc>
          <w:tcPr>
            <w:tcW w:w="740" w:type="dxa"/>
            <w:vAlign w:val="bottom"/>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13,534</w:t>
            </w:r>
          </w:p>
        </w:tc>
        <w:tc>
          <w:tcPr>
            <w:tcW w:w="780" w:type="dxa"/>
            <w:vAlign w:val="bottom"/>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349,989</w:t>
            </w:r>
          </w:p>
        </w:tc>
        <w:tc>
          <w:tcPr>
            <w:tcW w:w="0" w:type="dxa"/>
            <w:vAlign w:val="bottom"/>
          </w:tcPr>
          <w:p>
            <w:pPr>
              <w:spacing w:after="0"/>
              <w:rPr>
                <w:sz w:val="1"/>
                <w:szCs w:val="1"/>
                <w:color w:val="auto"/>
              </w:rPr>
            </w:pPr>
          </w:p>
        </w:tc>
      </w:tr>
      <w:tr>
        <w:trPr>
          <w:trHeight w:val="155"/>
        </w:trPr>
        <w:tc>
          <w:tcPr>
            <w:tcW w:w="2820" w:type="dxa"/>
            <w:vAlign w:val="bottom"/>
            <w:shd w:val="clear" w:color="auto" w:fill="9DBDE4"/>
          </w:tcPr>
          <w:p>
            <w:pPr>
              <w:ind w:left="200"/>
              <w:spacing w:after="0" w:line="155" w:lineRule="exact"/>
              <w:rPr>
                <w:sz w:val="20"/>
                <w:szCs w:val="20"/>
                <w:color w:val="auto"/>
              </w:rPr>
            </w:pPr>
            <w:r>
              <w:rPr>
                <w:rFonts w:ascii="Arial" w:cs="Arial" w:eastAsia="Arial" w:hAnsi="Arial"/>
                <w:sz w:val="14"/>
                <w:szCs w:val="14"/>
                <w:color w:val="auto"/>
              </w:rPr>
              <w:t>-rTSR Performance Share Units</w:t>
            </w:r>
          </w:p>
        </w:tc>
        <w:tc>
          <w:tcPr>
            <w:tcW w:w="80" w:type="dxa"/>
            <w:vAlign w:val="bottom"/>
            <w:shd w:val="clear" w:color="auto" w:fill="9DBDE4"/>
          </w:tcPr>
          <w:p>
            <w:pPr>
              <w:spacing w:after="0"/>
              <w:rPr>
                <w:sz w:val="13"/>
                <w:szCs w:val="13"/>
                <w:color w:val="auto"/>
              </w:rPr>
            </w:pPr>
          </w:p>
        </w:tc>
        <w:tc>
          <w:tcPr>
            <w:tcW w:w="620" w:type="dxa"/>
            <w:vAlign w:val="bottom"/>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w w:val="95"/>
              </w:rPr>
              <w:t>3/1/2022</w:t>
            </w:r>
          </w:p>
        </w:tc>
        <w:tc>
          <w:tcPr>
            <w:tcW w:w="740" w:type="dxa"/>
            <w:vAlign w:val="bottom"/>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2,617</w:t>
            </w:r>
          </w:p>
        </w:tc>
        <w:tc>
          <w:tcPr>
            <w:tcW w:w="6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5,234</w:t>
            </w:r>
          </w:p>
        </w:tc>
        <w:tc>
          <w:tcPr>
            <w:tcW w:w="720" w:type="dxa"/>
            <w:vAlign w:val="bottom"/>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10,468</w:t>
            </w:r>
          </w:p>
        </w:tc>
        <w:tc>
          <w:tcPr>
            <w:tcW w:w="740" w:type="dxa"/>
            <w:vAlign w:val="bottom"/>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225,010</w:t>
            </w:r>
          </w:p>
        </w:tc>
        <w:tc>
          <w:tcPr>
            <w:tcW w:w="0" w:type="dxa"/>
            <w:vAlign w:val="bottom"/>
          </w:tcPr>
          <w:p>
            <w:pPr>
              <w:spacing w:after="0"/>
              <w:rPr>
                <w:sz w:val="1"/>
                <w:szCs w:val="1"/>
                <w:color w:val="auto"/>
              </w:rPr>
            </w:pPr>
          </w:p>
        </w:tc>
      </w:tr>
      <w:tr>
        <w:trPr>
          <w:trHeight w:val="155"/>
        </w:trPr>
        <w:tc>
          <w:tcPr>
            <w:tcW w:w="2820" w:type="dxa"/>
            <w:vAlign w:val="bottom"/>
            <w:shd w:val="clear" w:color="auto" w:fill="E9ECF4"/>
          </w:tcPr>
          <w:p>
            <w:pPr>
              <w:ind w:left="60"/>
              <w:spacing w:after="0" w:line="155" w:lineRule="exact"/>
              <w:rPr>
                <w:sz w:val="20"/>
                <w:szCs w:val="20"/>
                <w:color w:val="auto"/>
              </w:rPr>
            </w:pPr>
            <w:r>
              <w:rPr>
                <w:rFonts w:ascii="Arial" w:cs="Arial" w:eastAsia="Arial" w:hAnsi="Arial"/>
                <w:sz w:val="14"/>
                <w:szCs w:val="14"/>
                <w:color w:val="auto"/>
              </w:rPr>
              <w:t>Jeremy M. Wilmot</w:t>
            </w:r>
          </w:p>
        </w:tc>
        <w:tc>
          <w:tcPr>
            <w:tcW w:w="700" w:type="dxa"/>
            <w:vAlign w:val="bottom"/>
            <w:gridSpan w:val="2"/>
            <w:shd w:val="clear" w:color="auto" w:fill="E9ECF4"/>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E9ECF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E9ECF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9ECF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9ECF4"/>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tcPr>
          <w:p>
            <w:pPr>
              <w:ind w:left="200"/>
              <w:spacing w:after="0" w:line="155" w:lineRule="exact"/>
              <w:rPr>
                <w:sz w:val="20"/>
                <w:szCs w:val="20"/>
                <w:color w:val="auto"/>
              </w:rPr>
            </w:pPr>
            <w:r>
              <w:rPr>
                <w:rFonts w:ascii="Arial" w:cs="Arial" w:eastAsia="Arial" w:hAnsi="Arial"/>
                <w:sz w:val="14"/>
                <w:szCs w:val="14"/>
                <w:color w:val="auto"/>
              </w:rPr>
              <w:t>-2022 STIP</w:t>
            </w:r>
          </w:p>
        </w:tc>
        <w:tc>
          <w:tcPr>
            <w:tcW w:w="700" w:type="dxa"/>
            <w:vAlign w:val="bottom"/>
            <w:gridSpan w:val="2"/>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62,250</w:t>
            </w:r>
          </w:p>
        </w:tc>
        <w:tc>
          <w:tcPr>
            <w:tcW w:w="680" w:type="dxa"/>
            <w:vAlign w:val="bottom"/>
          </w:tcPr>
          <w:p>
            <w:pPr>
              <w:jc w:val="right"/>
              <w:ind w:right="32"/>
              <w:spacing w:after="0" w:line="155" w:lineRule="exact"/>
              <w:rPr>
                <w:sz w:val="20"/>
                <w:szCs w:val="20"/>
                <w:color w:val="auto"/>
              </w:rPr>
            </w:pPr>
            <w:r>
              <w:rPr>
                <w:rFonts w:ascii="Arial" w:cs="Arial" w:eastAsia="Arial" w:hAnsi="Arial"/>
                <w:sz w:val="14"/>
                <w:szCs w:val="14"/>
                <w:color w:val="auto"/>
              </w:rPr>
              <w:t>249,000</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498,000</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shd w:val="clear" w:color="auto" w:fill="E9ECF4"/>
          </w:tcPr>
          <w:p>
            <w:pPr>
              <w:ind w:left="200"/>
              <w:spacing w:after="0" w:line="155" w:lineRule="exact"/>
              <w:rPr>
                <w:sz w:val="20"/>
                <w:szCs w:val="20"/>
                <w:color w:val="auto"/>
              </w:rPr>
            </w:pPr>
            <w:r>
              <w:rPr>
                <w:rFonts w:ascii="Arial" w:cs="Arial" w:eastAsia="Arial" w:hAnsi="Arial"/>
                <w:sz w:val="14"/>
                <w:szCs w:val="14"/>
                <w:color w:val="auto"/>
              </w:rPr>
              <w:t>-Restricted Share Units</w:t>
            </w:r>
          </w:p>
        </w:tc>
        <w:tc>
          <w:tcPr>
            <w:tcW w:w="700" w:type="dxa"/>
            <w:vAlign w:val="bottom"/>
            <w:gridSpan w:val="2"/>
            <w:shd w:val="clear" w:color="auto" w:fill="E9ECF4"/>
          </w:tcPr>
          <w:p>
            <w:pPr>
              <w:jc w:val="right"/>
              <w:ind w:right="14"/>
              <w:spacing w:after="0" w:line="155" w:lineRule="exact"/>
              <w:rPr>
                <w:sz w:val="20"/>
                <w:szCs w:val="20"/>
                <w:color w:val="auto"/>
              </w:rPr>
            </w:pPr>
            <w:r>
              <w:rPr>
                <w:rFonts w:ascii="Arial" w:cs="Arial" w:eastAsia="Arial" w:hAnsi="Arial"/>
                <w:sz w:val="14"/>
                <w:szCs w:val="14"/>
                <w:color w:val="auto"/>
              </w:rPr>
              <w:t>3/1/2022</w:t>
            </w:r>
          </w:p>
        </w:tc>
        <w:tc>
          <w:tcPr>
            <w:tcW w:w="740" w:type="dxa"/>
            <w:vAlign w:val="bottom"/>
            <w:gridSpan w:val="3"/>
            <w:shd w:val="clear" w:color="auto" w:fill="E9ECF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E9ECF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9ECF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9ECF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9ECF4"/>
          </w:tcPr>
          <w:p>
            <w:pPr>
              <w:jc w:val="right"/>
              <w:ind w:right="20"/>
              <w:spacing w:after="0" w:line="155" w:lineRule="exact"/>
              <w:rPr>
                <w:sz w:val="20"/>
                <w:szCs w:val="20"/>
                <w:color w:val="auto"/>
              </w:rPr>
            </w:pPr>
            <w:r>
              <w:rPr>
                <w:rFonts w:ascii="Arial" w:cs="Arial" w:eastAsia="Arial" w:hAnsi="Arial"/>
                <w:sz w:val="14"/>
                <w:szCs w:val="14"/>
                <w:color w:val="auto"/>
              </w:rPr>
              <w:t>22,089</w:t>
            </w:r>
          </w:p>
        </w:tc>
        <w:tc>
          <w:tcPr>
            <w:tcW w:w="780" w:type="dxa"/>
            <w:vAlign w:val="bottom"/>
            <w:shd w:val="clear" w:color="auto" w:fill="E9ECF4"/>
          </w:tcPr>
          <w:p>
            <w:pPr>
              <w:jc w:val="right"/>
              <w:ind w:right="13"/>
              <w:spacing w:after="0" w:line="155" w:lineRule="exact"/>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55"/>
        </w:trPr>
        <w:tc>
          <w:tcPr>
            <w:tcW w:w="2820" w:type="dxa"/>
            <w:vAlign w:val="bottom"/>
          </w:tcPr>
          <w:p>
            <w:pPr>
              <w:ind w:left="200"/>
              <w:spacing w:after="0" w:line="155" w:lineRule="exact"/>
              <w:rPr>
                <w:sz w:val="20"/>
                <w:szCs w:val="20"/>
                <w:color w:val="auto"/>
              </w:rPr>
            </w:pPr>
            <w:r>
              <w:rPr>
                <w:rFonts w:ascii="Arial" w:cs="Arial" w:eastAsia="Arial" w:hAnsi="Arial"/>
                <w:sz w:val="14"/>
                <w:szCs w:val="14"/>
                <w:color w:val="auto"/>
              </w:rPr>
              <w:t>-rTSR Performance Share Units</w:t>
            </w:r>
          </w:p>
        </w:tc>
        <w:tc>
          <w:tcPr>
            <w:tcW w:w="700" w:type="dxa"/>
            <w:vAlign w:val="bottom"/>
            <w:gridSpan w:val="2"/>
          </w:tcPr>
          <w:p>
            <w:pPr>
              <w:jc w:val="right"/>
              <w:ind w:right="14"/>
              <w:spacing w:after="0" w:line="155" w:lineRule="exact"/>
              <w:rPr>
                <w:sz w:val="20"/>
                <w:szCs w:val="20"/>
                <w:color w:val="auto"/>
              </w:rPr>
            </w:pPr>
            <w:r>
              <w:rPr>
                <w:rFonts w:ascii="Arial" w:cs="Arial" w:eastAsia="Arial" w:hAnsi="Arial"/>
                <w:sz w:val="14"/>
                <w:szCs w:val="14"/>
                <w:color w:val="auto"/>
              </w:rPr>
              <w:t>3/1/2022</w:t>
            </w:r>
          </w:p>
        </w:tc>
        <w:tc>
          <w:tcPr>
            <w:tcW w:w="7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8,141</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16,283</w:t>
            </w: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32,566</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line="155" w:lineRule="exact"/>
              <w:rPr>
                <w:sz w:val="20"/>
                <w:szCs w:val="20"/>
                <w:color w:val="auto"/>
              </w:rPr>
            </w:pPr>
            <w:r>
              <w:rPr>
                <w:rFonts w:ascii="Arial" w:cs="Arial" w:eastAsia="Arial" w:hAnsi="Arial"/>
                <w:sz w:val="14"/>
                <w:szCs w:val="14"/>
                <w:color w:val="auto"/>
              </w:rPr>
              <w:t>700,006</w:t>
            </w:r>
          </w:p>
        </w:tc>
        <w:tc>
          <w:tcPr>
            <w:tcW w:w="0" w:type="dxa"/>
            <w:vAlign w:val="bottom"/>
          </w:tcPr>
          <w:p>
            <w:pPr>
              <w:spacing w:after="0"/>
              <w:rPr>
                <w:sz w:val="1"/>
                <w:szCs w:val="1"/>
                <w:color w:val="auto"/>
              </w:rPr>
            </w:pPr>
          </w:p>
        </w:tc>
      </w:tr>
      <w:tr>
        <w:trPr>
          <w:trHeight w:val="155"/>
        </w:trPr>
        <w:tc>
          <w:tcPr>
            <w:tcW w:w="2820" w:type="dxa"/>
            <w:vAlign w:val="bottom"/>
            <w:shd w:val="clear" w:color="auto" w:fill="9DBDE4"/>
          </w:tcPr>
          <w:p>
            <w:pPr>
              <w:ind w:left="60"/>
              <w:spacing w:after="0" w:line="155" w:lineRule="exact"/>
              <w:rPr>
                <w:sz w:val="20"/>
                <w:szCs w:val="20"/>
                <w:color w:val="auto"/>
              </w:rPr>
            </w:pPr>
            <w:r>
              <w:rPr>
                <w:rFonts w:ascii="Arial" w:cs="Arial" w:eastAsia="Arial" w:hAnsi="Arial"/>
                <w:sz w:val="14"/>
                <w:szCs w:val="14"/>
                <w:color w:val="auto"/>
              </w:rPr>
              <w:t>Evanthia Aretakis</w:t>
            </w:r>
          </w:p>
        </w:tc>
        <w:tc>
          <w:tcPr>
            <w:tcW w:w="700" w:type="dxa"/>
            <w:vAlign w:val="bottom"/>
            <w:gridSpan w:val="2"/>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shd w:val="clear" w:color="auto" w:fill="9DBDE4"/>
          </w:tcPr>
          <w:p>
            <w:pPr>
              <w:ind w:left="200"/>
              <w:spacing w:after="0" w:line="155" w:lineRule="exact"/>
              <w:rPr>
                <w:sz w:val="20"/>
                <w:szCs w:val="20"/>
                <w:color w:val="auto"/>
              </w:rPr>
            </w:pPr>
            <w:r>
              <w:rPr>
                <w:rFonts w:ascii="Arial" w:cs="Arial" w:eastAsia="Arial" w:hAnsi="Arial"/>
                <w:sz w:val="14"/>
                <w:szCs w:val="14"/>
                <w:color w:val="auto"/>
              </w:rPr>
              <w:t>-2022 STIP</w:t>
            </w:r>
          </w:p>
        </w:tc>
        <w:tc>
          <w:tcPr>
            <w:tcW w:w="700" w:type="dxa"/>
            <w:vAlign w:val="bottom"/>
            <w:gridSpan w:val="2"/>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108,750</w:t>
            </w:r>
          </w:p>
        </w:tc>
        <w:tc>
          <w:tcPr>
            <w:tcW w:w="680" w:type="dxa"/>
            <w:vAlign w:val="bottom"/>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435,000</w:t>
            </w:r>
          </w:p>
        </w:tc>
        <w:tc>
          <w:tcPr>
            <w:tcW w:w="7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870,000</w:t>
            </w:r>
          </w:p>
        </w:tc>
        <w:tc>
          <w:tcPr>
            <w:tcW w:w="72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shd w:val="clear" w:color="auto" w:fill="9DBDE4"/>
          </w:tcPr>
          <w:p>
            <w:pPr>
              <w:ind w:left="200"/>
              <w:spacing w:after="0" w:line="155" w:lineRule="exact"/>
              <w:rPr>
                <w:sz w:val="20"/>
                <w:szCs w:val="20"/>
                <w:color w:val="auto"/>
              </w:rPr>
            </w:pPr>
            <w:r>
              <w:rPr>
                <w:rFonts w:ascii="Arial" w:cs="Arial" w:eastAsia="Arial" w:hAnsi="Arial"/>
                <w:sz w:val="14"/>
                <w:szCs w:val="14"/>
                <w:color w:val="auto"/>
              </w:rPr>
              <w:t>-Restricted Share Units</w:t>
            </w:r>
          </w:p>
        </w:tc>
        <w:tc>
          <w:tcPr>
            <w:tcW w:w="80" w:type="dxa"/>
            <w:vAlign w:val="bottom"/>
            <w:shd w:val="clear" w:color="auto" w:fill="9DBDE4"/>
          </w:tcPr>
          <w:p>
            <w:pPr>
              <w:spacing w:after="0"/>
              <w:rPr>
                <w:sz w:val="13"/>
                <w:szCs w:val="13"/>
                <w:color w:val="auto"/>
              </w:rPr>
            </w:pPr>
          </w:p>
        </w:tc>
        <w:tc>
          <w:tcPr>
            <w:tcW w:w="620" w:type="dxa"/>
            <w:vAlign w:val="bottom"/>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w w:val="95"/>
              </w:rPr>
              <w:t>3/1/2022</w:t>
            </w:r>
          </w:p>
        </w:tc>
        <w:tc>
          <w:tcPr>
            <w:tcW w:w="740" w:type="dxa"/>
            <w:vAlign w:val="bottom"/>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29,978</w:t>
            </w:r>
          </w:p>
        </w:tc>
        <w:tc>
          <w:tcPr>
            <w:tcW w:w="780" w:type="dxa"/>
            <w:vAlign w:val="bottom"/>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950,003</w:t>
            </w:r>
          </w:p>
        </w:tc>
        <w:tc>
          <w:tcPr>
            <w:tcW w:w="0" w:type="dxa"/>
            <w:vAlign w:val="bottom"/>
          </w:tcPr>
          <w:p>
            <w:pPr>
              <w:spacing w:after="0"/>
              <w:rPr>
                <w:sz w:val="1"/>
                <w:szCs w:val="1"/>
                <w:color w:val="auto"/>
              </w:rPr>
            </w:pPr>
          </w:p>
        </w:tc>
      </w:tr>
      <w:tr>
        <w:trPr>
          <w:trHeight w:val="155"/>
        </w:trPr>
        <w:tc>
          <w:tcPr>
            <w:tcW w:w="2820" w:type="dxa"/>
            <w:vAlign w:val="bottom"/>
            <w:tcBorders>
              <w:bottom w:val="single" w:sz="8" w:color="284993"/>
            </w:tcBorders>
            <w:shd w:val="clear" w:color="auto" w:fill="9DBDE4"/>
          </w:tcPr>
          <w:p>
            <w:pPr>
              <w:ind w:left="200"/>
              <w:spacing w:after="0" w:line="155" w:lineRule="exact"/>
              <w:rPr>
                <w:sz w:val="20"/>
                <w:szCs w:val="20"/>
                <w:color w:val="auto"/>
              </w:rPr>
            </w:pPr>
            <w:r>
              <w:rPr>
                <w:rFonts w:ascii="Arial" w:cs="Arial" w:eastAsia="Arial" w:hAnsi="Arial"/>
                <w:sz w:val="14"/>
                <w:szCs w:val="14"/>
                <w:color w:val="auto"/>
              </w:rPr>
              <w:t>-rTSR Performance Share Units</w:t>
            </w:r>
          </w:p>
        </w:tc>
        <w:tc>
          <w:tcPr>
            <w:tcW w:w="80" w:type="dxa"/>
            <w:vAlign w:val="bottom"/>
            <w:tcBorders>
              <w:bottom w:val="single" w:sz="8" w:color="284993"/>
            </w:tcBorders>
            <w:shd w:val="clear" w:color="auto" w:fill="9DBDE4"/>
          </w:tcPr>
          <w:p>
            <w:pPr>
              <w:spacing w:after="0"/>
              <w:rPr>
                <w:sz w:val="13"/>
                <w:szCs w:val="13"/>
                <w:color w:val="auto"/>
              </w:rPr>
            </w:pPr>
          </w:p>
        </w:tc>
        <w:tc>
          <w:tcPr>
            <w:tcW w:w="620" w:type="dxa"/>
            <w:vAlign w:val="bottom"/>
            <w:tcBorders>
              <w:bottom w:val="single" w:sz="8" w:color="284993"/>
            </w:tcBorders>
            <w:shd w:val="clear" w:color="auto" w:fill="9DBDE4"/>
          </w:tcPr>
          <w:p>
            <w:pPr>
              <w:jc w:val="right"/>
              <w:ind w:right="14"/>
              <w:spacing w:after="0" w:line="155" w:lineRule="exact"/>
              <w:rPr>
                <w:sz w:val="20"/>
                <w:szCs w:val="20"/>
                <w:color w:val="auto"/>
              </w:rPr>
            </w:pPr>
            <w:r>
              <w:rPr>
                <w:rFonts w:ascii="Arial" w:cs="Arial" w:eastAsia="Arial" w:hAnsi="Arial"/>
                <w:sz w:val="14"/>
                <w:szCs w:val="14"/>
                <w:color w:val="auto"/>
                <w:w w:val="95"/>
              </w:rPr>
              <w:t>3/1/2022</w:t>
            </w:r>
          </w:p>
        </w:tc>
        <w:tc>
          <w:tcPr>
            <w:tcW w:w="740" w:type="dxa"/>
            <w:vAlign w:val="bottom"/>
            <w:tcBorders>
              <w:bottom w:val="single" w:sz="8" w:color="284993"/>
            </w:tcBorders>
            <w:gridSpan w:val="3"/>
            <w:shd w:val="clear" w:color="auto" w:fill="9DBDE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284993"/>
            </w:tcBorders>
            <w:shd w:val="clear" w:color="auto" w:fill="9DBDE4"/>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284993"/>
            </w:tcBorders>
            <w:shd w:val="clear" w:color="auto" w:fill="9DBDE4"/>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284993"/>
            </w:tcBorders>
            <w:shd w:val="clear" w:color="auto" w:fill="9DBDE4"/>
          </w:tcPr>
          <w:p>
            <w:pPr>
              <w:jc w:val="right"/>
              <w:spacing w:after="0" w:line="155" w:lineRule="exact"/>
              <w:rPr>
                <w:sz w:val="20"/>
                <w:szCs w:val="20"/>
                <w:color w:val="auto"/>
              </w:rPr>
            </w:pPr>
            <w:r>
              <w:rPr>
                <w:rFonts w:ascii="Arial" w:cs="Arial" w:eastAsia="Arial" w:hAnsi="Arial"/>
                <w:sz w:val="14"/>
                <w:szCs w:val="14"/>
                <w:color w:val="auto"/>
              </w:rPr>
              <w:t>11,049</w:t>
            </w:r>
          </w:p>
        </w:tc>
        <w:tc>
          <w:tcPr>
            <w:tcW w:w="660" w:type="dxa"/>
            <w:vAlign w:val="bottom"/>
            <w:tcBorders>
              <w:bottom w:val="single" w:sz="8" w:color="284993"/>
            </w:tcBorders>
            <w:shd w:val="clear" w:color="auto" w:fill="9DBDE4"/>
          </w:tcPr>
          <w:p>
            <w:pPr>
              <w:jc w:val="right"/>
              <w:spacing w:after="0" w:line="155" w:lineRule="exact"/>
              <w:rPr>
                <w:sz w:val="20"/>
                <w:szCs w:val="20"/>
                <w:color w:val="auto"/>
              </w:rPr>
            </w:pPr>
            <w:r>
              <w:rPr>
                <w:rFonts w:ascii="Arial" w:cs="Arial" w:eastAsia="Arial" w:hAnsi="Arial"/>
                <w:sz w:val="14"/>
                <w:szCs w:val="14"/>
                <w:color w:val="auto"/>
              </w:rPr>
              <w:t>22,098</w:t>
            </w:r>
          </w:p>
        </w:tc>
        <w:tc>
          <w:tcPr>
            <w:tcW w:w="720" w:type="dxa"/>
            <w:vAlign w:val="bottom"/>
            <w:tcBorders>
              <w:bottom w:val="single" w:sz="8" w:color="284993"/>
            </w:tcBorders>
            <w:shd w:val="clear" w:color="auto" w:fill="9DBDE4"/>
          </w:tcPr>
          <w:p>
            <w:pPr>
              <w:jc w:val="right"/>
              <w:ind w:right="12"/>
              <w:spacing w:after="0" w:line="155" w:lineRule="exact"/>
              <w:rPr>
                <w:sz w:val="20"/>
                <w:szCs w:val="20"/>
                <w:color w:val="auto"/>
              </w:rPr>
            </w:pPr>
            <w:r>
              <w:rPr>
                <w:rFonts w:ascii="Arial" w:cs="Arial" w:eastAsia="Arial" w:hAnsi="Arial"/>
                <w:sz w:val="14"/>
                <w:szCs w:val="14"/>
                <w:color w:val="auto"/>
              </w:rPr>
              <w:t>44,196</w:t>
            </w:r>
          </w:p>
        </w:tc>
        <w:tc>
          <w:tcPr>
            <w:tcW w:w="740" w:type="dxa"/>
            <w:vAlign w:val="bottom"/>
            <w:tcBorders>
              <w:bottom w:val="single" w:sz="8" w:color="284993"/>
            </w:tcBorders>
            <w:gridSpan w:val="2"/>
            <w:shd w:val="clear" w:color="auto" w:fill="9DBDE4"/>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284993"/>
            </w:tcBorders>
            <w:shd w:val="clear" w:color="auto" w:fill="9DBDE4"/>
          </w:tcPr>
          <w:p>
            <w:pPr>
              <w:jc w:val="right"/>
              <w:ind w:right="13"/>
              <w:spacing w:after="0" w:line="155" w:lineRule="exact"/>
              <w:rPr>
                <w:sz w:val="20"/>
                <w:szCs w:val="20"/>
                <w:color w:val="auto"/>
              </w:rPr>
            </w:pPr>
            <w:r>
              <w:rPr>
                <w:rFonts w:ascii="Arial" w:cs="Arial" w:eastAsia="Arial" w:hAnsi="Arial"/>
                <w:sz w:val="14"/>
                <w:szCs w:val="14"/>
                <w:color w:val="auto"/>
              </w:rPr>
              <w:t>949,993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-3913505</wp:posOffset>
            </wp:positionV>
            <wp:extent cx="5920740" cy="39141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20740" cy="3914140"/>
                    </a:xfrm>
                    <a:prstGeom prst="rect">
                      <a:avLst/>
                    </a:prstGeom>
                    <a:noFill/>
                  </pic:spPr>
                </pic:pic>
              </a:graphicData>
            </a:graphic>
          </wp:anchor>
        </w:drawing>
      </w:r>
    </w:p>
    <w:p>
      <w:pPr>
        <w:spacing w:after="0" w:line="40" w:lineRule="exact"/>
        <w:rPr>
          <w:sz w:val="20"/>
          <w:szCs w:val="20"/>
          <w:color w:val="auto"/>
        </w:rPr>
      </w:pPr>
    </w:p>
    <w:p>
      <w:pPr>
        <w:ind w:left="280" w:right="20" w:hanging="278"/>
        <w:spacing w:after="0" w:line="204" w:lineRule="auto"/>
        <w:tabs>
          <w:tab w:leader="none" w:pos="280" w:val="left"/>
        </w:tabs>
        <w:numPr>
          <w:ilvl w:val="0"/>
          <w:numId w:val="54"/>
        </w:numPr>
        <w:rPr>
          <w:rFonts w:ascii="Arial" w:cs="Arial" w:eastAsia="Arial" w:hAnsi="Arial"/>
          <w:sz w:val="18"/>
          <w:szCs w:val="18"/>
          <w:color w:val="auto"/>
          <w:vertAlign w:val="superscript"/>
        </w:rPr>
      </w:pPr>
      <w:r>
        <w:rPr>
          <w:rFonts w:ascii="Arial" w:cs="Arial" w:eastAsia="Arial" w:hAnsi="Arial"/>
          <w:sz w:val="12"/>
          <w:szCs w:val="12"/>
          <w:color w:val="auto"/>
        </w:rPr>
        <w:t>The amounts shown are possible payouts under the 2022 STIP (and, for Mr. Silva, the SIP). Mr. Silva was also eligible for a SPIF incentive based on a percentage of the amount by which the Company’s license and services revenue from in-year sales during 2022 exceeded $265 million, but there was no “target” award level for such award. For Mr. Wilmot, reflects pro-ration based on his actual base salary earned for 2022. For more information regarding these awards, see “Compensation Discussion and Analysis—Compensation Elements—Annual Cash Incentive Awards.”</w:t>
      </w:r>
    </w:p>
    <w:p>
      <w:pPr>
        <w:spacing w:after="0" w:line="2" w:lineRule="exact"/>
        <w:rPr>
          <w:rFonts w:ascii="Arial" w:cs="Arial" w:eastAsia="Arial" w:hAnsi="Arial"/>
          <w:sz w:val="18"/>
          <w:szCs w:val="18"/>
          <w:color w:val="auto"/>
          <w:vertAlign w:val="superscript"/>
        </w:rPr>
      </w:pPr>
    </w:p>
    <w:p>
      <w:pPr>
        <w:ind w:left="280" w:hanging="278"/>
        <w:spacing w:after="0" w:line="200" w:lineRule="auto"/>
        <w:tabs>
          <w:tab w:leader="none" w:pos="280" w:val="left"/>
        </w:tabs>
        <w:numPr>
          <w:ilvl w:val="0"/>
          <w:numId w:val="54"/>
        </w:numPr>
        <w:rPr>
          <w:rFonts w:ascii="Arial" w:cs="Arial" w:eastAsia="Arial" w:hAnsi="Arial"/>
          <w:sz w:val="18"/>
          <w:szCs w:val="18"/>
          <w:color w:val="auto"/>
          <w:vertAlign w:val="superscript"/>
        </w:rPr>
      </w:pPr>
      <w:r>
        <w:rPr>
          <w:rFonts w:ascii="Arial" w:cs="Arial" w:eastAsia="Arial" w:hAnsi="Arial"/>
          <w:sz w:val="12"/>
          <w:szCs w:val="12"/>
          <w:color w:val="auto"/>
        </w:rPr>
        <w:t>The awards shown in columns (f) through (h) reflect shares of our common stock issuable in connection with rTSR Performance Share Awards granted to our Named Executive Officers in 2022. These awards were granted pursuant to the terms of the 2020 Equity and Incentive Compensation Plan. These awards will be earned, if at all, based upon the achievement, over a defined performance period, of applicable performance objectives, as further described above under “Compensation Discussion and Analysis—Compensation Elements—Long-Term Incentive Compensation.”</w:t>
      </w:r>
    </w:p>
    <w:p>
      <w:pPr>
        <w:ind w:left="280" w:right="240" w:hanging="278"/>
        <w:spacing w:after="0" w:line="200" w:lineRule="auto"/>
        <w:tabs>
          <w:tab w:leader="none" w:pos="280" w:val="left"/>
        </w:tabs>
        <w:numPr>
          <w:ilvl w:val="0"/>
          <w:numId w:val="54"/>
        </w:numPr>
        <w:rPr>
          <w:rFonts w:ascii="Arial" w:cs="Arial" w:eastAsia="Arial" w:hAnsi="Arial"/>
          <w:sz w:val="18"/>
          <w:szCs w:val="18"/>
          <w:color w:val="auto"/>
          <w:vertAlign w:val="superscript"/>
        </w:rPr>
      </w:pPr>
      <w:r>
        <w:rPr>
          <w:rFonts w:ascii="Arial" w:cs="Arial" w:eastAsia="Arial" w:hAnsi="Arial"/>
          <w:sz w:val="12"/>
          <w:szCs w:val="12"/>
          <w:color w:val="auto"/>
        </w:rPr>
        <w:t>The awards shown in column (i) reflect RSUs granted to our Named Executive Officers in 2022, as further described above under “Compensation Discussion and Analysis—Compensation Elements—Interim CEO Compensation” and “Compensation Discussion and Analysis—Compensation Elements—Long-Term Incentive Compensation.” This table does not reflect RSUs granted to Mr. Warsop in connection with his service as a non-employee director prior to his appointment as Interim CEO, the value of which are included in the “2022 Director Compensation” table above.</w:t>
      </w:r>
    </w:p>
    <w:p>
      <w:pPr>
        <w:jc w:val="both"/>
        <w:ind w:left="280" w:right="60" w:hanging="278"/>
        <w:spacing w:after="0" w:line="207" w:lineRule="auto"/>
        <w:tabs>
          <w:tab w:leader="none" w:pos="280" w:val="left"/>
        </w:tabs>
        <w:numPr>
          <w:ilvl w:val="0"/>
          <w:numId w:val="54"/>
        </w:numPr>
        <w:rPr>
          <w:rFonts w:ascii="Arial" w:cs="Arial" w:eastAsia="Arial" w:hAnsi="Arial"/>
          <w:sz w:val="18"/>
          <w:szCs w:val="18"/>
          <w:color w:val="auto"/>
          <w:vertAlign w:val="superscript"/>
        </w:rPr>
      </w:pPr>
      <w:r>
        <w:rPr>
          <w:rFonts w:ascii="Arial" w:cs="Arial" w:eastAsia="Arial" w:hAnsi="Arial"/>
          <w:sz w:val="12"/>
          <w:szCs w:val="12"/>
          <w:color w:val="auto"/>
        </w:rPr>
        <w:t>The grant date fair value of each equity award granted during 2022 was computed in accordance with FASB ASC Topic 718, excluding the effect of estimated forfeitures. For equity awards that are subject to performance conditions, the amounts reflected in column (l) reflect the value at the grant date based upon the probable outcome of such conditions and this amount is consistent with the estimate of the aggregate compensation cost to be recognized over the service period determined as of the grant date under FASB ASC Topic 718, excluding the effect of estimated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83185</wp:posOffset>
            </wp:positionV>
            <wp:extent cx="699135" cy="1314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72</w:t>
      </w:r>
    </w:p>
    <w:p>
      <w:pPr>
        <w:sectPr>
          <w:pgSz w:w="11900" w:h="16838" w:orient="portrait"/>
          <w:cols w:equalWidth="0" w:num="1">
            <w:col w:w="9320"/>
          </w:cols>
          <w:pgMar w:left="1280" w:top="285" w:right="1299" w:bottom="1440" w:gutter="0" w:footer="0" w:header="0"/>
        </w:sectPr>
      </w:pPr>
    </w:p>
    <w:bookmarkStart w:id="78" w:name="page79"/>
    <w:bookmarkEnd w:id="78"/>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Outstanding Equity Awards at 2022 Fiscal Year-End</w:t>
      </w:r>
    </w:p>
    <w:p>
      <w:pPr>
        <w:spacing w:after="0" w:line="22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following table sets forth the outstanding equity awards for each of our Named Executive Officers for the year ended December 31,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60" w:type="dxa"/>
            <w:vAlign w:val="bottom"/>
            <w:shd w:val="clear" w:color="auto" w:fill="284993"/>
          </w:tcPr>
          <w:p>
            <w:pPr>
              <w:spacing w:after="0"/>
              <w:rPr>
                <w:sz w:val="12"/>
                <w:szCs w:val="12"/>
                <w:color w:val="auto"/>
              </w:rPr>
            </w:pPr>
          </w:p>
        </w:tc>
        <w:tc>
          <w:tcPr>
            <w:tcW w:w="60" w:type="dxa"/>
            <w:vAlign w:val="bottom"/>
            <w:shd w:val="clear" w:color="auto" w:fill="284993"/>
          </w:tcPr>
          <w:p>
            <w:pPr>
              <w:spacing w:after="0"/>
              <w:rPr>
                <w:sz w:val="12"/>
                <w:szCs w:val="12"/>
                <w:color w:val="auto"/>
              </w:rPr>
            </w:pPr>
          </w:p>
        </w:tc>
        <w:tc>
          <w:tcPr>
            <w:tcW w:w="600" w:type="dxa"/>
            <w:vAlign w:val="bottom"/>
            <w:shd w:val="clear" w:color="auto" w:fill="284993"/>
          </w:tcPr>
          <w:p>
            <w:pPr>
              <w:spacing w:after="0"/>
              <w:rPr>
                <w:sz w:val="12"/>
                <w:szCs w:val="12"/>
                <w:color w:val="auto"/>
              </w:rPr>
            </w:pPr>
          </w:p>
        </w:tc>
        <w:tc>
          <w:tcPr>
            <w:tcW w:w="820" w:type="dxa"/>
            <w:vAlign w:val="bottom"/>
            <w:shd w:val="clear" w:color="auto" w:fill="284993"/>
          </w:tcPr>
          <w:p>
            <w:pPr>
              <w:spacing w:after="0"/>
              <w:rPr>
                <w:sz w:val="12"/>
                <w:szCs w:val="12"/>
                <w:color w:val="auto"/>
              </w:rPr>
            </w:pPr>
          </w:p>
        </w:tc>
        <w:tc>
          <w:tcPr>
            <w:tcW w:w="940" w:type="dxa"/>
            <w:vAlign w:val="bottom"/>
            <w:vMerge w:val="restart"/>
            <w:shd w:val="clear" w:color="auto" w:fill="284993"/>
          </w:tcPr>
          <w:p>
            <w:pPr>
              <w:jc w:val="right"/>
              <w:spacing w:after="0"/>
              <w:rPr>
                <w:sz w:val="20"/>
                <w:szCs w:val="20"/>
                <w:color w:val="auto"/>
              </w:rPr>
            </w:pPr>
            <w:r>
              <w:rPr>
                <w:rFonts w:ascii="Arial" w:cs="Arial" w:eastAsia="Arial" w:hAnsi="Arial"/>
                <w:sz w:val="12"/>
                <w:szCs w:val="12"/>
                <w:b w:val="1"/>
                <w:bCs w:val="1"/>
                <w:color w:val="FFFFFF"/>
              </w:rPr>
              <w:t>Option Awards</w:t>
            </w:r>
          </w:p>
        </w:tc>
        <w:tc>
          <w:tcPr>
            <w:tcW w:w="3000" w:type="dxa"/>
            <w:vAlign w:val="bottom"/>
            <w:gridSpan w:val="4"/>
            <w:shd w:val="clear" w:color="auto" w:fill="284993"/>
          </w:tcPr>
          <w:p>
            <w:pPr>
              <w:jc w:val="right"/>
              <w:spacing w:after="0"/>
              <w:rPr>
                <w:sz w:val="20"/>
                <w:szCs w:val="20"/>
                <w:color w:val="auto"/>
              </w:rPr>
            </w:pPr>
            <w:r>
              <w:rPr>
                <w:rFonts w:ascii="Arial" w:cs="Arial" w:eastAsia="Arial" w:hAnsi="Arial"/>
                <w:sz w:val="12"/>
                <w:szCs w:val="12"/>
                <w:b w:val="1"/>
                <w:bCs w:val="1"/>
                <w:color w:val="FFFFFF"/>
              </w:rPr>
              <w:t>Outstanding Equity Awards at 2022 Fiscal Year End</w:t>
            </w:r>
          </w:p>
        </w:tc>
        <w:tc>
          <w:tcPr>
            <w:tcW w:w="1160" w:type="dxa"/>
            <w:vAlign w:val="bottom"/>
            <w:vMerge w:val="restart"/>
            <w:shd w:val="clear" w:color="auto" w:fill="284993"/>
          </w:tcPr>
          <w:p>
            <w:pPr>
              <w:jc w:val="right"/>
              <w:ind w:right="303"/>
              <w:spacing w:after="0"/>
              <w:rPr>
                <w:sz w:val="20"/>
                <w:szCs w:val="20"/>
                <w:color w:val="auto"/>
              </w:rPr>
            </w:pPr>
            <w:r>
              <w:rPr>
                <w:rFonts w:ascii="Arial" w:cs="Arial" w:eastAsia="Arial" w:hAnsi="Arial"/>
                <w:sz w:val="12"/>
                <w:szCs w:val="12"/>
                <w:b w:val="1"/>
                <w:bCs w:val="1"/>
                <w:color w:val="FFFFFF"/>
                <w:w w:val="98"/>
              </w:rPr>
              <w:t>Stock Awards</w:t>
            </w:r>
          </w:p>
        </w:tc>
        <w:tc>
          <w:tcPr>
            <w:tcW w:w="1180" w:type="dxa"/>
            <w:vAlign w:val="bottom"/>
            <w:shd w:val="clear" w:color="auto" w:fill="28499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shd w:val="clear" w:color="auto" w:fill="284993"/>
          </w:tcPr>
          <w:p>
            <w:pPr>
              <w:spacing w:after="0"/>
              <w:rPr>
                <w:sz w:val="12"/>
                <w:szCs w:val="12"/>
                <w:color w:val="auto"/>
              </w:rPr>
            </w:pPr>
          </w:p>
        </w:tc>
        <w:tc>
          <w:tcPr>
            <w:tcW w:w="60" w:type="dxa"/>
            <w:vAlign w:val="bottom"/>
            <w:shd w:val="clear" w:color="auto" w:fill="284993"/>
          </w:tcPr>
          <w:p>
            <w:pPr>
              <w:spacing w:after="0"/>
              <w:rPr>
                <w:sz w:val="12"/>
                <w:szCs w:val="12"/>
                <w:color w:val="auto"/>
              </w:rPr>
            </w:pPr>
          </w:p>
        </w:tc>
        <w:tc>
          <w:tcPr>
            <w:tcW w:w="600" w:type="dxa"/>
            <w:vAlign w:val="bottom"/>
            <w:shd w:val="clear" w:color="auto" w:fill="284993"/>
          </w:tcPr>
          <w:p>
            <w:pPr>
              <w:spacing w:after="0"/>
              <w:rPr>
                <w:sz w:val="12"/>
                <w:szCs w:val="12"/>
                <w:color w:val="auto"/>
              </w:rPr>
            </w:pPr>
          </w:p>
        </w:tc>
        <w:tc>
          <w:tcPr>
            <w:tcW w:w="820" w:type="dxa"/>
            <w:vAlign w:val="bottom"/>
            <w:shd w:val="clear" w:color="auto" w:fill="284993"/>
          </w:tcPr>
          <w:p>
            <w:pPr>
              <w:spacing w:after="0"/>
              <w:rPr>
                <w:sz w:val="12"/>
                <w:szCs w:val="12"/>
                <w:color w:val="auto"/>
              </w:rPr>
            </w:pPr>
          </w:p>
        </w:tc>
        <w:tc>
          <w:tcPr>
            <w:tcW w:w="940" w:type="dxa"/>
            <w:vAlign w:val="bottom"/>
            <w:vMerge w:val="continue"/>
            <w:shd w:val="clear" w:color="auto" w:fill="284993"/>
          </w:tcPr>
          <w:p>
            <w:pPr>
              <w:spacing w:after="0"/>
              <w:rPr>
                <w:sz w:val="12"/>
                <w:szCs w:val="12"/>
                <w:color w:val="auto"/>
              </w:rPr>
            </w:pPr>
          </w:p>
        </w:tc>
        <w:tc>
          <w:tcPr>
            <w:tcW w:w="720" w:type="dxa"/>
            <w:vAlign w:val="bottom"/>
            <w:shd w:val="clear" w:color="auto" w:fill="284993"/>
          </w:tcPr>
          <w:p>
            <w:pPr>
              <w:spacing w:after="0"/>
              <w:rPr>
                <w:sz w:val="12"/>
                <w:szCs w:val="12"/>
                <w:color w:val="auto"/>
              </w:rPr>
            </w:pPr>
          </w:p>
        </w:tc>
        <w:tc>
          <w:tcPr>
            <w:tcW w:w="760" w:type="dxa"/>
            <w:vAlign w:val="bottom"/>
            <w:shd w:val="clear" w:color="auto" w:fill="284993"/>
          </w:tcPr>
          <w:p>
            <w:pPr>
              <w:spacing w:after="0"/>
              <w:rPr>
                <w:sz w:val="12"/>
                <w:szCs w:val="12"/>
                <w:color w:val="auto"/>
              </w:rPr>
            </w:pPr>
          </w:p>
        </w:tc>
        <w:tc>
          <w:tcPr>
            <w:tcW w:w="800" w:type="dxa"/>
            <w:vAlign w:val="bottom"/>
            <w:shd w:val="clear" w:color="auto" w:fill="284993"/>
          </w:tcPr>
          <w:p>
            <w:pPr>
              <w:spacing w:after="0"/>
              <w:rPr>
                <w:sz w:val="12"/>
                <w:szCs w:val="12"/>
                <w:color w:val="auto"/>
              </w:rPr>
            </w:pPr>
          </w:p>
        </w:tc>
        <w:tc>
          <w:tcPr>
            <w:tcW w:w="720" w:type="dxa"/>
            <w:vAlign w:val="bottom"/>
            <w:shd w:val="clear" w:color="auto" w:fill="284993"/>
          </w:tcPr>
          <w:p>
            <w:pPr>
              <w:spacing w:after="0"/>
              <w:rPr>
                <w:sz w:val="12"/>
                <w:szCs w:val="12"/>
                <w:color w:val="auto"/>
              </w:rPr>
            </w:pPr>
          </w:p>
        </w:tc>
        <w:tc>
          <w:tcPr>
            <w:tcW w:w="1160" w:type="dxa"/>
            <w:vAlign w:val="bottom"/>
            <w:vMerge w:val="continue"/>
            <w:shd w:val="clear" w:color="auto" w:fill="284993"/>
          </w:tcPr>
          <w:p>
            <w:pPr>
              <w:spacing w:after="0"/>
              <w:rPr>
                <w:sz w:val="12"/>
                <w:szCs w:val="12"/>
                <w:color w:val="auto"/>
              </w:rPr>
            </w:pPr>
          </w:p>
        </w:tc>
        <w:tc>
          <w:tcPr>
            <w:tcW w:w="1180" w:type="dxa"/>
            <w:vAlign w:val="bottom"/>
            <w:shd w:val="clear" w:color="auto" w:fill="284993"/>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560" w:type="dxa"/>
            <w:vAlign w:val="bottom"/>
            <w:shd w:val="clear" w:color="auto" w:fill="284993"/>
          </w:tcPr>
          <w:p>
            <w:pPr>
              <w:spacing w:after="0"/>
              <w:rPr>
                <w:sz w:val="10"/>
                <w:szCs w:val="10"/>
                <w:color w:val="auto"/>
              </w:rPr>
            </w:pPr>
          </w:p>
        </w:tc>
        <w:tc>
          <w:tcPr>
            <w:tcW w:w="60" w:type="dxa"/>
            <w:vAlign w:val="bottom"/>
            <w:shd w:val="clear" w:color="auto" w:fill="284993"/>
          </w:tcPr>
          <w:p>
            <w:pPr>
              <w:spacing w:after="0"/>
              <w:rPr>
                <w:sz w:val="10"/>
                <w:szCs w:val="10"/>
                <w:color w:val="auto"/>
              </w:rPr>
            </w:pPr>
          </w:p>
        </w:tc>
        <w:tc>
          <w:tcPr>
            <w:tcW w:w="600" w:type="dxa"/>
            <w:vAlign w:val="bottom"/>
            <w:shd w:val="clear" w:color="auto" w:fill="284993"/>
          </w:tcPr>
          <w:p>
            <w:pPr>
              <w:spacing w:after="0"/>
              <w:rPr>
                <w:sz w:val="10"/>
                <w:szCs w:val="10"/>
                <w:color w:val="auto"/>
              </w:rPr>
            </w:pPr>
          </w:p>
        </w:tc>
        <w:tc>
          <w:tcPr>
            <w:tcW w:w="820" w:type="dxa"/>
            <w:vAlign w:val="bottom"/>
            <w:shd w:val="clear" w:color="auto" w:fill="284993"/>
          </w:tcPr>
          <w:p>
            <w:pPr>
              <w:spacing w:after="0"/>
              <w:rPr>
                <w:sz w:val="10"/>
                <w:szCs w:val="10"/>
                <w:color w:val="auto"/>
              </w:rPr>
            </w:pPr>
          </w:p>
        </w:tc>
        <w:tc>
          <w:tcPr>
            <w:tcW w:w="940" w:type="dxa"/>
            <w:vAlign w:val="bottom"/>
            <w:shd w:val="clear" w:color="auto" w:fill="284993"/>
          </w:tcPr>
          <w:p>
            <w:pPr>
              <w:spacing w:after="0"/>
              <w:rPr>
                <w:sz w:val="10"/>
                <w:szCs w:val="10"/>
                <w:color w:val="auto"/>
              </w:rPr>
            </w:pPr>
          </w:p>
        </w:tc>
        <w:tc>
          <w:tcPr>
            <w:tcW w:w="720" w:type="dxa"/>
            <w:vAlign w:val="bottom"/>
            <w:shd w:val="clear" w:color="auto" w:fill="284993"/>
          </w:tcPr>
          <w:p>
            <w:pPr>
              <w:spacing w:after="0"/>
              <w:rPr>
                <w:sz w:val="10"/>
                <w:szCs w:val="10"/>
                <w:color w:val="auto"/>
              </w:rPr>
            </w:pPr>
          </w:p>
        </w:tc>
        <w:tc>
          <w:tcPr>
            <w:tcW w:w="760" w:type="dxa"/>
            <w:vAlign w:val="bottom"/>
            <w:shd w:val="clear" w:color="auto" w:fill="284993"/>
          </w:tcPr>
          <w:p>
            <w:pPr>
              <w:spacing w:after="0"/>
              <w:rPr>
                <w:sz w:val="10"/>
                <w:szCs w:val="10"/>
                <w:color w:val="auto"/>
              </w:rPr>
            </w:pPr>
          </w:p>
        </w:tc>
        <w:tc>
          <w:tcPr>
            <w:tcW w:w="800" w:type="dxa"/>
            <w:vAlign w:val="bottom"/>
            <w:shd w:val="clear" w:color="auto" w:fill="284993"/>
          </w:tcPr>
          <w:p>
            <w:pPr>
              <w:spacing w:after="0"/>
              <w:rPr>
                <w:sz w:val="10"/>
                <w:szCs w:val="10"/>
                <w:color w:val="auto"/>
              </w:rPr>
            </w:pPr>
          </w:p>
        </w:tc>
        <w:tc>
          <w:tcPr>
            <w:tcW w:w="720" w:type="dxa"/>
            <w:vAlign w:val="bottom"/>
            <w:shd w:val="clear" w:color="auto" w:fill="284993"/>
          </w:tcPr>
          <w:p>
            <w:pPr>
              <w:spacing w:after="0"/>
              <w:rPr>
                <w:sz w:val="10"/>
                <w:szCs w:val="10"/>
                <w:color w:val="auto"/>
              </w:rPr>
            </w:pPr>
          </w:p>
        </w:tc>
        <w:tc>
          <w:tcPr>
            <w:tcW w:w="1160" w:type="dxa"/>
            <w:vAlign w:val="bottom"/>
            <w:shd w:val="clear" w:color="auto" w:fill="284993"/>
          </w:tcPr>
          <w:p>
            <w:pPr>
              <w:jc w:val="center"/>
              <w:ind w:right="3"/>
              <w:spacing w:after="0" w:line="125" w:lineRule="exact"/>
              <w:rPr>
                <w:sz w:val="20"/>
                <w:szCs w:val="20"/>
                <w:color w:val="auto"/>
              </w:rPr>
            </w:pPr>
            <w:r>
              <w:rPr>
                <w:rFonts w:ascii="Arial" w:cs="Arial" w:eastAsia="Arial" w:hAnsi="Arial"/>
                <w:sz w:val="12"/>
                <w:szCs w:val="12"/>
                <w:b w:val="1"/>
                <w:bCs w:val="1"/>
                <w:color w:val="FFFFFF"/>
              </w:rPr>
              <w:t>Equity</w:t>
            </w:r>
          </w:p>
        </w:tc>
        <w:tc>
          <w:tcPr>
            <w:tcW w:w="118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Equity Incentive</w:t>
            </w:r>
          </w:p>
        </w:tc>
        <w:tc>
          <w:tcPr>
            <w:tcW w:w="0" w:type="dxa"/>
            <w:vAlign w:val="bottom"/>
          </w:tcPr>
          <w:p>
            <w:pPr>
              <w:spacing w:after="0"/>
              <w:rPr>
                <w:sz w:val="1"/>
                <w:szCs w:val="1"/>
                <w:color w:val="auto"/>
              </w:rPr>
            </w:pPr>
          </w:p>
        </w:tc>
      </w:tr>
      <w:tr>
        <w:trPr>
          <w:trHeight w:val="130"/>
        </w:trPr>
        <w:tc>
          <w:tcPr>
            <w:tcW w:w="1560" w:type="dxa"/>
            <w:vAlign w:val="bottom"/>
            <w:shd w:val="clear" w:color="auto" w:fill="284993"/>
          </w:tcPr>
          <w:p>
            <w:pPr>
              <w:spacing w:after="0"/>
              <w:rPr>
                <w:sz w:val="11"/>
                <w:szCs w:val="11"/>
                <w:color w:val="auto"/>
              </w:rPr>
            </w:pPr>
          </w:p>
        </w:tc>
        <w:tc>
          <w:tcPr>
            <w:tcW w:w="60" w:type="dxa"/>
            <w:vAlign w:val="bottom"/>
            <w:shd w:val="clear" w:color="auto" w:fill="284993"/>
          </w:tcPr>
          <w:p>
            <w:pPr>
              <w:spacing w:after="0"/>
              <w:rPr>
                <w:sz w:val="11"/>
                <w:szCs w:val="11"/>
                <w:color w:val="auto"/>
              </w:rPr>
            </w:pPr>
          </w:p>
        </w:tc>
        <w:tc>
          <w:tcPr>
            <w:tcW w:w="600" w:type="dxa"/>
            <w:vAlign w:val="bottom"/>
            <w:shd w:val="clear" w:color="auto" w:fill="284993"/>
          </w:tcPr>
          <w:p>
            <w:pPr>
              <w:spacing w:after="0"/>
              <w:rPr>
                <w:sz w:val="11"/>
                <w:szCs w:val="11"/>
                <w:color w:val="auto"/>
              </w:rPr>
            </w:pPr>
          </w:p>
        </w:tc>
        <w:tc>
          <w:tcPr>
            <w:tcW w:w="820" w:type="dxa"/>
            <w:vAlign w:val="bottom"/>
            <w:shd w:val="clear" w:color="auto" w:fill="284993"/>
          </w:tcPr>
          <w:p>
            <w:pPr>
              <w:spacing w:after="0"/>
              <w:rPr>
                <w:sz w:val="11"/>
                <w:szCs w:val="11"/>
                <w:color w:val="auto"/>
              </w:rPr>
            </w:pPr>
          </w:p>
        </w:tc>
        <w:tc>
          <w:tcPr>
            <w:tcW w:w="940" w:type="dxa"/>
            <w:vAlign w:val="bottom"/>
            <w:shd w:val="clear" w:color="auto" w:fill="284993"/>
          </w:tcPr>
          <w:p>
            <w:pPr>
              <w:spacing w:after="0"/>
              <w:rPr>
                <w:sz w:val="11"/>
                <w:szCs w:val="11"/>
                <w:color w:val="auto"/>
              </w:rPr>
            </w:pPr>
          </w:p>
        </w:tc>
        <w:tc>
          <w:tcPr>
            <w:tcW w:w="720" w:type="dxa"/>
            <w:vAlign w:val="bottom"/>
            <w:shd w:val="clear" w:color="auto" w:fill="284993"/>
          </w:tcPr>
          <w:p>
            <w:pPr>
              <w:spacing w:after="0"/>
              <w:rPr>
                <w:sz w:val="11"/>
                <w:szCs w:val="11"/>
                <w:color w:val="auto"/>
              </w:rPr>
            </w:pPr>
          </w:p>
        </w:tc>
        <w:tc>
          <w:tcPr>
            <w:tcW w:w="760" w:type="dxa"/>
            <w:vAlign w:val="bottom"/>
            <w:shd w:val="clear" w:color="auto" w:fill="284993"/>
          </w:tcPr>
          <w:p>
            <w:pPr>
              <w:spacing w:after="0"/>
              <w:rPr>
                <w:sz w:val="11"/>
                <w:szCs w:val="11"/>
                <w:color w:val="auto"/>
              </w:rPr>
            </w:pPr>
          </w:p>
        </w:tc>
        <w:tc>
          <w:tcPr>
            <w:tcW w:w="800" w:type="dxa"/>
            <w:vAlign w:val="bottom"/>
            <w:vMerge w:val="restart"/>
            <w:shd w:val="clear" w:color="auto" w:fill="284993"/>
          </w:tcPr>
          <w:p>
            <w:pPr>
              <w:jc w:val="center"/>
              <w:ind w:right="40"/>
              <w:spacing w:after="0"/>
              <w:rPr>
                <w:sz w:val="20"/>
                <w:szCs w:val="20"/>
                <w:color w:val="auto"/>
              </w:rPr>
            </w:pPr>
            <w:r>
              <w:rPr>
                <w:rFonts w:ascii="Arial" w:cs="Arial" w:eastAsia="Arial" w:hAnsi="Arial"/>
                <w:sz w:val="12"/>
                <w:szCs w:val="12"/>
                <w:b w:val="1"/>
                <w:bCs w:val="1"/>
                <w:color w:val="FFFFFF"/>
              </w:rPr>
              <w:t>Number</w:t>
            </w:r>
          </w:p>
        </w:tc>
        <w:tc>
          <w:tcPr>
            <w:tcW w:w="72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Market</w:t>
            </w:r>
          </w:p>
        </w:tc>
        <w:tc>
          <w:tcPr>
            <w:tcW w:w="1160" w:type="dxa"/>
            <w:vAlign w:val="bottom"/>
            <w:shd w:val="clear" w:color="auto" w:fill="284993"/>
          </w:tcPr>
          <w:p>
            <w:pPr>
              <w:jc w:val="center"/>
              <w:ind w:right="3"/>
              <w:spacing w:after="0" w:line="130" w:lineRule="exact"/>
              <w:rPr>
                <w:sz w:val="20"/>
                <w:szCs w:val="20"/>
                <w:color w:val="auto"/>
              </w:rPr>
            </w:pPr>
            <w:r>
              <w:rPr>
                <w:rFonts w:ascii="Arial" w:cs="Arial" w:eastAsia="Arial" w:hAnsi="Arial"/>
                <w:sz w:val="12"/>
                <w:szCs w:val="12"/>
                <w:b w:val="1"/>
                <w:bCs w:val="1"/>
                <w:color w:val="FFFFFF"/>
              </w:rPr>
              <w:t>Incentive Plan</w:t>
            </w:r>
          </w:p>
        </w:tc>
        <w:tc>
          <w:tcPr>
            <w:tcW w:w="1180" w:type="dxa"/>
            <w:vAlign w:val="bottom"/>
            <w:vMerge w:val="continue"/>
            <w:shd w:val="clear" w:color="auto" w:fill="284993"/>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60" w:type="dxa"/>
            <w:vAlign w:val="bottom"/>
            <w:shd w:val="clear" w:color="auto" w:fill="284993"/>
          </w:tcPr>
          <w:p>
            <w:pPr>
              <w:spacing w:after="0"/>
              <w:rPr>
                <w:sz w:val="11"/>
                <w:szCs w:val="11"/>
                <w:color w:val="auto"/>
              </w:rPr>
            </w:pPr>
          </w:p>
        </w:tc>
        <w:tc>
          <w:tcPr>
            <w:tcW w:w="60" w:type="dxa"/>
            <w:vAlign w:val="bottom"/>
            <w:shd w:val="clear" w:color="auto" w:fill="284993"/>
          </w:tcPr>
          <w:p>
            <w:pPr>
              <w:spacing w:after="0"/>
              <w:rPr>
                <w:sz w:val="11"/>
                <w:szCs w:val="11"/>
                <w:color w:val="auto"/>
              </w:rPr>
            </w:pPr>
          </w:p>
        </w:tc>
        <w:tc>
          <w:tcPr>
            <w:tcW w:w="600" w:type="dxa"/>
            <w:vAlign w:val="bottom"/>
            <w:shd w:val="clear" w:color="auto" w:fill="284993"/>
          </w:tcPr>
          <w:p>
            <w:pPr>
              <w:spacing w:after="0"/>
              <w:rPr>
                <w:sz w:val="11"/>
                <w:szCs w:val="11"/>
                <w:color w:val="auto"/>
              </w:rPr>
            </w:pPr>
          </w:p>
        </w:tc>
        <w:tc>
          <w:tcPr>
            <w:tcW w:w="82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Number of</w:t>
            </w:r>
          </w:p>
        </w:tc>
        <w:tc>
          <w:tcPr>
            <w:tcW w:w="940" w:type="dxa"/>
            <w:vAlign w:val="bottom"/>
            <w:vMerge w:val="restart"/>
            <w:shd w:val="clear" w:color="auto" w:fill="284993"/>
          </w:tcPr>
          <w:p>
            <w:pPr>
              <w:jc w:val="center"/>
              <w:ind w:left="40"/>
              <w:spacing w:after="0"/>
              <w:rPr>
                <w:sz w:val="20"/>
                <w:szCs w:val="20"/>
                <w:color w:val="auto"/>
              </w:rPr>
            </w:pPr>
            <w:r>
              <w:rPr>
                <w:rFonts w:ascii="Arial" w:cs="Arial" w:eastAsia="Arial" w:hAnsi="Arial"/>
                <w:sz w:val="12"/>
                <w:szCs w:val="12"/>
                <w:b w:val="1"/>
                <w:bCs w:val="1"/>
                <w:color w:val="FFFFFF"/>
                <w:w w:val="99"/>
              </w:rPr>
              <w:t>Number of</w:t>
            </w:r>
          </w:p>
        </w:tc>
        <w:tc>
          <w:tcPr>
            <w:tcW w:w="720" w:type="dxa"/>
            <w:vAlign w:val="bottom"/>
            <w:shd w:val="clear" w:color="auto" w:fill="284993"/>
          </w:tcPr>
          <w:p>
            <w:pPr>
              <w:spacing w:after="0"/>
              <w:rPr>
                <w:sz w:val="11"/>
                <w:szCs w:val="11"/>
                <w:color w:val="auto"/>
              </w:rPr>
            </w:pPr>
          </w:p>
        </w:tc>
        <w:tc>
          <w:tcPr>
            <w:tcW w:w="760" w:type="dxa"/>
            <w:vAlign w:val="bottom"/>
            <w:shd w:val="clear" w:color="auto" w:fill="284993"/>
          </w:tcPr>
          <w:p>
            <w:pPr>
              <w:spacing w:after="0"/>
              <w:rPr>
                <w:sz w:val="11"/>
                <w:szCs w:val="11"/>
                <w:color w:val="auto"/>
              </w:rPr>
            </w:pPr>
          </w:p>
        </w:tc>
        <w:tc>
          <w:tcPr>
            <w:tcW w:w="800" w:type="dxa"/>
            <w:vAlign w:val="bottom"/>
            <w:vMerge w:val="continue"/>
            <w:shd w:val="clear" w:color="auto" w:fill="284993"/>
          </w:tcPr>
          <w:p>
            <w:pPr>
              <w:spacing w:after="0"/>
              <w:rPr>
                <w:sz w:val="11"/>
                <w:szCs w:val="11"/>
                <w:color w:val="auto"/>
              </w:rPr>
            </w:pPr>
          </w:p>
        </w:tc>
        <w:tc>
          <w:tcPr>
            <w:tcW w:w="720" w:type="dxa"/>
            <w:vAlign w:val="bottom"/>
            <w:vMerge w:val="continue"/>
            <w:shd w:val="clear" w:color="auto" w:fill="284993"/>
          </w:tcPr>
          <w:p>
            <w:pPr>
              <w:spacing w:after="0"/>
              <w:rPr>
                <w:sz w:val="11"/>
                <w:szCs w:val="11"/>
                <w:color w:val="auto"/>
              </w:rPr>
            </w:pPr>
          </w:p>
        </w:tc>
        <w:tc>
          <w:tcPr>
            <w:tcW w:w="1160" w:type="dxa"/>
            <w:vAlign w:val="bottom"/>
            <w:shd w:val="clear" w:color="auto" w:fill="284993"/>
          </w:tcPr>
          <w:p>
            <w:pPr>
              <w:jc w:val="center"/>
              <w:ind w:right="3"/>
              <w:spacing w:after="0" w:line="130" w:lineRule="exact"/>
              <w:rPr>
                <w:sz w:val="20"/>
                <w:szCs w:val="20"/>
                <w:color w:val="auto"/>
              </w:rPr>
            </w:pPr>
            <w:r>
              <w:rPr>
                <w:rFonts w:ascii="Arial" w:cs="Arial" w:eastAsia="Arial" w:hAnsi="Arial"/>
                <w:sz w:val="12"/>
                <w:szCs w:val="12"/>
                <w:b w:val="1"/>
                <w:bCs w:val="1"/>
                <w:color w:val="FFFFFF"/>
                <w:w w:val="97"/>
              </w:rPr>
              <w:t>Awards:</w:t>
            </w:r>
          </w:p>
        </w:tc>
        <w:tc>
          <w:tcPr>
            <w:tcW w:w="11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7"/>
              </w:rPr>
              <w:t>Plan Awards:</w:t>
            </w:r>
          </w:p>
        </w:tc>
        <w:tc>
          <w:tcPr>
            <w:tcW w:w="0" w:type="dxa"/>
            <w:vAlign w:val="bottom"/>
          </w:tcPr>
          <w:p>
            <w:pPr>
              <w:spacing w:after="0"/>
              <w:rPr>
                <w:sz w:val="1"/>
                <w:szCs w:val="1"/>
                <w:color w:val="auto"/>
              </w:rPr>
            </w:pPr>
          </w:p>
        </w:tc>
      </w:tr>
      <w:tr>
        <w:trPr>
          <w:trHeight w:val="130"/>
        </w:trPr>
        <w:tc>
          <w:tcPr>
            <w:tcW w:w="1560" w:type="dxa"/>
            <w:vAlign w:val="bottom"/>
            <w:shd w:val="clear" w:color="auto" w:fill="284993"/>
          </w:tcPr>
          <w:p>
            <w:pPr>
              <w:spacing w:after="0"/>
              <w:rPr>
                <w:sz w:val="11"/>
                <w:szCs w:val="11"/>
                <w:color w:val="auto"/>
              </w:rPr>
            </w:pPr>
          </w:p>
        </w:tc>
        <w:tc>
          <w:tcPr>
            <w:tcW w:w="60" w:type="dxa"/>
            <w:vAlign w:val="bottom"/>
            <w:shd w:val="clear" w:color="auto" w:fill="284993"/>
          </w:tcPr>
          <w:p>
            <w:pPr>
              <w:spacing w:after="0"/>
              <w:rPr>
                <w:sz w:val="11"/>
                <w:szCs w:val="11"/>
                <w:color w:val="auto"/>
              </w:rPr>
            </w:pPr>
          </w:p>
        </w:tc>
        <w:tc>
          <w:tcPr>
            <w:tcW w:w="600" w:type="dxa"/>
            <w:vAlign w:val="bottom"/>
            <w:shd w:val="clear" w:color="auto" w:fill="284993"/>
          </w:tcPr>
          <w:p>
            <w:pPr>
              <w:spacing w:after="0"/>
              <w:rPr>
                <w:sz w:val="11"/>
                <w:szCs w:val="11"/>
                <w:color w:val="auto"/>
              </w:rPr>
            </w:pPr>
          </w:p>
        </w:tc>
        <w:tc>
          <w:tcPr>
            <w:tcW w:w="820" w:type="dxa"/>
            <w:vAlign w:val="bottom"/>
            <w:vMerge w:val="continue"/>
            <w:shd w:val="clear" w:color="auto" w:fill="284993"/>
          </w:tcPr>
          <w:p>
            <w:pPr>
              <w:spacing w:after="0"/>
              <w:rPr>
                <w:sz w:val="11"/>
                <w:szCs w:val="11"/>
                <w:color w:val="auto"/>
              </w:rPr>
            </w:pPr>
          </w:p>
        </w:tc>
        <w:tc>
          <w:tcPr>
            <w:tcW w:w="940" w:type="dxa"/>
            <w:vAlign w:val="bottom"/>
            <w:vMerge w:val="continue"/>
            <w:shd w:val="clear" w:color="auto" w:fill="284993"/>
          </w:tcPr>
          <w:p>
            <w:pPr>
              <w:spacing w:after="0"/>
              <w:rPr>
                <w:sz w:val="11"/>
                <w:szCs w:val="11"/>
                <w:color w:val="auto"/>
              </w:rPr>
            </w:pPr>
          </w:p>
        </w:tc>
        <w:tc>
          <w:tcPr>
            <w:tcW w:w="720" w:type="dxa"/>
            <w:vAlign w:val="bottom"/>
            <w:shd w:val="clear" w:color="auto" w:fill="284993"/>
          </w:tcPr>
          <w:p>
            <w:pPr>
              <w:spacing w:after="0"/>
              <w:rPr>
                <w:sz w:val="11"/>
                <w:szCs w:val="11"/>
                <w:color w:val="auto"/>
              </w:rPr>
            </w:pPr>
          </w:p>
        </w:tc>
        <w:tc>
          <w:tcPr>
            <w:tcW w:w="760" w:type="dxa"/>
            <w:vAlign w:val="bottom"/>
            <w:shd w:val="clear" w:color="auto" w:fill="284993"/>
          </w:tcPr>
          <w:p>
            <w:pPr>
              <w:spacing w:after="0"/>
              <w:rPr>
                <w:sz w:val="11"/>
                <w:szCs w:val="11"/>
                <w:color w:val="auto"/>
              </w:rPr>
            </w:pPr>
          </w:p>
        </w:tc>
        <w:tc>
          <w:tcPr>
            <w:tcW w:w="800" w:type="dxa"/>
            <w:vAlign w:val="bottom"/>
            <w:shd w:val="clear" w:color="auto" w:fill="284993"/>
          </w:tcPr>
          <w:p>
            <w:pPr>
              <w:jc w:val="center"/>
              <w:ind w:right="40"/>
              <w:spacing w:after="0" w:line="130" w:lineRule="exact"/>
              <w:rPr>
                <w:sz w:val="20"/>
                <w:szCs w:val="20"/>
                <w:color w:val="auto"/>
              </w:rPr>
            </w:pPr>
            <w:r>
              <w:rPr>
                <w:rFonts w:ascii="Arial" w:cs="Arial" w:eastAsia="Arial" w:hAnsi="Arial"/>
                <w:sz w:val="12"/>
                <w:szCs w:val="12"/>
                <w:b w:val="1"/>
                <w:bCs w:val="1"/>
                <w:color w:val="FFFFFF"/>
                <w:w w:val="98"/>
              </w:rPr>
              <w:t>of Shares</w:t>
            </w: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Value of</w:t>
            </w:r>
          </w:p>
        </w:tc>
        <w:tc>
          <w:tcPr>
            <w:tcW w:w="116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Number of</w:t>
            </w:r>
          </w:p>
        </w:tc>
        <w:tc>
          <w:tcPr>
            <w:tcW w:w="11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Market or Payout</w:t>
            </w:r>
          </w:p>
        </w:tc>
        <w:tc>
          <w:tcPr>
            <w:tcW w:w="0" w:type="dxa"/>
            <w:vAlign w:val="bottom"/>
          </w:tcPr>
          <w:p>
            <w:pPr>
              <w:spacing w:after="0"/>
              <w:rPr>
                <w:sz w:val="1"/>
                <w:szCs w:val="1"/>
                <w:color w:val="auto"/>
              </w:rPr>
            </w:pPr>
          </w:p>
        </w:tc>
      </w:tr>
      <w:tr>
        <w:trPr>
          <w:trHeight w:val="130"/>
        </w:trPr>
        <w:tc>
          <w:tcPr>
            <w:tcW w:w="1560" w:type="dxa"/>
            <w:vAlign w:val="bottom"/>
            <w:shd w:val="clear" w:color="auto" w:fill="284993"/>
          </w:tcPr>
          <w:p>
            <w:pPr>
              <w:spacing w:after="0"/>
              <w:rPr>
                <w:sz w:val="11"/>
                <w:szCs w:val="11"/>
                <w:color w:val="auto"/>
              </w:rPr>
            </w:pPr>
          </w:p>
        </w:tc>
        <w:tc>
          <w:tcPr>
            <w:tcW w:w="60" w:type="dxa"/>
            <w:vAlign w:val="bottom"/>
            <w:shd w:val="clear" w:color="auto" w:fill="284993"/>
          </w:tcPr>
          <w:p>
            <w:pPr>
              <w:spacing w:after="0"/>
              <w:rPr>
                <w:sz w:val="11"/>
                <w:szCs w:val="11"/>
                <w:color w:val="auto"/>
              </w:rPr>
            </w:pPr>
          </w:p>
        </w:tc>
        <w:tc>
          <w:tcPr>
            <w:tcW w:w="600" w:type="dxa"/>
            <w:vAlign w:val="bottom"/>
            <w:shd w:val="clear" w:color="auto" w:fill="284993"/>
          </w:tcPr>
          <w:p>
            <w:pPr>
              <w:spacing w:after="0"/>
              <w:rPr>
                <w:sz w:val="11"/>
                <w:szCs w:val="11"/>
                <w:color w:val="auto"/>
              </w:rPr>
            </w:pPr>
          </w:p>
        </w:tc>
        <w:tc>
          <w:tcPr>
            <w:tcW w:w="8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Securities</w:t>
            </w:r>
          </w:p>
        </w:tc>
        <w:tc>
          <w:tcPr>
            <w:tcW w:w="940" w:type="dxa"/>
            <w:vAlign w:val="bottom"/>
            <w:shd w:val="clear" w:color="auto" w:fill="284993"/>
          </w:tcPr>
          <w:p>
            <w:pPr>
              <w:jc w:val="center"/>
              <w:ind w:left="60"/>
              <w:spacing w:after="0" w:line="130" w:lineRule="exact"/>
              <w:rPr>
                <w:sz w:val="20"/>
                <w:szCs w:val="20"/>
                <w:color w:val="auto"/>
              </w:rPr>
            </w:pPr>
            <w:r>
              <w:rPr>
                <w:rFonts w:ascii="Arial" w:cs="Arial" w:eastAsia="Arial" w:hAnsi="Arial"/>
                <w:sz w:val="12"/>
                <w:szCs w:val="12"/>
                <w:b w:val="1"/>
                <w:bCs w:val="1"/>
                <w:color w:val="FFFFFF"/>
              </w:rPr>
              <w:t>Securities</w:t>
            </w:r>
          </w:p>
        </w:tc>
        <w:tc>
          <w:tcPr>
            <w:tcW w:w="720" w:type="dxa"/>
            <w:vAlign w:val="bottom"/>
            <w:shd w:val="clear" w:color="auto" w:fill="284993"/>
          </w:tcPr>
          <w:p>
            <w:pPr>
              <w:spacing w:after="0"/>
              <w:rPr>
                <w:sz w:val="11"/>
                <w:szCs w:val="11"/>
                <w:color w:val="auto"/>
              </w:rPr>
            </w:pPr>
          </w:p>
        </w:tc>
        <w:tc>
          <w:tcPr>
            <w:tcW w:w="760" w:type="dxa"/>
            <w:vAlign w:val="bottom"/>
            <w:shd w:val="clear" w:color="auto" w:fill="284993"/>
          </w:tcPr>
          <w:p>
            <w:pPr>
              <w:spacing w:after="0"/>
              <w:rPr>
                <w:sz w:val="11"/>
                <w:szCs w:val="11"/>
                <w:color w:val="auto"/>
              </w:rPr>
            </w:pPr>
          </w:p>
        </w:tc>
        <w:tc>
          <w:tcPr>
            <w:tcW w:w="800" w:type="dxa"/>
            <w:vAlign w:val="bottom"/>
            <w:shd w:val="clear" w:color="auto" w:fill="284993"/>
          </w:tcPr>
          <w:p>
            <w:pPr>
              <w:jc w:val="center"/>
              <w:ind w:right="40"/>
              <w:spacing w:after="0" w:line="130" w:lineRule="exact"/>
              <w:rPr>
                <w:sz w:val="20"/>
                <w:szCs w:val="20"/>
                <w:color w:val="auto"/>
              </w:rPr>
            </w:pPr>
            <w:r>
              <w:rPr>
                <w:rFonts w:ascii="Arial" w:cs="Arial" w:eastAsia="Arial" w:hAnsi="Arial"/>
                <w:sz w:val="12"/>
                <w:szCs w:val="12"/>
                <w:b w:val="1"/>
                <w:bCs w:val="1"/>
                <w:color w:val="FFFFFF"/>
              </w:rPr>
              <w:t>or Units</w:t>
            </w: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Shares or</w:t>
            </w:r>
          </w:p>
        </w:tc>
        <w:tc>
          <w:tcPr>
            <w:tcW w:w="116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Unearned</w:t>
            </w:r>
          </w:p>
        </w:tc>
        <w:tc>
          <w:tcPr>
            <w:tcW w:w="11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Value of Unearned</w:t>
            </w:r>
          </w:p>
        </w:tc>
        <w:tc>
          <w:tcPr>
            <w:tcW w:w="0" w:type="dxa"/>
            <w:vAlign w:val="bottom"/>
          </w:tcPr>
          <w:p>
            <w:pPr>
              <w:spacing w:after="0"/>
              <w:rPr>
                <w:sz w:val="1"/>
                <w:szCs w:val="1"/>
                <w:color w:val="auto"/>
              </w:rPr>
            </w:pPr>
          </w:p>
        </w:tc>
      </w:tr>
      <w:tr>
        <w:trPr>
          <w:trHeight w:val="130"/>
        </w:trPr>
        <w:tc>
          <w:tcPr>
            <w:tcW w:w="1560" w:type="dxa"/>
            <w:vAlign w:val="bottom"/>
            <w:shd w:val="clear" w:color="auto" w:fill="284993"/>
          </w:tcPr>
          <w:p>
            <w:pPr>
              <w:spacing w:after="0"/>
              <w:rPr>
                <w:sz w:val="11"/>
                <w:szCs w:val="11"/>
                <w:color w:val="auto"/>
              </w:rPr>
            </w:pPr>
          </w:p>
        </w:tc>
        <w:tc>
          <w:tcPr>
            <w:tcW w:w="60" w:type="dxa"/>
            <w:vAlign w:val="bottom"/>
            <w:shd w:val="clear" w:color="auto" w:fill="284993"/>
          </w:tcPr>
          <w:p>
            <w:pPr>
              <w:spacing w:after="0"/>
              <w:rPr>
                <w:sz w:val="11"/>
                <w:szCs w:val="11"/>
                <w:color w:val="auto"/>
              </w:rPr>
            </w:pPr>
          </w:p>
        </w:tc>
        <w:tc>
          <w:tcPr>
            <w:tcW w:w="600" w:type="dxa"/>
            <w:vAlign w:val="bottom"/>
            <w:shd w:val="clear" w:color="auto" w:fill="284993"/>
          </w:tcPr>
          <w:p>
            <w:pPr>
              <w:spacing w:after="0"/>
              <w:rPr>
                <w:sz w:val="11"/>
                <w:szCs w:val="11"/>
                <w:color w:val="auto"/>
              </w:rPr>
            </w:pPr>
          </w:p>
        </w:tc>
        <w:tc>
          <w:tcPr>
            <w:tcW w:w="8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Underlying</w:t>
            </w:r>
          </w:p>
        </w:tc>
        <w:tc>
          <w:tcPr>
            <w:tcW w:w="940" w:type="dxa"/>
            <w:vAlign w:val="bottom"/>
            <w:shd w:val="clear" w:color="auto" w:fill="284993"/>
          </w:tcPr>
          <w:p>
            <w:pPr>
              <w:jc w:val="center"/>
              <w:ind w:left="40"/>
              <w:spacing w:after="0" w:line="130" w:lineRule="exact"/>
              <w:rPr>
                <w:sz w:val="20"/>
                <w:szCs w:val="20"/>
                <w:color w:val="auto"/>
              </w:rPr>
            </w:pPr>
            <w:r>
              <w:rPr>
                <w:rFonts w:ascii="Arial" w:cs="Arial" w:eastAsia="Arial" w:hAnsi="Arial"/>
                <w:sz w:val="12"/>
                <w:szCs w:val="12"/>
                <w:b w:val="1"/>
                <w:bCs w:val="1"/>
                <w:color w:val="FFFFFF"/>
              </w:rPr>
              <w:t>Underlying</w:t>
            </w:r>
          </w:p>
        </w:tc>
        <w:tc>
          <w:tcPr>
            <w:tcW w:w="72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Option</w:t>
            </w:r>
          </w:p>
        </w:tc>
        <w:tc>
          <w:tcPr>
            <w:tcW w:w="760" w:type="dxa"/>
            <w:vAlign w:val="bottom"/>
            <w:shd w:val="clear" w:color="auto" w:fill="284993"/>
          </w:tcPr>
          <w:p>
            <w:pPr>
              <w:spacing w:after="0"/>
              <w:rPr>
                <w:sz w:val="11"/>
                <w:szCs w:val="11"/>
                <w:color w:val="auto"/>
              </w:rPr>
            </w:pPr>
          </w:p>
        </w:tc>
        <w:tc>
          <w:tcPr>
            <w:tcW w:w="800" w:type="dxa"/>
            <w:vAlign w:val="bottom"/>
            <w:shd w:val="clear" w:color="auto" w:fill="284993"/>
          </w:tcPr>
          <w:p>
            <w:pPr>
              <w:jc w:val="center"/>
              <w:ind w:right="40"/>
              <w:spacing w:after="0" w:line="130" w:lineRule="exact"/>
              <w:rPr>
                <w:sz w:val="20"/>
                <w:szCs w:val="20"/>
                <w:color w:val="auto"/>
              </w:rPr>
            </w:pPr>
            <w:r>
              <w:rPr>
                <w:rFonts w:ascii="Arial" w:cs="Arial" w:eastAsia="Arial" w:hAnsi="Arial"/>
                <w:sz w:val="12"/>
                <w:szCs w:val="12"/>
                <w:b w:val="1"/>
                <w:bCs w:val="1"/>
                <w:color w:val="FFFFFF"/>
                <w:w w:val="97"/>
              </w:rPr>
              <w:t>of Stock</w:t>
            </w: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8"/>
              </w:rPr>
              <w:t>Units of</w:t>
            </w:r>
          </w:p>
        </w:tc>
        <w:tc>
          <w:tcPr>
            <w:tcW w:w="1160" w:type="dxa"/>
            <w:vAlign w:val="bottom"/>
            <w:shd w:val="clear" w:color="auto" w:fill="284993"/>
          </w:tcPr>
          <w:p>
            <w:pPr>
              <w:jc w:val="center"/>
              <w:ind w:right="3"/>
              <w:spacing w:after="0" w:line="130" w:lineRule="exact"/>
              <w:rPr>
                <w:sz w:val="20"/>
                <w:szCs w:val="20"/>
                <w:color w:val="auto"/>
              </w:rPr>
            </w:pPr>
            <w:r>
              <w:rPr>
                <w:rFonts w:ascii="Arial" w:cs="Arial" w:eastAsia="Arial" w:hAnsi="Arial"/>
                <w:sz w:val="12"/>
                <w:szCs w:val="12"/>
                <w:b w:val="1"/>
                <w:bCs w:val="1"/>
                <w:color w:val="FFFFFF"/>
              </w:rPr>
              <w:t>Shares, Units</w:t>
            </w:r>
          </w:p>
        </w:tc>
        <w:tc>
          <w:tcPr>
            <w:tcW w:w="11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Shares, Units or</w:t>
            </w:r>
          </w:p>
        </w:tc>
        <w:tc>
          <w:tcPr>
            <w:tcW w:w="0" w:type="dxa"/>
            <w:vAlign w:val="bottom"/>
          </w:tcPr>
          <w:p>
            <w:pPr>
              <w:spacing w:after="0"/>
              <w:rPr>
                <w:sz w:val="1"/>
                <w:szCs w:val="1"/>
                <w:color w:val="auto"/>
              </w:rPr>
            </w:pPr>
          </w:p>
        </w:tc>
      </w:tr>
      <w:tr>
        <w:trPr>
          <w:trHeight w:val="130"/>
        </w:trPr>
        <w:tc>
          <w:tcPr>
            <w:tcW w:w="1560" w:type="dxa"/>
            <w:vAlign w:val="bottom"/>
            <w:shd w:val="clear" w:color="auto" w:fill="284993"/>
          </w:tcPr>
          <w:p>
            <w:pPr>
              <w:spacing w:after="0"/>
              <w:rPr>
                <w:sz w:val="11"/>
                <w:szCs w:val="11"/>
                <w:color w:val="auto"/>
              </w:rPr>
            </w:pPr>
          </w:p>
        </w:tc>
        <w:tc>
          <w:tcPr>
            <w:tcW w:w="60" w:type="dxa"/>
            <w:vAlign w:val="bottom"/>
            <w:shd w:val="clear" w:color="auto" w:fill="284993"/>
          </w:tcPr>
          <w:p>
            <w:pPr>
              <w:spacing w:after="0"/>
              <w:rPr>
                <w:sz w:val="11"/>
                <w:szCs w:val="11"/>
                <w:color w:val="auto"/>
              </w:rPr>
            </w:pPr>
          </w:p>
        </w:tc>
        <w:tc>
          <w:tcPr>
            <w:tcW w:w="600" w:type="dxa"/>
            <w:vAlign w:val="bottom"/>
            <w:shd w:val="clear" w:color="auto" w:fill="284993"/>
          </w:tcPr>
          <w:p>
            <w:pPr>
              <w:spacing w:after="0"/>
              <w:rPr>
                <w:sz w:val="11"/>
                <w:szCs w:val="11"/>
                <w:color w:val="auto"/>
              </w:rPr>
            </w:pPr>
          </w:p>
        </w:tc>
        <w:tc>
          <w:tcPr>
            <w:tcW w:w="8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Unexercised</w:t>
            </w:r>
          </w:p>
        </w:tc>
        <w:tc>
          <w:tcPr>
            <w:tcW w:w="940" w:type="dxa"/>
            <w:vAlign w:val="bottom"/>
            <w:shd w:val="clear" w:color="auto" w:fill="284993"/>
          </w:tcPr>
          <w:p>
            <w:pPr>
              <w:jc w:val="center"/>
              <w:ind w:left="40"/>
              <w:spacing w:after="0" w:line="130" w:lineRule="exact"/>
              <w:rPr>
                <w:sz w:val="20"/>
                <w:szCs w:val="20"/>
                <w:color w:val="auto"/>
              </w:rPr>
            </w:pPr>
            <w:r>
              <w:rPr>
                <w:rFonts w:ascii="Arial" w:cs="Arial" w:eastAsia="Arial" w:hAnsi="Arial"/>
                <w:sz w:val="12"/>
                <w:szCs w:val="12"/>
                <w:b w:val="1"/>
                <w:bCs w:val="1"/>
                <w:color w:val="FFFFFF"/>
              </w:rPr>
              <w:t>Unexercised</w:t>
            </w:r>
          </w:p>
        </w:tc>
        <w:tc>
          <w:tcPr>
            <w:tcW w:w="720" w:type="dxa"/>
            <w:vAlign w:val="bottom"/>
            <w:vMerge w:val="continue"/>
            <w:shd w:val="clear" w:color="auto" w:fill="284993"/>
          </w:tcPr>
          <w:p>
            <w:pPr>
              <w:spacing w:after="0"/>
              <w:rPr>
                <w:sz w:val="11"/>
                <w:szCs w:val="11"/>
                <w:color w:val="auto"/>
              </w:rPr>
            </w:pPr>
          </w:p>
        </w:tc>
        <w:tc>
          <w:tcPr>
            <w:tcW w:w="760" w:type="dxa"/>
            <w:vAlign w:val="bottom"/>
            <w:shd w:val="clear" w:color="auto" w:fill="284993"/>
          </w:tcPr>
          <w:p>
            <w:pPr>
              <w:spacing w:after="0"/>
              <w:rPr>
                <w:sz w:val="11"/>
                <w:szCs w:val="11"/>
                <w:color w:val="auto"/>
              </w:rPr>
            </w:pPr>
          </w:p>
        </w:tc>
        <w:tc>
          <w:tcPr>
            <w:tcW w:w="800" w:type="dxa"/>
            <w:vAlign w:val="bottom"/>
            <w:shd w:val="clear" w:color="auto" w:fill="284993"/>
          </w:tcPr>
          <w:p>
            <w:pPr>
              <w:jc w:val="center"/>
              <w:ind w:right="40"/>
              <w:spacing w:after="0" w:line="130" w:lineRule="exact"/>
              <w:rPr>
                <w:sz w:val="20"/>
                <w:szCs w:val="20"/>
                <w:color w:val="auto"/>
              </w:rPr>
            </w:pPr>
            <w:r>
              <w:rPr>
                <w:rFonts w:ascii="Arial" w:cs="Arial" w:eastAsia="Arial" w:hAnsi="Arial"/>
                <w:sz w:val="12"/>
                <w:szCs w:val="12"/>
                <w:b w:val="1"/>
                <w:bCs w:val="1"/>
                <w:color w:val="FFFFFF"/>
              </w:rPr>
              <w:t>That Have</w:t>
            </w: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Stock that</w:t>
            </w:r>
          </w:p>
        </w:tc>
        <w:tc>
          <w:tcPr>
            <w:tcW w:w="1160" w:type="dxa"/>
            <w:vAlign w:val="bottom"/>
            <w:shd w:val="clear" w:color="auto" w:fill="284993"/>
          </w:tcPr>
          <w:p>
            <w:pPr>
              <w:jc w:val="center"/>
              <w:ind w:right="3"/>
              <w:spacing w:after="0" w:line="130" w:lineRule="exact"/>
              <w:rPr>
                <w:sz w:val="20"/>
                <w:szCs w:val="20"/>
                <w:color w:val="auto"/>
              </w:rPr>
            </w:pPr>
            <w:r>
              <w:rPr>
                <w:rFonts w:ascii="Arial" w:cs="Arial" w:eastAsia="Arial" w:hAnsi="Arial"/>
                <w:sz w:val="12"/>
                <w:szCs w:val="12"/>
                <w:b w:val="1"/>
                <w:bCs w:val="1"/>
                <w:color w:val="FFFFFF"/>
              </w:rPr>
              <w:t>or Other Rights</w:t>
            </w:r>
          </w:p>
        </w:tc>
        <w:tc>
          <w:tcPr>
            <w:tcW w:w="11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Other Rights</w:t>
            </w:r>
          </w:p>
        </w:tc>
        <w:tc>
          <w:tcPr>
            <w:tcW w:w="0" w:type="dxa"/>
            <w:vAlign w:val="bottom"/>
          </w:tcPr>
          <w:p>
            <w:pPr>
              <w:spacing w:after="0"/>
              <w:rPr>
                <w:sz w:val="1"/>
                <w:szCs w:val="1"/>
                <w:color w:val="auto"/>
              </w:rPr>
            </w:pPr>
          </w:p>
        </w:tc>
      </w:tr>
      <w:tr>
        <w:trPr>
          <w:trHeight w:val="134"/>
        </w:trPr>
        <w:tc>
          <w:tcPr>
            <w:tcW w:w="1560" w:type="dxa"/>
            <w:vAlign w:val="bottom"/>
            <w:shd w:val="clear" w:color="auto" w:fill="284993"/>
          </w:tcPr>
          <w:p>
            <w:pPr>
              <w:spacing w:after="0"/>
              <w:rPr>
                <w:sz w:val="11"/>
                <w:szCs w:val="11"/>
                <w:color w:val="auto"/>
              </w:rPr>
            </w:pPr>
          </w:p>
        </w:tc>
        <w:tc>
          <w:tcPr>
            <w:tcW w:w="60" w:type="dxa"/>
            <w:vAlign w:val="bottom"/>
            <w:shd w:val="clear" w:color="auto" w:fill="284993"/>
          </w:tcPr>
          <w:p>
            <w:pPr>
              <w:spacing w:after="0"/>
              <w:rPr>
                <w:sz w:val="11"/>
                <w:szCs w:val="11"/>
                <w:color w:val="auto"/>
              </w:rPr>
            </w:pPr>
          </w:p>
        </w:tc>
        <w:tc>
          <w:tcPr>
            <w:tcW w:w="60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Grant</w:t>
            </w:r>
          </w:p>
        </w:tc>
        <w:tc>
          <w:tcPr>
            <w:tcW w:w="82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rPr>
              <w:t>Options</w:t>
            </w:r>
          </w:p>
        </w:tc>
        <w:tc>
          <w:tcPr>
            <w:tcW w:w="940" w:type="dxa"/>
            <w:vAlign w:val="bottom"/>
            <w:shd w:val="clear" w:color="auto" w:fill="284993"/>
          </w:tcPr>
          <w:p>
            <w:pPr>
              <w:jc w:val="center"/>
              <w:ind w:left="60"/>
              <w:spacing w:after="0" w:line="134" w:lineRule="exact"/>
              <w:rPr>
                <w:sz w:val="20"/>
                <w:szCs w:val="20"/>
                <w:color w:val="auto"/>
              </w:rPr>
            </w:pPr>
            <w:r>
              <w:rPr>
                <w:rFonts w:ascii="Arial" w:cs="Arial" w:eastAsia="Arial" w:hAnsi="Arial"/>
                <w:sz w:val="12"/>
                <w:szCs w:val="12"/>
                <w:b w:val="1"/>
                <w:bCs w:val="1"/>
                <w:color w:val="FFFFFF"/>
              </w:rPr>
              <w:t>Options</w:t>
            </w:r>
          </w:p>
        </w:tc>
        <w:tc>
          <w:tcPr>
            <w:tcW w:w="72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w w:val="97"/>
              </w:rPr>
              <w:t>Exercise</w:t>
            </w:r>
          </w:p>
        </w:tc>
        <w:tc>
          <w:tcPr>
            <w:tcW w:w="76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w w:val="98"/>
              </w:rPr>
              <w:t>Option</w:t>
            </w:r>
          </w:p>
        </w:tc>
        <w:tc>
          <w:tcPr>
            <w:tcW w:w="800" w:type="dxa"/>
            <w:vAlign w:val="bottom"/>
            <w:shd w:val="clear" w:color="auto" w:fill="284993"/>
          </w:tcPr>
          <w:p>
            <w:pPr>
              <w:jc w:val="center"/>
              <w:ind w:right="40"/>
              <w:spacing w:after="0" w:line="134" w:lineRule="exact"/>
              <w:rPr>
                <w:sz w:val="20"/>
                <w:szCs w:val="20"/>
                <w:color w:val="auto"/>
              </w:rPr>
            </w:pPr>
            <w:r>
              <w:rPr>
                <w:rFonts w:ascii="Arial" w:cs="Arial" w:eastAsia="Arial" w:hAnsi="Arial"/>
                <w:sz w:val="12"/>
                <w:szCs w:val="12"/>
                <w:b w:val="1"/>
                <w:bCs w:val="1"/>
                <w:color w:val="FFFFFF"/>
              </w:rPr>
              <w:t>Not</w:t>
            </w:r>
          </w:p>
        </w:tc>
        <w:tc>
          <w:tcPr>
            <w:tcW w:w="72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w w:val="97"/>
              </w:rPr>
              <w:t>Have</w:t>
            </w:r>
          </w:p>
        </w:tc>
        <w:tc>
          <w:tcPr>
            <w:tcW w:w="1160" w:type="dxa"/>
            <w:vAlign w:val="bottom"/>
            <w:shd w:val="clear" w:color="auto" w:fill="284993"/>
          </w:tcPr>
          <w:p>
            <w:pPr>
              <w:jc w:val="center"/>
              <w:ind w:right="3"/>
              <w:spacing w:after="0" w:line="134" w:lineRule="exact"/>
              <w:rPr>
                <w:sz w:val="20"/>
                <w:szCs w:val="20"/>
                <w:color w:val="auto"/>
              </w:rPr>
            </w:pPr>
            <w:r>
              <w:rPr>
                <w:rFonts w:ascii="Arial" w:cs="Arial" w:eastAsia="Arial" w:hAnsi="Arial"/>
                <w:sz w:val="12"/>
                <w:szCs w:val="12"/>
                <w:b w:val="1"/>
                <w:bCs w:val="1"/>
                <w:color w:val="FFFFFF"/>
              </w:rPr>
              <w:t>That Have</w:t>
            </w:r>
          </w:p>
        </w:tc>
        <w:tc>
          <w:tcPr>
            <w:tcW w:w="118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rPr>
              <w:t>That</w:t>
            </w:r>
          </w:p>
        </w:tc>
        <w:tc>
          <w:tcPr>
            <w:tcW w:w="0" w:type="dxa"/>
            <w:vAlign w:val="bottom"/>
          </w:tcPr>
          <w:p>
            <w:pPr>
              <w:spacing w:after="0"/>
              <w:rPr>
                <w:sz w:val="1"/>
                <w:szCs w:val="1"/>
                <w:color w:val="auto"/>
              </w:rPr>
            </w:pPr>
          </w:p>
        </w:tc>
      </w:tr>
      <w:tr>
        <w:trPr>
          <w:trHeight w:val="130"/>
        </w:trPr>
        <w:tc>
          <w:tcPr>
            <w:tcW w:w="1560" w:type="dxa"/>
            <w:vAlign w:val="bottom"/>
            <w:vMerge w:val="restart"/>
            <w:shd w:val="clear" w:color="auto" w:fill="284993"/>
          </w:tcPr>
          <w:p>
            <w:pPr>
              <w:ind w:left="60"/>
              <w:spacing w:after="0"/>
              <w:rPr>
                <w:sz w:val="20"/>
                <w:szCs w:val="20"/>
                <w:color w:val="auto"/>
              </w:rPr>
            </w:pPr>
            <w:r>
              <w:rPr>
                <w:rFonts w:ascii="Arial" w:cs="Arial" w:eastAsia="Arial" w:hAnsi="Arial"/>
                <w:sz w:val="12"/>
                <w:szCs w:val="12"/>
                <w:b w:val="1"/>
                <w:bCs w:val="1"/>
                <w:color w:val="FFFFFF"/>
              </w:rPr>
              <w:t>Name</w:t>
            </w:r>
          </w:p>
        </w:tc>
        <w:tc>
          <w:tcPr>
            <w:tcW w:w="60" w:type="dxa"/>
            <w:vAlign w:val="bottom"/>
            <w:shd w:val="clear" w:color="auto" w:fill="284993"/>
          </w:tcPr>
          <w:p>
            <w:pPr>
              <w:spacing w:after="0"/>
              <w:rPr>
                <w:sz w:val="11"/>
                <w:szCs w:val="11"/>
                <w:color w:val="auto"/>
              </w:rPr>
            </w:pPr>
          </w:p>
        </w:tc>
        <w:tc>
          <w:tcPr>
            <w:tcW w:w="600" w:type="dxa"/>
            <w:vAlign w:val="bottom"/>
            <w:vMerge w:val="continue"/>
            <w:shd w:val="clear" w:color="auto" w:fill="284993"/>
          </w:tcPr>
          <w:p>
            <w:pPr>
              <w:spacing w:after="0"/>
              <w:rPr>
                <w:sz w:val="11"/>
                <w:szCs w:val="11"/>
                <w:color w:val="auto"/>
              </w:rPr>
            </w:pPr>
          </w:p>
        </w:tc>
        <w:tc>
          <w:tcPr>
            <w:tcW w:w="8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w:t>
            </w:r>
          </w:p>
        </w:tc>
        <w:tc>
          <w:tcPr>
            <w:tcW w:w="940" w:type="dxa"/>
            <w:vAlign w:val="bottom"/>
            <w:shd w:val="clear" w:color="auto" w:fill="284993"/>
          </w:tcPr>
          <w:p>
            <w:pPr>
              <w:jc w:val="center"/>
              <w:ind w:left="40"/>
              <w:spacing w:after="0" w:line="130" w:lineRule="exact"/>
              <w:rPr>
                <w:sz w:val="20"/>
                <w:szCs w:val="20"/>
                <w:color w:val="auto"/>
              </w:rPr>
            </w:pPr>
            <w:r>
              <w:rPr>
                <w:rFonts w:ascii="Arial" w:cs="Arial" w:eastAsia="Arial" w:hAnsi="Arial"/>
                <w:sz w:val="12"/>
                <w:szCs w:val="12"/>
                <w:b w:val="1"/>
                <w:bCs w:val="1"/>
                <w:color w:val="FFFFFF"/>
              </w:rPr>
              <w:t>(#)</w:t>
            </w: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5"/>
              </w:rPr>
              <w:t>Price</w:t>
            </w:r>
          </w:p>
        </w:tc>
        <w:tc>
          <w:tcPr>
            <w:tcW w:w="76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8"/>
              </w:rPr>
              <w:t>Expiration</w:t>
            </w:r>
          </w:p>
        </w:tc>
        <w:tc>
          <w:tcPr>
            <w:tcW w:w="800" w:type="dxa"/>
            <w:vAlign w:val="bottom"/>
            <w:shd w:val="clear" w:color="auto" w:fill="284993"/>
          </w:tcPr>
          <w:p>
            <w:pPr>
              <w:jc w:val="center"/>
              <w:ind w:right="40"/>
              <w:spacing w:after="0" w:line="130" w:lineRule="exact"/>
              <w:rPr>
                <w:sz w:val="20"/>
                <w:szCs w:val="20"/>
                <w:color w:val="auto"/>
              </w:rPr>
            </w:pPr>
            <w:r>
              <w:rPr>
                <w:rFonts w:ascii="Arial" w:cs="Arial" w:eastAsia="Arial" w:hAnsi="Arial"/>
                <w:sz w:val="12"/>
                <w:szCs w:val="12"/>
                <w:b w:val="1"/>
                <w:bCs w:val="1"/>
                <w:color w:val="FFFFFF"/>
                <w:w w:val="96"/>
              </w:rPr>
              <w:t>Vested</w:t>
            </w:r>
          </w:p>
        </w:tc>
        <w:tc>
          <w:tcPr>
            <w:tcW w:w="7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Not Vested</w:t>
            </w:r>
          </w:p>
        </w:tc>
        <w:tc>
          <w:tcPr>
            <w:tcW w:w="1160" w:type="dxa"/>
            <w:vAlign w:val="bottom"/>
            <w:shd w:val="clear" w:color="auto" w:fill="284993"/>
          </w:tcPr>
          <w:p>
            <w:pPr>
              <w:jc w:val="center"/>
              <w:ind w:right="3"/>
              <w:spacing w:after="0" w:line="130" w:lineRule="exact"/>
              <w:rPr>
                <w:sz w:val="20"/>
                <w:szCs w:val="20"/>
                <w:color w:val="auto"/>
              </w:rPr>
            </w:pPr>
            <w:r>
              <w:rPr>
                <w:rFonts w:ascii="Arial" w:cs="Arial" w:eastAsia="Arial" w:hAnsi="Arial"/>
                <w:sz w:val="12"/>
                <w:szCs w:val="12"/>
                <w:b w:val="1"/>
                <w:bCs w:val="1"/>
                <w:color w:val="FFFFFF"/>
                <w:w w:val="98"/>
              </w:rPr>
              <w:t>Not Vested</w:t>
            </w:r>
          </w:p>
        </w:tc>
        <w:tc>
          <w:tcPr>
            <w:tcW w:w="11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Have Not Vested</w:t>
            </w:r>
          </w:p>
        </w:tc>
        <w:tc>
          <w:tcPr>
            <w:tcW w:w="0" w:type="dxa"/>
            <w:vAlign w:val="bottom"/>
          </w:tcPr>
          <w:p>
            <w:pPr>
              <w:spacing w:after="0"/>
              <w:rPr>
                <w:sz w:val="1"/>
                <w:szCs w:val="1"/>
                <w:color w:val="auto"/>
              </w:rPr>
            </w:pPr>
          </w:p>
        </w:tc>
      </w:tr>
      <w:tr>
        <w:trPr>
          <w:trHeight w:val="155"/>
        </w:trPr>
        <w:tc>
          <w:tcPr>
            <w:tcW w:w="1560" w:type="dxa"/>
            <w:vAlign w:val="bottom"/>
            <w:vMerge w:val="continue"/>
            <w:shd w:val="clear" w:color="auto" w:fill="284993"/>
          </w:tcPr>
          <w:p>
            <w:pPr>
              <w:spacing w:after="0"/>
              <w:rPr>
                <w:sz w:val="13"/>
                <w:szCs w:val="13"/>
                <w:color w:val="auto"/>
              </w:rPr>
            </w:pPr>
          </w:p>
        </w:tc>
        <w:tc>
          <w:tcPr>
            <w:tcW w:w="60" w:type="dxa"/>
            <w:vAlign w:val="bottom"/>
            <w:shd w:val="clear" w:color="auto" w:fill="284993"/>
          </w:tcPr>
          <w:p>
            <w:pPr>
              <w:spacing w:after="0"/>
              <w:rPr>
                <w:sz w:val="13"/>
                <w:szCs w:val="13"/>
                <w:color w:val="auto"/>
              </w:rPr>
            </w:pPr>
          </w:p>
        </w:tc>
        <w:tc>
          <w:tcPr>
            <w:tcW w:w="60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Date</w:t>
            </w:r>
          </w:p>
        </w:tc>
        <w:tc>
          <w:tcPr>
            <w:tcW w:w="8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Exercisable</w:t>
            </w:r>
          </w:p>
        </w:tc>
        <w:tc>
          <w:tcPr>
            <w:tcW w:w="940" w:type="dxa"/>
            <w:vAlign w:val="bottom"/>
            <w:shd w:val="clear" w:color="auto" w:fill="284993"/>
          </w:tcPr>
          <w:p>
            <w:pPr>
              <w:jc w:val="right"/>
              <w:spacing w:after="0"/>
              <w:rPr>
                <w:sz w:val="20"/>
                <w:szCs w:val="20"/>
                <w:color w:val="auto"/>
              </w:rPr>
            </w:pPr>
            <w:r>
              <w:rPr>
                <w:rFonts w:ascii="Arial" w:cs="Arial" w:eastAsia="Arial" w:hAnsi="Arial"/>
                <w:sz w:val="12"/>
                <w:szCs w:val="12"/>
                <w:b w:val="1"/>
                <w:bCs w:val="1"/>
                <w:color w:val="FFFFFF"/>
              </w:rPr>
              <w:t>Unexercisable</w:t>
            </w:r>
          </w:p>
        </w:tc>
        <w:tc>
          <w:tcPr>
            <w:tcW w:w="7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w:t>
            </w:r>
          </w:p>
        </w:tc>
        <w:tc>
          <w:tcPr>
            <w:tcW w:w="76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Date</w:t>
            </w:r>
          </w:p>
        </w:tc>
        <w:tc>
          <w:tcPr>
            <w:tcW w:w="800" w:type="dxa"/>
            <w:vAlign w:val="bottom"/>
            <w:shd w:val="clear" w:color="auto" w:fill="284993"/>
          </w:tcPr>
          <w:p>
            <w:pPr>
              <w:jc w:val="center"/>
              <w:ind w:right="40"/>
              <w:spacing w:after="0" w:line="156" w:lineRule="exact"/>
              <w:rPr>
                <w:sz w:val="20"/>
                <w:szCs w:val="20"/>
                <w:color w:val="auto"/>
              </w:rPr>
            </w:pPr>
            <w:r>
              <w:rPr>
                <w:rFonts w:ascii="Arial" w:cs="Arial" w:eastAsia="Arial" w:hAnsi="Arial"/>
                <w:sz w:val="12"/>
                <w:szCs w:val="12"/>
                <w:b w:val="1"/>
                <w:bCs w:val="1"/>
                <w:color w:val="FFFFFF"/>
                <w:w w:val="88"/>
              </w:rPr>
              <w:t>(#)</w:t>
            </w:r>
            <w:r>
              <w:rPr>
                <w:rFonts w:ascii="Arial" w:cs="Arial" w:eastAsia="Arial" w:hAnsi="Arial"/>
                <w:sz w:val="18"/>
                <w:szCs w:val="18"/>
                <w:b w:val="1"/>
                <w:bCs w:val="1"/>
                <w:color w:val="FFFFFF"/>
                <w:w w:val="88"/>
                <w:vertAlign w:val="superscript"/>
              </w:rPr>
              <w:t>(1)</w:t>
            </w:r>
          </w:p>
        </w:tc>
        <w:tc>
          <w:tcPr>
            <w:tcW w:w="720" w:type="dxa"/>
            <w:vAlign w:val="bottom"/>
            <w:shd w:val="clear" w:color="auto" w:fill="284993"/>
          </w:tcPr>
          <w:p>
            <w:pPr>
              <w:jc w:val="center"/>
              <w:spacing w:after="0" w:line="156" w:lineRule="exact"/>
              <w:rPr>
                <w:sz w:val="20"/>
                <w:szCs w:val="20"/>
                <w:color w:val="auto"/>
              </w:rPr>
            </w:pPr>
            <w:r>
              <w:rPr>
                <w:rFonts w:ascii="Arial" w:cs="Arial" w:eastAsia="Arial" w:hAnsi="Arial"/>
                <w:sz w:val="12"/>
                <w:szCs w:val="12"/>
                <w:b w:val="1"/>
                <w:bCs w:val="1"/>
                <w:color w:val="FFFFFF"/>
                <w:w w:val="88"/>
              </w:rPr>
              <w:t>($)</w:t>
            </w:r>
            <w:r>
              <w:rPr>
                <w:rFonts w:ascii="Arial" w:cs="Arial" w:eastAsia="Arial" w:hAnsi="Arial"/>
                <w:sz w:val="18"/>
                <w:szCs w:val="18"/>
                <w:b w:val="1"/>
                <w:bCs w:val="1"/>
                <w:color w:val="FFFFFF"/>
                <w:w w:val="88"/>
                <w:vertAlign w:val="superscript"/>
              </w:rPr>
              <w:t>(2)</w:t>
            </w:r>
          </w:p>
        </w:tc>
        <w:tc>
          <w:tcPr>
            <w:tcW w:w="1160" w:type="dxa"/>
            <w:vAlign w:val="bottom"/>
            <w:shd w:val="clear" w:color="auto" w:fill="284993"/>
          </w:tcPr>
          <w:p>
            <w:pPr>
              <w:jc w:val="center"/>
              <w:ind w:right="3"/>
              <w:spacing w:after="0"/>
              <w:rPr>
                <w:sz w:val="20"/>
                <w:szCs w:val="20"/>
                <w:color w:val="auto"/>
              </w:rPr>
            </w:pPr>
            <w:r>
              <w:rPr>
                <w:rFonts w:ascii="Arial" w:cs="Arial" w:eastAsia="Arial" w:hAnsi="Arial"/>
                <w:sz w:val="12"/>
                <w:szCs w:val="12"/>
                <w:b w:val="1"/>
                <w:bCs w:val="1"/>
                <w:color w:val="FFFFFF"/>
                <w:w w:val="95"/>
              </w:rPr>
              <w:t>(#)</w:t>
            </w:r>
          </w:p>
        </w:tc>
        <w:tc>
          <w:tcPr>
            <w:tcW w:w="1180" w:type="dxa"/>
            <w:vAlign w:val="bottom"/>
            <w:shd w:val="clear" w:color="auto" w:fill="284993"/>
          </w:tcPr>
          <w:p>
            <w:pPr>
              <w:jc w:val="center"/>
              <w:spacing w:after="0" w:line="156" w:lineRule="exact"/>
              <w:rPr>
                <w:sz w:val="20"/>
                <w:szCs w:val="20"/>
                <w:color w:val="auto"/>
              </w:rPr>
            </w:pPr>
            <w:r>
              <w:rPr>
                <w:rFonts w:ascii="Arial" w:cs="Arial" w:eastAsia="Arial" w:hAnsi="Arial"/>
                <w:sz w:val="12"/>
                <w:szCs w:val="12"/>
                <w:b w:val="1"/>
                <w:bCs w:val="1"/>
                <w:color w:val="FFFFFF"/>
                <w:w w:val="88"/>
              </w:rPr>
              <w:t>($)</w:t>
            </w:r>
            <w:r>
              <w:rPr>
                <w:rFonts w:ascii="Arial" w:cs="Arial" w:eastAsia="Arial" w:hAnsi="Arial"/>
                <w:sz w:val="18"/>
                <w:szCs w:val="18"/>
                <w:b w:val="1"/>
                <w:bCs w:val="1"/>
                <w:color w:val="FFFFFF"/>
                <w:w w:val="88"/>
                <w:vertAlign w:val="superscript"/>
              </w:rPr>
              <w:t>(2)</w:t>
            </w:r>
          </w:p>
        </w:tc>
        <w:tc>
          <w:tcPr>
            <w:tcW w:w="0" w:type="dxa"/>
            <w:vAlign w:val="bottom"/>
          </w:tcPr>
          <w:p>
            <w:pPr>
              <w:spacing w:after="0"/>
              <w:rPr>
                <w:sz w:val="1"/>
                <w:szCs w:val="1"/>
                <w:color w:val="auto"/>
              </w:rPr>
            </w:pPr>
          </w:p>
        </w:tc>
      </w:tr>
      <w:tr>
        <w:trPr>
          <w:trHeight w:val="142"/>
        </w:trPr>
        <w:tc>
          <w:tcPr>
            <w:tcW w:w="1560" w:type="dxa"/>
            <w:vAlign w:val="bottom"/>
            <w:shd w:val="clear" w:color="auto" w:fill="284993"/>
          </w:tcPr>
          <w:p>
            <w:pPr>
              <w:ind w:left="60"/>
              <w:spacing w:after="0"/>
              <w:rPr>
                <w:sz w:val="20"/>
                <w:szCs w:val="20"/>
                <w:color w:val="auto"/>
              </w:rPr>
            </w:pPr>
            <w:r>
              <w:rPr>
                <w:rFonts w:ascii="Arial" w:cs="Arial" w:eastAsia="Arial" w:hAnsi="Arial"/>
                <w:sz w:val="12"/>
                <w:szCs w:val="12"/>
                <w:b w:val="1"/>
                <w:bCs w:val="1"/>
                <w:color w:val="FFFFFF"/>
              </w:rPr>
              <w:t>(a)</w:t>
            </w:r>
          </w:p>
        </w:tc>
        <w:tc>
          <w:tcPr>
            <w:tcW w:w="60" w:type="dxa"/>
            <w:vAlign w:val="bottom"/>
            <w:shd w:val="clear" w:color="auto" w:fill="284993"/>
          </w:tcPr>
          <w:p>
            <w:pPr>
              <w:spacing w:after="0"/>
              <w:rPr>
                <w:sz w:val="12"/>
                <w:szCs w:val="12"/>
                <w:color w:val="auto"/>
              </w:rPr>
            </w:pPr>
          </w:p>
        </w:tc>
        <w:tc>
          <w:tcPr>
            <w:tcW w:w="600" w:type="dxa"/>
            <w:vAlign w:val="bottom"/>
            <w:shd w:val="clear" w:color="auto" w:fill="284993"/>
          </w:tcPr>
          <w:p>
            <w:pPr>
              <w:spacing w:after="0"/>
              <w:rPr>
                <w:sz w:val="12"/>
                <w:szCs w:val="12"/>
                <w:color w:val="auto"/>
              </w:rPr>
            </w:pPr>
          </w:p>
        </w:tc>
        <w:tc>
          <w:tcPr>
            <w:tcW w:w="8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(b)</w:t>
            </w:r>
          </w:p>
        </w:tc>
        <w:tc>
          <w:tcPr>
            <w:tcW w:w="940" w:type="dxa"/>
            <w:vAlign w:val="bottom"/>
            <w:shd w:val="clear" w:color="auto" w:fill="284993"/>
          </w:tcPr>
          <w:p>
            <w:pPr>
              <w:jc w:val="center"/>
              <w:ind w:left="40"/>
              <w:spacing w:after="0"/>
              <w:rPr>
                <w:sz w:val="20"/>
                <w:szCs w:val="20"/>
                <w:color w:val="auto"/>
              </w:rPr>
            </w:pPr>
            <w:r>
              <w:rPr>
                <w:rFonts w:ascii="Arial" w:cs="Arial" w:eastAsia="Arial" w:hAnsi="Arial"/>
                <w:sz w:val="12"/>
                <w:szCs w:val="12"/>
                <w:b w:val="1"/>
                <w:bCs w:val="1"/>
                <w:color w:val="FFFFFF"/>
              </w:rPr>
              <w:t>(c)</w:t>
            </w:r>
          </w:p>
        </w:tc>
        <w:tc>
          <w:tcPr>
            <w:tcW w:w="7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(e)</w:t>
            </w:r>
          </w:p>
        </w:tc>
        <w:tc>
          <w:tcPr>
            <w:tcW w:w="76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9"/>
              </w:rPr>
              <w:t>(f)</w:t>
            </w:r>
          </w:p>
        </w:tc>
        <w:tc>
          <w:tcPr>
            <w:tcW w:w="800" w:type="dxa"/>
            <w:vAlign w:val="bottom"/>
            <w:shd w:val="clear" w:color="auto" w:fill="284993"/>
          </w:tcPr>
          <w:p>
            <w:pPr>
              <w:jc w:val="center"/>
              <w:ind w:right="40"/>
              <w:spacing w:after="0"/>
              <w:rPr>
                <w:sz w:val="20"/>
                <w:szCs w:val="20"/>
                <w:color w:val="auto"/>
              </w:rPr>
            </w:pPr>
            <w:r>
              <w:rPr>
                <w:rFonts w:ascii="Arial" w:cs="Arial" w:eastAsia="Arial" w:hAnsi="Arial"/>
                <w:sz w:val="12"/>
                <w:szCs w:val="12"/>
                <w:b w:val="1"/>
                <w:bCs w:val="1"/>
                <w:color w:val="FFFFFF"/>
                <w:w w:val="91"/>
              </w:rPr>
              <w:t>(g)</w:t>
            </w:r>
          </w:p>
        </w:tc>
        <w:tc>
          <w:tcPr>
            <w:tcW w:w="7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(h)</w:t>
            </w:r>
          </w:p>
        </w:tc>
        <w:tc>
          <w:tcPr>
            <w:tcW w:w="1160" w:type="dxa"/>
            <w:vAlign w:val="bottom"/>
            <w:shd w:val="clear" w:color="auto" w:fill="284993"/>
          </w:tcPr>
          <w:p>
            <w:pPr>
              <w:jc w:val="center"/>
              <w:ind w:right="3"/>
              <w:spacing w:after="0"/>
              <w:rPr>
                <w:sz w:val="20"/>
                <w:szCs w:val="20"/>
                <w:color w:val="auto"/>
              </w:rPr>
            </w:pPr>
            <w:r>
              <w:rPr>
                <w:rFonts w:ascii="Arial" w:cs="Arial" w:eastAsia="Arial" w:hAnsi="Arial"/>
                <w:sz w:val="12"/>
                <w:szCs w:val="12"/>
                <w:b w:val="1"/>
                <w:bCs w:val="1"/>
                <w:color w:val="FFFFFF"/>
                <w:w w:val="87"/>
              </w:rPr>
              <w:t>(i)</w:t>
            </w:r>
          </w:p>
        </w:tc>
        <w:tc>
          <w:tcPr>
            <w:tcW w:w="118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87"/>
              </w:rPr>
              <w:t>(j)</w:t>
            </w:r>
          </w:p>
        </w:tc>
        <w:tc>
          <w:tcPr>
            <w:tcW w:w="0" w:type="dxa"/>
            <w:vAlign w:val="bottom"/>
          </w:tcPr>
          <w:p>
            <w:pPr>
              <w:spacing w:after="0"/>
              <w:rPr>
                <w:sz w:val="1"/>
                <w:szCs w:val="1"/>
                <w:color w:val="auto"/>
              </w:rPr>
            </w:pPr>
          </w:p>
        </w:tc>
      </w:tr>
      <w:tr>
        <w:trPr>
          <w:trHeight w:val="117"/>
        </w:trPr>
        <w:tc>
          <w:tcPr>
            <w:tcW w:w="1560" w:type="dxa"/>
            <w:vAlign w:val="bottom"/>
          </w:tcPr>
          <w:p>
            <w:pPr>
              <w:ind w:left="60"/>
              <w:spacing w:after="0" w:line="117" w:lineRule="exact"/>
              <w:rPr>
                <w:sz w:val="20"/>
                <w:szCs w:val="20"/>
                <w:color w:val="auto"/>
              </w:rPr>
            </w:pPr>
            <w:r>
              <w:rPr>
                <w:rFonts w:ascii="Arial" w:cs="Arial" w:eastAsia="Arial" w:hAnsi="Arial"/>
                <w:sz w:val="9"/>
                <w:szCs w:val="9"/>
                <w:color w:val="auto"/>
              </w:rPr>
              <w:t>Odilon Almeida</w:t>
            </w:r>
            <w:r>
              <w:rPr>
                <w:rFonts w:ascii="Arial" w:cs="Arial" w:eastAsia="Arial" w:hAnsi="Arial"/>
                <w:sz w:val="13"/>
                <w:szCs w:val="13"/>
                <w:color w:val="auto"/>
                <w:vertAlign w:val="superscript"/>
              </w:rPr>
              <w:t>(8)</w:t>
            </w:r>
          </w:p>
        </w:tc>
        <w:tc>
          <w:tcPr>
            <w:tcW w:w="6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2"/>
                <w:szCs w:val="12"/>
                <w:color w:val="auto"/>
                <w:w w:val="99"/>
              </w:rPr>
              <w:t>03/01/2022</w:t>
            </w:r>
          </w:p>
        </w:tc>
        <w:tc>
          <w:tcPr>
            <w:tcW w:w="820" w:type="dxa"/>
            <w:vAlign w:val="bottom"/>
          </w:tcPr>
          <w:p>
            <w:pPr>
              <w:jc w:val="right"/>
              <w:spacing w:after="0" w:line="117"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17"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17"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line="117"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00"/>
              <w:spacing w:after="0" w:line="117"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17"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17" w:lineRule="exact"/>
              <w:rPr>
                <w:sz w:val="20"/>
                <w:szCs w:val="20"/>
                <w:color w:val="auto"/>
              </w:rPr>
            </w:pPr>
            <w:r>
              <w:rPr>
                <w:rFonts w:ascii="Arial" w:cs="Arial" w:eastAsia="Arial" w:hAnsi="Arial"/>
                <w:sz w:val="9"/>
                <w:szCs w:val="9"/>
                <w:color w:val="auto"/>
              </w:rPr>
              <w:t>25,200</w:t>
            </w:r>
            <w:r>
              <w:rPr>
                <w:rFonts w:ascii="Arial" w:cs="Arial" w:eastAsia="Arial" w:hAnsi="Arial"/>
                <w:sz w:val="13"/>
                <w:szCs w:val="13"/>
                <w:color w:val="auto"/>
                <w:vertAlign w:val="superscript"/>
              </w:rPr>
              <w:t>(5)</w:t>
            </w:r>
          </w:p>
        </w:tc>
        <w:tc>
          <w:tcPr>
            <w:tcW w:w="1180" w:type="dxa"/>
            <w:vAlign w:val="bottom"/>
          </w:tcPr>
          <w:p>
            <w:pPr>
              <w:jc w:val="right"/>
              <w:spacing w:after="0" w:line="117" w:lineRule="exact"/>
              <w:rPr>
                <w:sz w:val="20"/>
                <w:szCs w:val="20"/>
                <w:color w:val="auto"/>
              </w:rPr>
            </w:pPr>
            <w:r>
              <w:rPr>
                <w:rFonts w:ascii="Arial" w:cs="Arial" w:eastAsia="Arial" w:hAnsi="Arial"/>
                <w:sz w:val="12"/>
                <w:szCs w:val="12"/>
                <w:color w:val="auto"/>
              </w:rPr>
              <w:t>579,600</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9"/>
              </w:rPr>
              <w:t>03/01/2021</w:t>
            </w:r>
          </w:p>
        </w:tc>
        <w:tc>
          <w:tcPr>
            <w:tcW w:w="8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30" w:lineRule="exact"/>
              <w:rPr>
                <w:sz w:val="20"/>
                <w:szCs w:val="20"/>
                <w:color w:val="auto"/>
              </w:rPr>
            </w:pPr>
            <w:r>
              <w:rPr>
                <w:rFonts w:ascii="Arial" w:cs="Arial" w:eastAsia="Arial" w:hAnsi="Arial"/>
                <w:sz w:val="10"/>
                <w:szCs w:val="10"/>
                <w:color w:val="auto"/>
              </w:rPr>
              <w:t>56,914</w:t>
            </w:r>
            <w:r>
              <w:rPr>
                <w:rFonts w:ascii="Arial" w:cs="Arial" w:eastAsia="Arial" w:hAnsi="Arial"/>
                <w:sz w:val="15"/>
                <w:szCs w:val="15"/>
                <w:color w:val="auto"/>
                <w:vertAlign w:val="superscript"/>
              </w:rPr>
              <w:t>(6)</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1,309,022</w:t>
            </w: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color w:val="auto"/>
                <w:w w:val="99"/>
              </w:rPr>
              <w:t>03/17/2020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56" w:lineRule="exact"/>
              <w:rPr>
                <w:sz w:val="20"/>
                <w:szCs w:val="20"/>
                <w:color w:val="auto"/>
              </w:rPr>
            </w:pPr>
            <w:r>
              <w:rPr>
                <w:rFonts w:ascii="Arial" w:cs="Arial" w:eastAsia="Arial" w:hAnsi="Arial"/>
                <w:sz w:val="12"/>
                <w:szCs w:val="12"/>
                <w:color w:val="auto"/>
              </w:rPr>
              <w:t>126,829</w:t>
            </w:r>
            <w:r>
              <w:rPr>
                <w:rFonts w:ascii="Arial" w:cs="Arial" w:eastAsia="Arial" w:hAnsi="Arial"/>
                <w:sz w:val="18"/>
                <w:szCs w:val="18"/>
                <w:color w:val="auto"/>
                <w:vertAlign w:val="superscript"/>
              </w:rPr>
              <w:t>(7)</w:t>
            </w:r>
          </w:p>
        </w:tc>
        <w:tc>
          <w:tcPr>
            <w:tcW w:w="1180" w:type="dxa"/>
            <w:vAlign w:val="bottom"/>
          </w:tcPr>
          <w:p>
            <w:pPr>
              <w:jc w:val="right"/>
              <w:spacing w:after="0"/>
              <w:rPr>
                <w:sz w:val="20"/>
                <w:szCs w:val="20"/>
                <w:color w:val="auto"/>
              </w:rPr>
            </w:pPr>
            <w:r>
              <w:rPr>
                <w:rFonts w:ascii="Arial" w:cs="Arial" w:eastAsia="Arial" w:hAnsi="Arial"/>
                <w:sz w:val="12"/>
                <w:szCs w:val="12"/>
                <w:color w:val="auto"/>
              </w:rPr>
              <w:t>2,917,067</w:t>
            </w:r>
          </w:p>
        </w:tc>
        <w:tc>
          <w:tcPr>
            <w:tcW w:w="0" w:type="dxa"/>
            <w:vAlign w:val="bottom"/>
          </w:tcPr>
          <w:p>
            <w:pPr>
              <w:spacing w:after="0"/>
              <w:rPr>
                <w:sz w:val="1"/>
                <w:szCs w:val="1"/>
                <w:color w:val="auto"/>
              </w:rPr>
            </w:pPr>
          </w:p>
        </w:tc>
      </w:tr>
      <w:tr>
        <w:trPr>
          <w:trHeight w:val="130"/>
        </w:trPr>
        <w:tc>
          <w:tcPr>
            <w:tcW w:w="1560" w:type="dxa"/>
            <w:vAlign w:val="bottom"/>
            <w:shd w:val="clear" w:color="auto" w:fill="9DBDE4"/>
          </w:tcPr>
          <w:p>
            <w:pPr>
              <w:ind w:left="60"/>
              <w:spacing w:after="0" w:line="130" w:lineRule="exact"/>
              <w:rPr>
                <w:sz w:val="20"/>
                <w:szCs w:val="20"/>
                <w:color w:val="auto"/>
              </w:rPr>
            </w:pPr>
            <w:r>
              <w:rPr>
                <w:rFonts w:ascii="Arial" w:cs="Arial" w:eastAsia="Arial" w:hAnsi="Arial"/>
                <w:sz w:val="10"/>
                <w:szCs w:val="10"/>
                <w:color w:val="auto"/>
              </w:rPr>
              <w:t>Thomas W. Warsop, III</w:t>
            </w:r>
            <w:r>
              <w:rPr>
                <w:rFonts w:ascii="Arial" w:cs="Arial" w:eastAsia="Arial" w:hAnsi="Arial"/>
                <w:sz w:val="15"/>
                <w:szCs w:val="15"/>
                <w:color w:val="auto"/>
                <w:vertAlign w:val="superscript"/>
              </w:rPr>
              <w:t>(9)</w:t>
            </w:r>
          </w:p>
        </w:tc>
        <w:tc>
          <w:tcPr>
            <w:tcW w:w="660" w:type="dxa"/>
            <w:vAlign w:val="bottom"/>
            <w:gridSpan w:val="2"/>
            <w:shd w:val="clear" w:color="auto" w:fill="9DBDE4"/>
          </w:tcPr>
          <w:p>
            <w:pPr>
              <w:jc w:val="center"/>
              <w:spacing w:after="0" w:line="130" w:lineRule="exact"/>
              <w:rPr>
                <w:sz w:val="20"/>
                <w:szCs w:val="20"/>
                <w:color w:val="auto"/>
              </w:rPr>
            </w:pPr>
            <w:r>
              <w:rPr>
                <w:rFonts w:ascii="Arial" w:cs="Arial" w:eastAsia="Arial" w:hAnsi="Arial"/>
                <w:sz w:val="12"/>
                <w:szCs w:val="12"/>
                <w:color w:val="auto"/>
                <w:w w:val="99"/>
              </w:rPr>
              <w:t>08/09/2022</w:t>
            </w:r>
          </w:p>
        </w:tc>
        <w:tc>
          <w:tcPr>
            <w:tcW w:w="82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shd w:val="clear" w:color="auto" w:fill="9DBDE4"/>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760" w:type="dxa"/>
            <w:vAlign w:val="bottom"/>
            <w:shd w:val="clear" w:color="auto" w:fill="9DBDE4"/>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800" w:type="dxa"/>
            <w:vAlign w:val="bottom"/>
            <w:shd w:val="clear" w:color="auto" w:fill="9DBDE4"/>
          </w:tcPr>
          <w:p>
            <w:pPr>
              <w:jc w:val="right"/>
              <w:ind w:right="100"/>
              <w:spacing w:after="0" w:line="130" w:lineRule="exact"/>
              <w:rPr>
                <w:sz w:val="20"/>
                <w:szCs w:val="20"/>
                <w:color w:val="auto"/>
              </w:rPr>
            </w:pPr>
            <w:r>
              <w:rPr>
                <w:rFonts w:ascii="Arial" w:cs="Arial" w:eastAsia="Arial" w:hAnsi="Arial"/>
                <w:sz w:val="12"/>
                <w:szCs w:val="12"/>
                <w:color w:val="auto"/>
              </w:rPr>
              <w:t>9,667</w:t>
            </w:r>
          </w:p>
        </w:tc>
        <w:tc>
          <w:tcPr>
            <w:tcW w:w="72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222,341</w:t>
            </w:r>
          </w:p>
        </w:tc>
        <w:tc>
          <w:tcPr>
            <w:tcW w:w="1160" w:type="dxa"/>
            <w:vAlign w:val="bottom"/>
            <w:shd w:val="clear" w:color="auto" w:fill="9DBDE4"/>
          </w:tcPr>
          <w:p>
            <w:pPr>
              <w:jc w:val="right"/>
              <w:ind w:right="103"/>
              <w:spacing w:after="0" w:line="130" w:lineRule="exact"/>
              <w:rPr>
                <w:sz w:val="20"/>
                <w:szCs w:val="20"/>
                <w:color w:val="auto"/>
              </w:rPr>
            </w:pPr>
            <w:r>
              <w:rPr>
                <w:rFonts w:ascii="Arial" w:cs="Arial" w:eastAsia="Arial" w:hAnsi="Arial"/>
                <w:sz w:val="12"/>
                <w:szCs w:val="12"/>
                <w:color w:val="auto"/>
              </w:rPr>
              <w:t>-</w:t>
            </w:r>
          </w:p>
        </w:tc>
        <w:tc>
          <w:tcPr>
            <w:tcW w:w="118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1560" w:type="dxa"/>
            <w:vAlign w:val="bottom"/>
          </w:tcPr>
          <w:p>
            <w:pPr>
              <w:ind w:left="60"/>
              <w:spacing w:after="0" w:line="112" w:lineRule="exact"/>
              <w:rPr>
                <w:sz w:val="20"/>
                <w:szCs w:val="20"/>
                <w:color w:val="auto"/>
              </w:rPr>
            </w:pPr>
            <w:r>
              <w:rPr>
                <w:rFonts w:ascii="Arial" w:cs="Arial" w:eastAsia="Arial" w:hAnsi="Arial"/>
                <w:sz w:val="12"/>
                <w:szCs w:val="12"/>
                <w:color w:val="auto"/>
              </w:rPr>
              <w:t>Scott W. Behrens</w:t>
            </w:r>
          </w:p>
        </w:tc>
        <w:tc>
          <w:tcPr>
            <w:tcW w:w="660" w:type="dxa"/>
            <w:vAlign w:val="bottom"/>
            <w:gridSpan w:val="2"/>
          </w:tcPr>
          <w:p>
            <w:pPr>
              <w:jc w:val="center"/>
              <w:spacing w:after="0" w:line="112" w:lineRule="exact"/>
              <w:rPr>
                <w:sz w:val="20"/>
                <w:szCs w:val="20"/>
                <w:color w:val="auto"/>
              </w:rPr>
            </w:pPr>
            <w:r>
              <w:rPr>
                <w:rFonts w:ascii="Arial" w:cs="Arial" w:eastAsia="Arial" w:hAnsi="Arial"/>
                <w:sz w:val="12"/>
                <w:szCs w:val="12"/>
                <w:color w:val="auto"/>
                <w:w w:val="99"/>
              </w:rPr>
              <w:t>03/01/2022</w:t>
            </w:r>
          </w:p>
        </w:tc>
        <w:tc>
          <w:tcPr>
            <w:tcW w:w="820" w:type="dxa"/>
            <w:vAlign w:val="bottom"/>
          </w:tcPr>
          <w:p>
            <w:pPr>
              <w:jc w:val="right"/>
              <w:spacing w:after="0" w:line="112"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12"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12"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line="112"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00"/>
              <w:spacing w:after="0" w:line="112" w:lineRule="exact"/>
              <w:rPr>
                <w:sz w:val="20"/>
                <w:szCs w:val="20"/>
                <w:color w:val="auto"/>
              </w:rPr>
            </w:pPr>
            <w:r>
              <w:rPr>
                <w:rFonts w:ascii="Arial" w:cs="Arial" w:eastAsia="Arial" w:hAnsi="Arial"/>
                <w:sz w:val="12"/>
                <w:szCs w:val="12"/>
                <w:color w:val="auto"/>
              </w:rPr>
              <w:t>41,022</w:t>
            </w:r>
          </w:p>
        </w:tc>
        <w:tc>
          <w:tcPr>
            <w:tcW w:w="720" w:type="dxa"/>
            <w:vAlign w:val="bottom"/>
          </w:tcPr>
          <w:p>
            <w:pPr>
              <w:jc w:val="right"/>
              <w:spacing w:after="0" w:line="112" w:lineRule="exact"/>
              <w:rPr>
                <w:sz w:val="20"/>
                <w:szCs w:val="20"/>
                <w:color w:val="auto"/>
              </w:rPr>
            </w:pPr>
            <w:r>
              <w:rPr>
                <w:rFonts w:ascii="Arial" w:cs="Arial" w:eastAsia="Arial" w:hAnsi="Arial"/>
                <w:sz w:val="12"/>
                <w:szCs w:val="12"/>
                <w:color w:val="auto"/>
              </w:rPr>
              <w:t>943,506</w:t>
            </w:r>
          </w:p>
        </w:tc>
        <w:tc>
          <w:tcPr>
            <w:tcW w:w="1160" w:type="dxa"/>
            <w:vAlign w:val="bottom"/>
          </w:tcPr>
          <w:p>
            <w:pPr>
              <w:jc w:val="right"/>
              <w:spacing w:after="0" w:line="112" w:lineRule="exact"/>
              <w:rPr>
                <w:sz w:val="20"/>
                <w:szCs w:val="20"/>
                <w:color w:val="auto"/>
              </w:rPr>
            </w:pPr>
            <w:r>
              <w:rPr>
                <w:rFonts w:ascii="Arial" w:cs="Arial" w:eastAsia="Arial" w:hAnsi="Arial"/>
                <w:sz w:val="9"/>
                <w:szCs w:val="9"/>
                <w:color w:val="auto"/>
              </w:rPr>
              <w:t>30,240</w:t>
            </w:r>
            <w:r>
              <w:rPr>
                <w:rFonts w:ascii="Arial" w:cs="Arial" w:eastAsia="Arial" w:hAnsi="Arial"/>
                <w:sz w:val="12"/>
                <w:szCs w:val="12"/>
                <w:color w:val="auto"/>
                <w:vertAlign w:val="superscript"/>
              </w:rPr>
              <w:t>(5)</w:t>
            </w:r>
          </w:p>
        </w:tc>
        <w:tc>
          <w:tcPr>
            <w:tcW w:w="1180" w:type="dxa"/>
            <w:vAlign w:val="bottom"/>
          </w:tcPr>
          <w:p>
            <w:pPr>
              <w:jc w:val="right"/>
              <w:spacing w:after="0" w:line="112" w:lineRule="exact"/>
              <w:rPr>
                <w:sz w:val="20"/>
                <w:szCs w:val="20"/>
                <w:color w:val="auto"/>
              </w:rPr>
            </w:pPr>
            <w:r>
              <w:rPr>
                <w:rFonts w:ascii="Arial" w:cs="Arial" w:eastAsia="Arial" w:hAnsi="Arial"/>
                <w:sz w:val="12"/>
                <w:szCs w:val="12"/>
                <w:color w:val="auto"/>
              </w:rPr>
              <w:t>695,520</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9"/>
              </w:rPr>
              <w:t>03/01/2021</w:t>
            </w:r>
          </w:p>
        </w:tc>
        <w:tc>
          <w:tcPr>
            <w:tcW w:w="8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00"/>
              <w:spacing w:after="0" w:line="130" w:lineRule="exact"/>
              <w:rPr>
                <w:sz w:val="20"/>
                <w:szCs w:val="20"/>
                <w:color w:val="auto"/>
              </w:rPr>
            </w:pPr>
            <w:r>
              <w:rPr>
                <w:rFonts w:ascii="Arial" w:cs="Arial" w:eastAsia="Arial" w:hAnsi="Arial"/>
                <w:sz w:val="12"/>
                <w:szCs w:val="12"/>
                <w:color w:val="auto"/>
              </w:rPr>
              <w:t>22,018</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506,414</w:t>
            </w:r>
          </w:p>
        </w:tc>
        <w:tc>
          <w:tcPr>
            <w:tcW w:w="1160" w:type="dxa"/>
            <w:vAlign w:val="bottom"/>
          </w:tcPr>
          <w:p>
            <w:pPr>
              <w:jc w:val="right"/>
              <w:spacing w:after="0" w:line="130" w:lineRule="exact"/>
              <w:rPr>
                <w:sz w:val="20"/>
                <w:szCs w:val="20"/>
                <w:color w:val="auto"/>
              </w:rPr>
            </w:pPr>
            <w:r>
              <w:rPr>
                <w:rFonts w:ascii="Arial" w:cs="Arial" w:eastAsia="Arial" w:hAnsi="Arial"/>
                <w:sz w:val="10"/>
                <w:szCs w:val="10"/>
                <w:color w:val="auto"/>
              </w:rPr>
              <w:t>25,692</w:t>
            </w:r>
            <w:r>
              <w:rPr>
                <w:rFonts w:ascii="Arial" w:cs="Arial" w:eastAsia="Arial" w:hAnsi="Arial"/>
                <w:sz w:val="15"/>
                <w:szCs w:val="15"/>
                <w:color w:val="auto"/>
                <w:vertAlign w:val="superscript"/>
              </w:rPr>
              <w:t>(6)</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590,916</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9"/>
              </w:rPr>
              <w:t>03/17/2020</w:t>
            </w:r>
          </w:p>
        </w:tc>
        <w:tc>
          <w:tcPr>
            <w:tcW w:w="8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00"/>
              <w:spacing w:after="0" w:line="130" w:lineRule="exact"/>
              <w:rPr>
                <w:sz w:val="20"/>
                <w:szCs w:val="20"/>
                <w:color w:val="auto"/>
              </w:rPr>
            </w:pPr>
            <w:r>
              <w:rPr>
                <w:rFonts w:ascii="Arial" w:cs="Arial" w:eastAsia="Arial" w:hAnsi="Arial"/>
                <w:sz w:val="12"/>
                <w:szCs w:val="12"/>
                <w:color w:val="auto"/>
              </w:rPr>
              <w:t>14,418</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331,614</w:t>
            </w:r>
          </w:p>
        </w:tc>
        <w:tc>
          <w:tcPr>
            <w:tcW w:w="1160" w:type="dxa"/>
            <w:vAlign w:val="bottom"/>
          </w:tcPr>
          <w:p>
            <w:pPr>
              <w:jc w:val="right"/>
              <w:spacing w:after="0" w:line="130" w:lineRule="exact"/>
              <w:rPr>
                <w:sz w:val="20"/>
                <w:szCs w:val="20"/>
                <w:color w:val="auto"/>
              </w:rPr>
            </w:pPr>
            <w:r>
              <w:rPr>
                <w:rFonts w:ascii="Arial" w:cs="Arial" w:eastAsia="Arial" w:hAnsi="Arial"/>
                <w:sz w:val="10"/>
                <w:szCs w:val="10"/>
                <w:color w:val="auto"/>
              </w:rPr>
              <w:t>36,654</w:t>
            </w:r>
            <w:r>
              <w:rPr>
                <w:rFonts w:ascii="Arial" w:cs="Arial" w:eastAsia="Arial" w:hAnsi="Arial"/>
                <w:sz w:val="15"/>
                <w:szCs w:val="15"/>
                <w:color w:val="auto"/>
                <w:vertAlign w:val="superscript"/>
              </w:rPr>
              <w:t>(7)</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843,042</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9"/>
              </w:rPr>
              <w:t>02/21/2017</w:t>
            </w:r>
          </w:p>
        </w:tc>
        <w:tc>
          <w:tcPr>
            <w:tcW w:w="820" w:type="dxa"/>
            <w:vAlign w:val="bottom"/>
          </w:tcPr>
          <w:p>
            <w:pPr>
              <w:jc w:val="right"/>
              <w:spacing w:after="0" w:line="130" w:lineRule="exact"/>
              <w:rPr>
                <w:sz w:val="20"/>
                <w:szCs w:val="20"/>
                <w:color w:val="auto"/>
              </w:rPr>
            </w:pPr>
            <w:r>
              <w:rPr>
                <w:rFonts w:ascii="Arial" w:cs="Arial" w:eastAsia="Arial" w:hAnsi="Arial"/>
                <w:sz w:val="12"/>
                <w:szCs w:val="12"/>
                <w:color w:val="auto"/>
              </w:rPr>
              <w:t>64,000</w:t>
            </w:r>
          </w:p>
        </w:tc>
        <w:tc>
          <w:tcPr>
            <w:tcW w:w="94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30" w:lineRule="exact"/>
              <w:rPr>
                <w:sz w:val="20"/>
                <w:szCs w:val="20"/>
                <w:color w:val="auto"/>
              </w:rPr>
            </w:pPr>
            <w:r>
              <w:rPr>
                <w:rFonts w:ascii="Arial" w:cs="Arial" w:eastAsia="Arial" w:hAnsi="Arial"/>
                <w:sz w:val="12"/>
                <w:szCs w:val="12"/>
                <w:color w:val="auto"/>
              </w:rPr>
              <w:t>20.12</w:t>
            </w:r>
          </w:p>
        </w:tc>
        <w:tc>
          <w:tcPr>
            <w:tcW w:w="760" w:type="dxa"/>
            <w:vAlign w:val="bottom"/>
          </w:tcPr>
          <w:p>
            <w:pPr>
              <w:jc w:val="right"/>
              <w:ind w:right="20"/>
              <w:spacing w:after="0" w:line="130" w:lineRule="exact"/>
              <w:rPr>
                <w:sz w:val="20"/>
                <w:szCs w:val="20"/>
                <w:color w:val="auto"/>
              </w:rPr>
            </w:pPr>
            <w:r>
              <w:rPr>
                <w:rFonts w:ascii="Arial" w:cs="Arial" w:eastAsia="Arial" w:hAnsi="Arial"/>
                <w:sz w:val="12"/>
                <w:szCs w:val="12"/>
                <w:color w:val="auto"/>
              </w:rPr>
              <w:t>02/21/2027</w:t>
            </w:r>
          </w:p>
        </w:tc>
        <w:tc>
          <w:tcPr>
            <w:tcW w:w="800" w:type="dxa"/>
            <w:vAlign w:val="bottom"/>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line="130"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9"/>
              </w:rPr>
              <w:t>02/23/2016</w:t>
            </w:r>
          </w:p>
        </w:tc>
        <w:tc>
          <w:tcPr>
            <w:tcW w:w="820" w:type="dxa"/>
            <w:vAlign w:val="bottom"/>
          </w:tcPr>
          <w:p>
            <w:pPr>
              <w:jc w:val="right"/>
              <w:spacing w:after="0" w:line="130" w:lineRule="exact"/>
              <w:rPr>
                <w:sz w:val="20"/>
                <w:szCs w:val="20"/>
                <w:color w:val="auto"/>
              </w:rPr>
            </w:pPr>
            <w:r>
              <w:rPr>
                <w:rFonts w:ascii="Arial" w:cs="Arial" w:eastAsia="Arial" w:hAnsi="Arial"/>
                <w:sz w:val="12"/>
                <w:szCs w:val="12"/>
                <w:color w:val="auto"/>
              </w:rPr>
              <w:t>72,333</w:t>
            </w:r>
          </w:p>
        </w:tc>
        <w:tc>
          <w:tcPr>
            <w:tcW w:w="94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30" w:lineRule="exact"/>
              <w:rPr>
                <w:sz w:val="20"/>
                <w:szCs w:val="20"/>
                <w:color w:val="auto"/>
              </w:rPr>
            </w:pPr>
            <w:r>
              <w:rPr>
                <w:rFonts w:ascii="Arial" w:cs="Arial" w:eastAsia="Arial" w:hAnsi="Arial"/>
                <w:sz w:val="12"/>
                <w:szCs w:val="12"/>
                <w:color w:val="auto"/>
              </w:rPr>
              <w:t>17.89</w:t>
            </w:r>
          </w:p>
        </w:tc>
        <w:tc>
          <w:tcPr>
            <w:tcW w:w="760" w:type="dxa"/>
            <w:vAlign w:val="bottom"/>
          </w:tcPr>
          <w:p>
            <w:pPr>
              <w:jc w:val="right"/>
              <w:ind w:right="20"/>
              <w:spacing w:after="0" w:line="130" w:lineRule="exact"/>
              <w:rPr>
                <w:sz w:val="20"/>
                <w:szCs w:val="20"/>
                <w:color w:val="auto"/>
              </w:rPr>
            </w:pPr>
            <w:r>
              <w:rPr>
                <w:rFonts w:ascii="Arial" w:cs="Arial" w:eastAsia="Arial" w:hAnsi="Arial"/>
                <w:sz w:val="12"/>
                <w:szCs w:val="12"/>
                <w:color w:val="auto"/>
              </w:rPr>
              <w:t>02/23/2026</w:t>
            </w:r>
          </w:p>
        </w:tc>
        <w:tc>
          <w:tcPr>
            <w:tcW w:w="800" w:type="dxa"/>
            <w:vAlign w:val="bottom"/>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line="130"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9"/>
              </w:rPr>
              <w:t>01/26/2015</w:t>
            </w:r>
          </w:p>
        </w:tc>
        <w:tc>
          <w:tcPr>
            <w:tcW w:w="820" w:type="dxa"/>
            <w:vAlign w:val="bottom"/>
          </w:tcPr>
          <w:p>
            <w:pPr>
              <w:jc w:val="right"/>
              <w:spacing w:after="0" w:line="130" w:lineRule="exact"/>
              <w:rPr>
                <w:sz w:val="20"/>
                <w:szCs w:val="20"/>
                <w:color w:val="auto"/>
              </w:rPr>
            </w:pPr>
            <w:r>
              <w:rPr>
                <w:rFonts w:ascii="Arial" w:cs="Arial" w:eastAsia="Arial" w:hAnsi="Arial"/>
                <w:sz w:val="12"/>
                <w:szCs w:val="12"/>
                <w:color w:val="auto"/>
              </w:rPr>
              <w:t>94,488</w:t>
            </w:r>
          </w:p>
        </w:tc>
        <w:tc>
          <w:tcPr>
            <w:tcW w:w="94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30" w:lineRule="exact"/>
              <w:rPr>
                <w:sz w:val="20"/>
                <w:szCs w:val="20"/>
                <w:color w:val="auto"/>
              </w:rPr>
            </w:pPr>
            <w:r>
              <w:rPr>
                <w:rFonts w:ascii="Arial" w:cs="Arial" w:eastAsia="Arial" w:hAnsi="Arial"/>
                <w:sz w:val="12"/>
                <w:szCs w:val="12"/>
                <w:color w:val="auto"/>
              </w:rPr>
              <w:t>19.08</w:t>
            </w:r>
          </w:p>
        </w:tc>
        <w:tc>
          <w:tcPr>
            <w:tcW w:w="760" w:type="dxa"/>
            <w:vAlign w:val="bottom"/>
          </w:tcPr>
          <w:p>
            <w:pPr>
              <w:jc w:val="right"/>
              <w:ind w:right="20"/>
              <w:spacing w:after="0" w:line="130" w:lineRule="exact"/>
              <w:rPr>
                <w:sz w:val="20"/>
                <w:szCs w:val="20"/>
                <w:color w:val="auto"/>
              </w:rPr>
            </w:pPr>
            <w:r>
              <w:rPr>
                <w:rFonts w:ascii="Arial" w:cs="Arial" w:eastAsia="Arial" w:hAnsi="Arial"/>
                <w:sz w:val="12"/>
                <w:szCs w:val="12"/>
                <w:color w:val="auto"/>
              </w:rPr>
              <w:t>01/26/2025</w:t>
            </w:r>
          </w:p>
        </w:tc>
        <w:tc>
          <w:tcPr>
            <w:tcW w:w="800" w:type="dxa"/>
            <w:vAlign w:val="bottom"/>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line="130"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color w:val="auto"/>
                <w:w w:val="99"/>
              </w:rPr>
              <w:t>12/12/2013</w:t>
            </w:r>
          </w:p>
        </w:tc>
        <w:tc>
          <w:tcPr>
            <w:tcW w:w="820" w:type="dxa"/>
            <w:vAlign w:val="bottom"/>
          </w:tcPr>
          <w:p>
            <w:pPr>
              <w:jc w:val="right"/>
              <w:spacing w:after="0"/>
              <w:rPr>
                <w:sz w:val="20"/>
                <w:szCs w:val="20"/>
                <w:color w:val="auto"/>
              </w:rPr>
            </w:pPr>
            <w:r>
              <w:rPr>
                <w:rFonts w:ascii="Arial" w:cs="Arial" w:eastAsia="Arial" w:hAnsi="Arial"/>
                <w:sz w:val="12"/>
                <w:szCs w:val="12"/>
                <w:color w:val="auto"/>
              </w:rPr>
              <w:t>39,540</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20.51</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12/12/2023</w:t>
            </w: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1560" w:type="dxa"/>
            <w:vAlign w:val="bottom"/>
            <w:shd w:val="clear" w:color="auto" w:fill="9DBDE4"/>
          </w:tcPr>
          <w:p>
            <w:pPr>
              <w:ind w:left="60"/>
              <w:spacing w:after="0" w:line="113" w:lineRule="exact"/>
              <w:rPr>
                <w:sz w:val="20"/>
                <w:szCs w:val="20"/>
                <w:color w:val="auto"/>
              </w:rPr>
            </w:pPr>
            <w:r>
              <w:rPr>
                <w:rFonts w:ascii="Arial" w:cs="Arial" w:eastAsia="Arial" w:hAnsi="Arial"/>
                <w:sz w:val="12"/>
                <w:szCs w:val="12"/>
                <w:color w:val="auto"/>
              </w:rPr>
              <w:t>Ram K. Puppala</w:t>
            </w:r>
          </w:p>
        </w:tc>
        <w:tc>
          <w:tcPr>
            <w:tcW w:w="660" w:type="dxa"/>
            <w:vAlign w:val="bottom"/>
            <w:gridSpan w:val="2"/>
            <w:shd w:val="clear" w:color="auto" w:fill="9DBDE4"/>
          </w:tcPr>
          <w:p>
            <w:pPr>
              <w:jc w:val="center"/>
              <w:spacing w:after="0" w:line="113" w:lineRule="exact"/>
              <w:rPr>
                <w:sz w:val="20"/>
                <w:szCs w:val="20"/>
                <w:color w:val="auto"/>
              </w:rPr>
            </w:pPr>
            <w:r>
              <w:rPr>
                <w:rFonts w:ascii="Arial" w:cs="Arial" w:eastAsia="Arial" w:hAnsi="Arial"/>
                <w:sz w:val="12"/>
                <w:szCs w:val="12"/>
                <w:color w:val="auto"/>
                <w:w w:val="99"/>
              </w:rPr>
              <w:t>03/01/2022</w:t>
            </w:r>
          </w:p>
        </w:tc>
        <w:tc>
          <w:tcPr>
            <w:tcW w:w="820" w:type="dxa"/>
            <w:vAlign w:val="bottom"/>
            <w:shd w:val="clear" w:color="auto" w:fill="9DBDE4"/>
          </w:tcPr>
          <w:p>
            <w:pPr>
              <w:jc w:val="right"/>
              <w:spacing w:after="0" w:line="113" w:lineRule="exact"/>
              <w:rPr>
                <w:sz w:val="20"/>
                <w:szCs w:val="20"/>
                <w:color w:val="auto"/>
              </w:rPr>
            </w:pPr>
            <w:r>
              <w:rPr>
                <w:rFonts w:ascii="Arial" w:cs="Arial" w:eastAsia="Arial" w:hAnsi="Arial"/>
                <w:sz w:val="12"/>
                <w:szCs w:val="12"/>
                <w:color w:val="auto"/>
              </w:rPr>
              <w:t>-</w:t>
            </w:r>
          </w:p>
        </w:tc>
        <w:tc>
          <w:tcPr>
            <w:tcW w:w="940" w:type="dxa"/>
            <w:vAlign w:val="bottom"/>
            <w:shd w:val="clear" w:color="auto" w:fill="9DBDE4"/>
          </w:tcPr>
          <w:p>
            <w:pPr>
              <w:jc w:val="right"/>
              <w:spacing w:after="0" w:line="113" w:lineRule="exact"/>
              <w:rPr>
                <w:sz w:val="20"/>
                <w:szCs w:val="20"/>
                <w:color w:val="auto"/>
              </w:rPr>
            </w:pPr>
            <w:r>
              <w:rPr>
                <w:rFonts w:ascii="Arial" w:cs="Arial" w:eastAsia="Arial" w:hAnsi="Arial"/>
                <w:sz w:val="12"/>
                <w:szCs w:val="12"/>
                <w:color w:val="auto"/>
              </w:rPr>
              <w:t>-</w:t>
            </w:r>
          </w:p>
        </w:tc>
        <w:tc>
          <w:tcPr>
            <w:tcW w:w="720" w:type="dxa"/>
            <w:vAlign w:val="bottom"/>
            <w:shd w:val="clear" w:color="auto" w:fill="9DBDE4"/>
          </w:tcPr>
          <w:p>
            <w:pPr>
              <w:jc w:val="right"/>
              <w:ind w:right="20"/>
              <w:spacing w:after="0" w:line="113" w:lineRule="exact"/>
              <w:rPr>
                <w:sz w:val="20"/>
                <w:szCs w:val="20"/>
                <w:color w:val="auto"/>
              </w:rPr>
            </w:pPr>
            <w:r>
              <w:rPr>
                <w:rFonts w:ascii="Arial" w:cs="Arial" w:eastAsia="Arial" w:hAnsi="Arial"/>
                <w:sz w:val="12"/>
                <w:szCs w:val="12"/>
                <w:color w:val="auto"/>
              </w:rPr>
              <w:t>-</w:t>
            </w:r>
          </w:p>
        </w:tc>
        <w:tc>
          <w:tcPr>
            <w:tcW w:w="760" w:type="dxa"/>
            <w:vAlign w:val="bottom"/>
            <w:shd w:val="clear" w:color="auto" w:fill="9DBDE4"/>
          </w:tcPr>
          <w:p>
            <w:pPr>
              <w:jc w:val="right"/>
              <w:ind w:right="20"/>
              <w:spacing w:after="0" w:line="113" w:lineRule="exact"/>
              <w:rPr>
                <w:sz w:val="20"/>
                <w:szCs w:val="20"/>
                <w:color w:val="auto"/>
              </w:rPr>
            </w:pPr>
            <w:r>
              <w:rPr>
                <w:rFonts w:ascii="Arial" w:cs="Arial" w:eastAsia="Arial" w:hAnsi="Arial"/>
                <w:sz w:val="12"/>
                <w:szCs w:val="12"/>
                <w:color w:val="auto"/>
              </w:rPr>
              <w:t>-</w:t>
            </w:r>
          </w:p>
        </w:tc>
        <w:tc>
          <w:tcPr>
            <w:tcW w:w="800" w:type="dxa"/>
            <w:vAlign w:val="bottom"/>
            <w:shd w:val="clear" w:color="auto" w:fill="9DBDE4"/>
          </w:tcPr>
          <w:p>
            <w:pPr>
              <w:jc w:val="right"/>
              <w:ind w:right="100"/>
              <w:spacing w:after="0" w:line="113" w:lineRule="exact"/>
              <w:rPr>
                <w:sz w:val="20"/>
                <w:szCs w:val="20"/>
                <w:color w:val="auto"/>
              </w:rPr>
            </w:pPr>
            <w:r>
              <w:rPr>
                <w:rFonts w:ascii="Arial" w:cs="Arial" w:eastAsia="Arial" w:hAnsi="Arial"/>
                <w:sz w:val="12"/>
                <w:szCs w:val="12"/>
                <w:color w:val="auto"/>
              </w:rPr>
              <w:t>29,978</w:t>
            </w:r>
          </w:p>
        </w:tc>
        <w:tc>
          <w:tcPr>
            <w:tcW w:w="720" w:type="dxa"/>
            <w:vAlign w:val="bottom"/>
            <w:shd w:val="clear" w:color="auto" w:fill="9DBDE4"/>
          </w:tcPr>
          <w:p>
            <w:pPr>
              <w:jc w:val="right"/>
              <w:spacing w:after="0" w:line="113" w:lineRule="exact"/>
              <w:rPr>
                <w:sz w:val="20"/>
                <w:szCs w:val="20"/>
                <w:color w:val="auto"/>
              </w:rPr>
            </w:pPr>
            <w:r>
              <w:rPr>
                <w:rFonts w:ascii="Arial" w:cs="Arial" w:eastAsia="Arial" w:hAnsi="Arial"/>
                <w:sz w:val="12"/>
                <w:szCs w:val="12"/>
                <w:color w:val="auto"/>
              </w:rPr>
              <w:t>689,494</w:t>
            </w:r>
          </w:p>
        </w:tc>
        <w:tc>
          <w:tcPr>
            <w:tcW w:w="1160" w:type="dxa"/>
            <w:vAlign w:val="bottom"/>
            <w:shd w:val="clear" w:color="auto" w:fill="9DBDE4"/>
          </w:tcPr>
          <w:p>
            <w:pPr>
              <w:jc w:val="right"/>
              <w:spacing w:after="0" w:line="113" w:lineRule="exact"/>
              <w:rPr>
                <w:sz w:val="20"/>
                <w:szCs w:val="20"/>
                <w:color w:val="auto"/>
              </w:rPr>
            </w:pPr>
            <w:r>
              <w:rPr>
                <w:rFonts w:ascii="Arial" w:cs="Arial" w:eastAsia="Arial" w:hAnsi="Arial"/>
                <w:sz w:val="9"/>
                <w:szCs w:val="9"/>
                <w:color w:val="auto"/>
              </w:rPr>
              <w:t>22,098</w:t>
            </w:r>
            <w:r>
              <w:rPr>
                <w:rFonts w:ascii="Arial" w:cs="Arial" w:eastAsia="Arial" w:hAnsi="Arial"/>
                <w:sz w:val="13"/>
                <w:szCs w:val="13"/>
                <w:color w:val="auto"/>
                <w:vertAlign w:val="superscript"/>
              </w:rPr>
              <w:t>(5)</w:t>
            </w:r>
          </w:p>
        </w:tc>
        <w:tc>
          <w:tcPr>
            <w:tcW w:w="1180" w:type="dxa"/>
            <w:vAlign w:val="bottom"/>
            <w:shd w:val="clear" w:color="auto" w:fill="9DBDE4"/>
          </w:tcPr>
          <w:p>
            <w:pPr>
              <w:jc w:val="right"/>
              <w:spacing w:after="0" w:line="113" w:lineRule="exact"/>
              <w:rPr>
                <w:sz w:val="20"/>
                <w:szCs w:val="20"/>
                <w:color w:val="auto"/>
              </w:rPr>
            </w:pPr>
            <w:r>
              <w:rPr>
                <w:rFonts w:ascii="Arial" w:cs="Arial" w:eastAsia="Arial" w:hAnsi="Arial"/>
                <w:sz w:val="12"/>
                <w:szCs w:val="12"/>
                <w:color w:val="auto"/>
              </w:rPr>
              <w:t>508,254</w:t>
            </w:r>
          </w:p>
        </w:tc>
        <w:tc>
          <w:tcPr>
            <w:tcW w:w="0" w:type="dxa"/>
            <w:vAlign w:val="bottom"/>
          </w:tcPr>
          <w:p>
            <w:pPr>
              <w:spacing w:after="0"/>
              <w:rPr>
                <w:sz w:val="1"/>
                <w:szCs w:val="1"/>
                <w:color w:val="auto"/>
              </w:rPr>
            </w:pPr>
          </w:p>
        </w:tc>
      </w:tr>
      <w:tr>
        <w:trPr>
          <w:trHeight w:val="160"/>
        </w:trPr>
        <w:tc>
          <w:tcPr>
            <w:tcW w:w="1560" w:type="dxa"/>
            <w:vAlign w:val="bottom"/>
            <w:shd w:val="clear" w:color="auto" w:fill="9DBDE4"/>
          </w:tcPr>
          <w:p>
            <w:pPr>
              <w:spacing w:after="0"/>
              <w:rPr>
                <w:sz w:val="13"/>
                <w:szCs w:val="13"/>
                <w:color w:val="auto"/>
              </w:rPr>
            </w:pPr>
          </w:p>
        </w:tc>
        <w:tc>
          <w:tcPr>
            <w:tcW w:w="660" w:type="dxa"/>
            <w:vAlign w:val="bottom"/>
            <w:gridSpan w:val="2"/>
            <w:shd w:val="clear" w:color="auto" w:fill="9DBDE4"/>
          </w:tcPr>
          <w:p>
            <w:pPr>
              <w:jc w:val="center"/>
              <w:spacing w:after="0"/>
              <w:rPr>
                <w:sz w:val="20"/>
                <w:szCs w:val="20"/>
                <w:color w:val="auto"/>
              </w:rPr>
            </w:pPr>
            <w:r>
              <w:rPr>
                <w:rFonts w:ascii="Arial" w:cs="Arial" w:eastAsia="Arial" w:hAnsi="Arial"/>
                <w:sz w:val="12"/>
                <w:szCs w:val="12"/>
                <w:color w:val="auto"/>
                <w:w w:val="99"/>
              </w:rPr>
              <w:t>11/08/2021</w:t>
            </w:r>
          </w:p>
        </w:tc>
        <w:tc>
          <w:tcPr>
            <w:tcW w:w="820" w:type="dxa"/>
            <w:vAlign w:val="bottom"/>
            <w:shd w:val="clear" w:color="auto" w:fill="9DBDE4"/>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9DBDE4"/>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9DBDE4"/>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9DBDE4"/>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9DBDE4"/>
          </w:tcPr>
          <w:p>
            <w:pPr>
              <w:jc w:val="right"/>
              <w:spacing w:after="0" w:line="160" w:lineRule="exact"/>
              <w:rPr>
                <w:sz w:val="20"/>
                <w:szCs w:val="20"/>
                <w:color w:val="auto"/>
              </w:rPr>
            </w:pPr>
            <w:r>
              <w:rPr>
                <w:rFonts w:ascii="Arial" w:cs="Arial" w:eastAsia="Arial" w:hAnsi="Arial"/>
                <w:sz w:val="12"/>
                <w:szCs w:val="12"/>
                <w:color w:val="auto"/>
              </w:rPr>
              <w:t>8,312</w:t>
            </w:r>
            <w:r>
              <w:rPr>
                <w:rFonts w:ascii="Arial" w:cs="Arial" w:eastAsia="Arial" w:hAnsi="Arial"/>
                <w:sz w:val="18"/>
                <w:szCs w:val="18"/>
                <w:color w:val="auto"/>
                <w:vertAlign w:val="superscript"/>
              </w:rPr>
              <w:t>(3)</w:t>
            </w:r>
          </w:p>
        </w:tc>
        <w:tc>
          <w:tcPr>
            <w:tcW w:w="720" w:type="dxa"/>
            <w:vAlign w:val="bottom"/>
            <w:shd w:val="clear" w:color="auto" w:fill="9DBDE4"/>
          </w:tcPr>
          <w:p>
            <w:pPr>
              <w:jc w:val="right"/>
              <w:spacing w:after="0"/>
              <w:rPr>
                <w:sz w:val="20"/>
                <w:szCs w:val="20"/>
                <w:color w:val="auto"/>
              </w:rPr>
            </w:pPr>
            <w:r>
              <w:rPr>
                <w:rFonts w:ascii="Arial" w:cs="Arial" w:eastAsia="Arial" w:hAnsi="Arial"/>
                <w:sz w:val="12"/>
                <w:szCs w:val="12"/>
                <w:color w:val="auto"/>
              </w:rPr>
              <w:t>191,176</w:t>
            </w:r>
          </w:p>
        </w:tc>
        <w:tc>
          <w:tcPr>
            <w:tcW w:w="1160" w:type="dxa"/>
            <w:vAlign w:val="bottom"/>
            <w:shd w:val="clear" w:color="auto" w:fill="9DBDE4"/>
          </w:tcPr>
          <w:p>
            <w:pPr>
              <w:jc w:val="right"/>
              <w:ind w:right="103"/>
              <w:spacing w:after="0"/>
              <w:rPr>
                <w:sz w:val="20"/>
                <w:szCs w:val="20"/>
                <w:color w:val="auto"/>
              </w:rPr>
            </w:pPr>
            <w:r>
              <w:rPr>
                <w:rFonts w:ascii="Arial" w:cs="Arial" w:eastAsia="Arial" w:hAnsi="Arial"/>
                <w:sz w:val="12"/>
                <w:szCs w:val="12"/>
                <w:color w:val="auto"/>
              </w:rPr>
              <w:t>-</w:t>
            </w:r>
          </w:p>
        </w:tc>
        <w:tc>
          <w:tcPr>
            <w:tcW w:w="1180" w:type="dxa"/>
            <w:vAlign w:val="bottom"/>
            <w:shd w:val="clear" w:color="auto" w:fill="9DBDE4"/>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1560" w:type="dxa"/>
            <w:vAlign w:val="bottom"/>
          </w:tcPr>
          <w:p>
            <w:pPr>
              <w:ind w:left="60"/>
              <w:spacing w:after="0" w:line="112" w:lineRule="exact"/>
              <w:rPr>
                <w:sz w:val="20"/>
                <w:szCs w:val="20"/>
                <w:color w:val="auto"/>
              </w:rPr>
            </w:pPr>
            <w:r>
              <w:rPr>
                <w:rFonts w:ascii="Arial" w:cs="Arial" w:eastAsia="Arial" w:hAnsi="Arial"/>
                <w:sz w:val="12"/>
                <w:szCs w:val="12"/>
                <w:color w:val="auto"/>
              </w:rPr>
              <w:t>Alessandro Silva</w:t>
            </w:r>
          </w:p>
        </w:tc>
        <w:tc>
          <w:tcPr>
            <w:tcW w:w="660" w:type="dxa"/>
            <w:vAlign w:val="bottom"/>
            <w:gridSpan w:val="2"/>
          </w:tcPr>
          <w:p>
            <w:pPr>
              <w:jc w:val="center"/>
              <w:spacing w:after="0" w:line="112" w:lineRule="exact"/>
              <w:rPr>
                <w:sz w:val="20"/>
                <w:szCs w:val="20"/>
                <w:color w:val="auto"/>
              </w:rPr>
            </w:pPr>
            <w:r>
              <w:rPr>
                <w:rFonts w:ascii="Arial" w:cs="Arial" w:eastAsia="Arial" w:hAnsi="Arial"/>
                <w:sz w:val="12"/>
                <w:szCs w:val="12"/>
                <w:color w:val="auto"/>
                <w:w w:val="99"/>
              </w:rPr>
              <w:t>08/09/2022</w:t>
            </w:r>
          </w:p>
        </w:tc>
        <w:tc>
          <w:tcPr>
            <w:tcW w:w="820" w:type="dxa"/>
            <w:vAlign w:val="bottom"/>
          </w:tcPr>
          <w:p>
            <w:pPr>
              <w:jc w:val="right"/>
              <w:spacing w:after="0" w:line="112"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12"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12"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line="112"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2" w:lineRule="exact"/>
              <w:rPr>
                <w:sz w:val="20"/>
                <w:szCs w:val="20"/>
                <w:color w:val="auto"/>
              </w:rPr>
            </w:pPr>
            <w:r>
              <w:rPr>
                <w:rFonts w:ascii="Arial" w:cs="Arial" w:eastAsia="Arial" w:hAnsi="Arial"/>
                <w:sz w:val="9"/>
                <w:szCs w:val="9"/>
                <w:color w:val="auto"/>
              </w:rPr>
              <w:t>26,585</w:t>
            </w:r>
            <w:r>
              <w:rPr>
                <w:rFonts w:ascii="Arial" w:cs="Arial" w:eastAsia="Arial" w:hAnsi="Arial"/>
                <w:sz w:val="12"/>
                <w:szCs w:val="12"/>
                <w:color w:val="auto"/>
                <w:vertAlign w:val="superscript"/>
              </w:rPr>
              <w:t>(4)</w:t>
            </w:r>
          </w:p>
        </w:tc>
        <w:tc>
          <w:tcPr>
            <w:tcW w:w="720" w:type="dxa"/>
            <w:vAlign w:val="bottom"/>
          </w:tcPr>
          <w:p>
            <w:pPr>
              <w:jc w:val="right"/>
              <w:spacing w:after="0" w:line="112" w:lineRule="exact"/>
              <w:rPr>
                <w:sz w:val="20"/>
                <w:szCs w:val="20"/>
                <w:color w:val="auto"/>
              </w:rPr>
            </w:pPr>
            <w:r>
              <w:rPr>
                <w:rFonts w:ascii="Arial" w:cs="Arial" w:eastAsia="Arial" w:hAnsi="Arial"/>
                <w:sz w:val="12"/>
                <w:szCs w:val="12"/>
                <w:color w:val="auto"/>
              </w:rPr>
              <w:t>611,455</w:t>
            </w:r>
          </w:p>
        </w:tc>
        <w:tc>
          <w:tcPr>
            <w:tcW w:w="1160" w:type="dxa"/>
            <w:vAlign w:val="bottom"/>
          </w:tcPr>
          <w:p>
            <w:pPr>
              <w:jc w:val="right"/>
              <w:ind w:right="103"/>
              <w:spacing w:after="0" w:line="112"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1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9"/>
              </w:rPr>
              <w:t>03/01/2022</w:t>
            </w:r>
          </w:p>
        </w:tc>
        <w:tc>
          <w:tcPr>
            <w:tcW w:w="8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00"/>
              <w:spacing w:after="0" w:line="130" w:lineRule="exact"/>
              <w:rPr>
                <w:sz w:val="20"/>
                <w:szCs w:val="20"/>
                <w:color w:val="auto"/>
              </w:rPr>
            </w:pPr>
            <w:r>
              <w:rPr>
                <w:rFonts w:ascii="Arial" w:cs="Arial" w:eastAsia="Arial" w:hAnsi="Arial"/>
                <w:sz w:val="12"/>
                <w:szCs w:val="12"/>
                <w:color w:val="auto"/>
              </w:rPr>
              <w:t>9,467</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217,741</w:t>
            </w:r>
          </w:p>
        </w:tc>
        <w:tc>
          <w:tcPr>
            <w:tcW w:w="1160" w:type="dxa"/>
            <w:vAlign w:val="bottom"/>
          </w:tcPr>
          <w:p>
            <w:pPr>
              <w:jc w:val="right"/>
              <w:spacing w:after="0" w:line="130" w:lineRule="exact"/>
              <w:rPr>
                <w:sz w:val="20"/>
                <w:szCs w:val="20"/>
                <w:color w:val="auto"/>
              </w:rPr>
            </w:pPr>
            <w:r>
              <w:rPr>
                <w:rFonts w:ascii="Arial" w:cs="Arial" w:eastAsia="Arial" w:hAnsi="Arial"/>
                <w:sz w:val="10"/>
                <w:szCs w:val="10"/>
                <w:color w:val="auto"/>
              </w:rPr>
              <w:t>6,978</w:t>
            </w:r>
            <w:r>
              <w:rPr>
                <w:rFonts w:ascii="Arial" w:cs="Arial" w:eastAsia="Arial" w:hAnsi="Arial"/>
                <w:sz w:val="15"/>
                <w:szCs w:val="15"/>
                <w:color w:val="auto"/>
                <w:vertAlign w:val="superscript"/>
              </w:rPr>
              <w:t>(5)</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160,494</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color w:val="auto"/>
                <w:w w:val="99"/>
              </w:rPr>
              <w:t>03/01/2021</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7,728</w:t>
            </w:r>
          </w:p>
        </w:tc>
        <w:tc>
          <w:tcPr>
            <w:tcW w:w="720" w:type="dxa"/>
            <w:vAlign w:val="bottom"/>
          </w:tcPr>
          <w:p>
            <w:pPr>
              <w:jc w:val="right"/>
              <w:spacing w:after="0"/>
              <w:rPr>
                <w:sz w:val="20"/>
                <w:szCs w:val="20"/>
                <w:color w:val="auto"/>
              </w:rPr>
            </w:pPr>
            <w:r>
              <w:rPr>
                <w:rFonts w:ascii="Arial" w:cs="Arial" w:eastAsia="Arial" w:hAnsi="Arial"/>
                <w:sz w:val="12"/>
                <w:szCs w:val="12"/>
                <w:color w:val="auto"/>
              </w:rPr>
              <w:t>177,744</w:t>
            </w:r>
          </w:p>
        </w:tc>
        <w:tc>
          <w:tcPr>
            <w:tcW w:w="116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1560" w:type="dxa"/>
            <w:vAlign w:val="bottom"/>
            <w:shd w:val="clear" w:color="auto" w:fill="9DBDE4"/>
          </w:tcPr>
          <w:p>
            <w:pPr>
              <w:ind w:left="60"/>
              <w:spacing w:after="0" w:line="113" w:lineRule="exact"/>
              <w:rPr>
                <w:sz w:val="20"/>
                <w:szCs w:val="20"/>
                <w:color w:val="auto"/>
              </w:rPr>
            </w:pPr>
            <w:r>
              <w:rPr>
                <w:rFonts w:ascii="Arial" w:cs="Arial" w:eastAsia="Arial" w:hAnsi="Arial"/>
                <w:sz w:val="12"/>
                <w:szCs w:val="12"/>
                <w:color w:val="auto"/>
              </w:rPr>
              <w:t>Deborah L. Guerra</w:t>
            </w:r>
          </w:p>
        </w:tc>
        <w:tc>
          <w:tcPr>
            <w:tcW w:w="660" w:type="dxa"/>
            <w:vAlign w:val="bottom"/>
            <w:gridSpan w:val="2"/>
            <w:shd w:val="clear" w:color="auto" w:fill="9DBDE4"/>
          </w:tcPr>
          <w:p>
            <w:pPr>
              <w:jc w:val="center"/>
              <w:spacing w:after="0" w:line="113" w:lineRule="exact"/>
              <w:rPr>
                <w:sz w:val="20"/>
                <w:szCs w:val="20"/>
                <w:color w:val="auto"/>
              </w:rPr>
            </w:pPr>
            <w:r>
              <w:rPr>
                <w:rFonts w:ascii="Arial" w:cs="Arial" w:eastAsia="Arial" w:hAnsi="Arial"/>
                <w:sz w:val="12"/>
                <w:szCs w:val="12"/>
                <w:color w:val="auto"/>
                <w:w w:val="99"/>
              </w:rPr>
              <w:t>08/09/2022</w:t>
            </w:r>
          </w:p>
        </w:tc>
        <w:tc>
          <w:tcPr>
            <w:tcW w:w="820" w:type="dxa"/>
            <w:vAlign w:val="bottom"/>
            <w:shd w:val="clear" w:color="auto" w:fill="9DBDE4"/>
          </w:tcPr>
          <w:p>
            <w:pPr>
              <w:jc w:val="right"/>
              <w:spacing w:after="0" w:line="113" w:lineRule="exact"/>
              <w:rPr>
                <w:sz w:val="20"/>
                <w:szCs w:val="20"/>
                <w:color w:val="auto"/>
              </w:rPr>
            </w:pPr>
            <w:r>
              <w:rPr>
                <w:rFonts w:ascii="Arial" w:cs="Arial" w:eastAsia="Arial" w:hAnsi="Arial"/>
                <w:sz w:val="12"/>
                <w:szCs w:val="12"/>
                <w:color w:val="auto"/>
              </w:rPr>
              <w:t>-</w:t>
            </w:r>
          </w:p>
        </w:tc>
        <w:tc>
          <w:tcPr>
            <w:tcW w:w="940" w:type="dxa"/>
            <w:vAlign w:val="bottom"/>
            <w:shd w:val="clear" w:color="auto" w:fill="9DBDE4"/>
          </w:tcPr>
          <w:p>
            <w:pPr>
              <w:jc w:val="right"/>
              <w:spacing w:after="0" w:line="113" w:lineRule="exact"/>
              <w:rPr>
                <w:sz w:val="20"/>
                <w:szCs w:val="20"/>
                <w:color w:val="auto"/>
              </w:rPr>
            </w:pPr>
            <w:r>
              <w:rPr>
                <w:rFonts w:ascii="Arial" w:cs="Arial" w:eastAsia="Arial" w:hAnsi="Arial"/>
                <w:sz w:val="12"/>
                <w:szCs w:val="12"/>
                <w:color w:val="auto"/>
              </w:rPr>
              <w:t>-</w:t>
            </w:r>
          </w:p>
        </w:tc>
        <w:tc>
          <w:tcPr>
            <w:tcW w:w="720" w:type="dxa"/>
            <w:vAlign w:val="bottom"/>
            <w:shd w:val="clear" w:color="auto" w:fill="9DBDE4"/>
          </w:tcPr>
          <w:p>
            <w:pPr>
              <w:jc w:val="right"/>
              <w:ind w:right="20"/>
              <w:spacing w:after="0" w:line="113" w:lineRule="exact"/>
              <w:rPr>
                <w:sz w:val="20"/>
                <w:szCs w:val="20"/>
                <w:color w:val="auto"/>
              </w:rPr>
            </w:pPr>
            <w:r>
              <w:rPr>
                <w:rFonts w:ascii="Arial" w:cs="Arial" w:eastAsia="Arial" w:hAnsi="Arial"/>
                <w:sz w:val="12"/>
                <w:szCs w:val="12"/>
                <w:color w:val="auto"/>
              </w:rPr>
              <w:t>-</w:t>
            </w:r>
          </w:p>
        </w:tc>
        <w:tc>
          <w:tcPr>
            <w:tcW w:w="760" w:type="dxa"/>
            <w:vAlign w:val="bottom"/>
            <w:shd w:val="clear" w:color="auto" w:fill="9DBDE4"/>
          </w:tcPr>
          <w:p>
            <w:pPr>
              <w:jc w:val="right"/>
              <w:ind w:right="20"/>
              <w:spacing w:after="0" w:line="113" w:lineRule="exact"/>
              <w:rPr>
                <w:sz w:val="20"/>
                <w:szCs w:val="20"/>
                <w:color w:val="auto"/>
              </w:rPr>
            </w:pPr>
            <w:r>
              <w:rPr>
                <w:rFonts w:ascii="Arial" w:cs="Arial" w:eastAsia="Arial" w:hAnsi="Arial"/>
                <w:sz w:val="12"/>
                <w:szCs w:val="12"/>
                <w:color w:val="auto"/>
              </w:rPr>
              <w:t>-</w:t>
            </w:r>
          </w:p>
        </w:tc>
        <w:tc>
          <w:tcPr>
            <w:tcW w:w="800" w:type="dxa"/>
            <w:vAlign w:val="bottom"/>
            <w:shd w:val="clear" w:color="auto" w:fill="9DBDE4"/>
          </w:tcPr>
          <w:p>
            <w:pPr>
              <w:jc w:val="right"/>
              <w:spacing w:after="0" w:line="113" w:lineRule="exact"/>
              <w:rPr>
                <w:sz w:val="20"/>
                <w:szCs w:val="20"/>
                <w:color w:val="auto"/>
              </w:rPr>
            </w:pPr>
            <w:r>
              <w:rPr>
                <w:rFonts w:ascii="Arial" w:cs="Arial" w:eastAsia="Arial" w:hAnsi="Arial"/>
                <w:sz w:val="9"/>
                <w:szCs w:val="9"/>
                <w:color w:val="auto"/>
              </w:rPr>
              <w:t>12,406</w:t>
            </w:r>
            <w:r>
              <w:rPr>
                <w:rFonts w:ascii="Arial" w:cs="Arial" w:eastAsia="Arial" w:hAnsi="Arial"/>
                <w:sz w:val="13"/>
                <w:szCs w:val="13"/>
                <w:color w:val="auto"/>
                <w:vertAlign w:val="superscript"/>
              </w:rPr>
              <w:t>(4)</w:t>
            </w:r>
          </w:p>
        </w:tc>
        <w:tc>
          <w:tcPr>
            <w:tcW w:w="720" w:type="dxa"/>
            <w:vAlign w:val="bottom"/>
            <w:shd w:val="clear" w:color="auto" w:fill="9DBDE4"/>
          </w:tcPr>
          <w:p>
            <w:pPr>
              <w:jc w:val="right"/>
              <w:spacing w:after="0" w:line="113" w:lineRule="exact"/>
              <w:rPr>
                <w:sz w:val="20"/>
                <w:szCs w:val="20"/>
                <w:color w:val="auto"/>
              </w:rPr>
            </w:pPr>
            <w:r>
              <w:rPr>
                <w:rFonts w:ascii="Arial" w:cs="Arial" w:eastAsia="Arial" w:hAnsi="Arial"/>
                <w:sz w:val="12"/>
                <w:szCs w:val="12"/>
                <w:color w:val="auto"/>
              </w:rPr>
              <w:t>285,338</w:t>
            </w:r>
          </w:p>
        </w:tc>
        <w:tc>
          <w:tcPr>
            <w:tcW w:w="1160" w:type="dxa"/>
            <w:vAlign w:val="bottom"/>
            <w:shd w:val="clear" w:color="auto" w:fill="9DBDE4"/>
          </w:tcPr>
          <w:p>
            <w:pPr>
              <w:jc w:val="right"/>
              <w:ind w:right="103"/>
              <w:spacing w:after="0" w:line="113" w:lineRule="exact"/>
              <w:rPr>
                <w:sz w:val="20"/>
                <w:szCs w:val="20"/>
                <w:color w:val="auto"/>
              </w:rPr>
            </w:pPr>
            <w:r>
              <w:rPr>
                <w:rFonts w:ascii="Arial" w:cs="Arial" w:eastAsia="Arial" w:hAnsi="Arial"/>
                <w:sz w:val="12"/>
                <w:szCs w:val="12"/>
                <w:color w:val="auto"/>
              </w:rPr>
              <w:t>-</w:t>
            </w:r>
          </w:p>
        </w:tc>
        <w:tc>
          <w:tcPr>
            <w:tcW w:w="1180" w:type="dxa"/>
            <w:vAlign w:val="bottom"/>
            <w:shd w:val="clear" w:color="auto" w:fill="9DBDE4"/>
          </w:tcPr>
          <w:p>
            <w:pPr>
              <w:jc w:val="right"/>
              <w:spacing w:after="0" w:line="11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1560" w:type="dxa"/>
            <w:vAlign w:val="bottom"/>
            <w:shd w:val="clear" w:color="auto" w:fill="9DBDE4"/>
          </w:tcPr>
          <w:p>
            <w:pPr>
              <w:spacing w:after="0"/>
              <w:rPr>
                <w:sz w:val="11"/>
                <w:szCs w:val="11"/>
                <w:color w:val="auto"/>
              </w:rPr>
            </w:pPr>
          </w:p>
        </w:tc>
        <w:tc>
          <w:tcPr>
            <w:tcW w:w="660" w:type="dxa"/>
            <w:vAlign w:val="bottom"/>
            <w:gridSpan w:val="2"/>
            <w:shd w:val="clear" w:color="auto" w:fill="9DBDE4"/>
          </w:tcPr>
          <w:p>
            <w:pPr>
              <w:jc w:val="center"/>
              <w:spacing w:after="0" w:line="130" w:lineRule="exact"/>
              <w:rPr>
                <w:sz w:val="20"/>
                <w:szCs w:val="20"/>
                <w:color w:val="auto"/>
              </w:rPr>
            </w:pPr>
            <w:r>
              <w:rPr>
                <w:rFonts w:ascii="Arial" w:cs="Arial" w:eastAsia="Arial" w:hAnsi="Arial"/>
                <w:sz w:val="12"/>
                <w:szCs w:val="12"/>
                <w:color w:val="auto"/>
                <w:w w:val="99"/>
              </w:rPr>
              <w:t>03/01/2022</w:t>
            </w:r>
          </w:p>
        </w:tc>
        <w:tc>
          <w:tcPr>
            <w:tcW w:w="82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shd w:val="clear" w:color="auto" w:fill="9DBDE4"/>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760" w:type="dxa"/>
            <w:vAlign w:val="bottom"/>
            <w:shd w:val="clear" w:color="auto" w:fill="9DBDE4"/>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800" w:type="dxa"/>
            <w:vAlign w:val="bottom"/>
            <w:shd w:val="clear" w:color="auto" w:fill="9DBDE4"/>
          </w:tcPr>
          <w:p>
            <w:pPr>
              <w:jc w:val="right"/>
              <w:ind w:right="100"/>
              <w:spacing w:after="0" w:line="130" w:lineRule="exact"/>
              <w:rPr>
                <w:sz w:val="20"/>
                <w:szCs w:val="20"/>
                <w:color w:val="auto"/>
              </w:rPr>
            </w:pPr>
            <w:r>
              <w:rPr>
                <w:rFonts w:ascii="Arial" w:cs="Arial" w:eastAsia="Arial" w:hAnsi="Arial"/>
                <w:sz w:val="12"/>
                <w:szCs w:val="12"/>
                <w:color w:val="auto"/>
              </w:rPr>
              <w:t>7,100</w:t>
            </w:r>
          </w:p>
        </w:tc>
        <w:tc>
          <w:tcPr>
            <w:tcW w:w="72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163,300</w:t>
            </w:r>
          </w:p>
        </w:tc>
        <w:tc>
          <w:tcPr>
            <w:tcW w:w="1160" w:type="dxa"/>
            <w:vAlign w:val="bottom"/>
            <w:shd w:val="clear" w:color="auto" w:fill="9DBDE4"/>
          </w:tcPr>
          <w:p>
            <w:pPr>
              <w:jc w:val="right"/>
              <w:spacing w:after="0" w:line="130" w:lineRule="exact"/>
              <w:rPr>
                <w:sz w:val="20"/>
                <w:szCs w:val="20"/>
                <w:color w:val="auto"/>
              </w:rPr>
            </w:pPr>
            <w:r>
              <w:rPr>
                <w:rFonts w:ascii="Arial" w:cs="Arial" w:eastAsia="Arial" w:hAnsi="Arial"/>
                <w:sz w:val="10"/>
                <w:szCs w:val="10"/>
                <w:color w:val="auto"/>
              </w:rPr>
              <w:t>5,234</w:t>
            </w:r>
            <w:r>
              <w:rPr>
                <w:rFonts w:ascii="Arial" w:cs="Arial" w:eastAsia="Arial" w:hAnsi="Arial"/>
                <w:sz w:val="15"/>
                <w:szCs w:val="15"/>
                <w:color w:val="auto"/>
                <w:vertAlign w:val="superscript"/>
              </w:rPr>
              <w:t>(5)</w:t>
            </w:r>
          </w:p>
        </w:tc>
        <w:tc>
          <w:tcPr>
            <w:tcW w:w="118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120,382</w:t>
            </w:r>
          </w:p>
        </w:tc>
        <w:tc>
          <w:tcPr>
            <w:tcW w:w="0" w:type="dxa"/>
            <w:vAlign w:val="bottom"/>
          </w:tcPr>
          <w:p>
            <w:pPr>
              <w:spacing w:after="0"/>
              <w:rPr>
                <w:sz w:val="1"/>
                <w:szCs w:val="1"/>
                <w:color w:val="auto"/>
              </w:rPr>
            </w:pPr>
          </w:p>
        </w:tc>
      </w:tr>
      <w:tr>
        <w:trPr>
          <w:trHeight w:val="130"/>
        </w:trPr>
        <w:tc>
          <w:tcPr>
            <w:tcW w:w="1560" w:type="dxa"/>
            <w:vAlign w:val="bottom"/>
            <w:shd w:val="clear" w:color="auto" w:fill="9DBDE4"/>
          </w:tcPr>
          <w:p>
            <w:pPr>
              <w:spacing w:after="0"/>
              <w:rPr>
                <w:sz w:val="11"/>
                <w:szCs w:val="11"/>
                <w:color w:val="auto"/>
              </w:rPr>
            </w:pPr>
          </w:p>
        </w:tc>
        <w:tc>
          <w:tcPr>
            <w:tcW w:w="660" w:type="dxa"/>
            <w:vAlign w:val="bottom"/>
            <w:gridSpan w:val="2"/>
            <w:shd w:val="clear" w:color="auto" w:fill="9DBDE4"/>
          </w:tcPr>
          <w:p>
            <w:pPr>
              <w:jc w:val="center"/>
              <w:spacing w:after="0" w:line="130" w:lineRule="exact"/>
              <w:rPr>
                <w:sz w:val="20"/>
                <w:szCs w:val="20"/>
                <w:color w:val="auto"/>
              </w:rPr>
            </w:pPr>
            <w:r>
              <w:rPr>
                <w:rFonts w:ascii="Arial" w:cs="Arial" w:eastAsia="Arial" w:hAnsi="Arial"/>
                <w:sz w:val="12"/>
                <w:szCs w:val="12"/>
                <w:color w:val="auto"/>
                <w:w w:val="99"/>
              </w:rPr>
              <w:t>03/01/2021</w:t>
            </w:r>
          </w:p>
        </w:tc>
        <w:tc>
          <w:tcPr>
            <w:tcW w:w="82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shd w:val="clear" w:color="auto" w:fill="9DBDE4"/>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760" w:type="dxa"/>
            <w:vAlign w:val="bottom"/>
            <w:shd w:val="clear" w:color="auto" w:fill="9DBDE4"/>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800" w:type="dxa"/>
            <w:vAlign w:val="bottom"/>
            <w:shd w:val="clear" w:color="auto" w:fill="9DBDE4"/>
          </w:tcPr>
          <w:p>
            <w:pPr>
              <w:jc w:val="right"/>
              <w:ind w:right="100"/>
              <w:spacing w:after="0" w:line="130" w:lineRule="exact"/>
              <w:rPr>
                <w:sz w:val="20"/>
                <w:szCs w:val="20"/>
                <w:color w:val="auto"/>
              </w:rPr>
            </w:pPr>
            <w:r>
              <w:rPr>
                <w:rFonts w:ascii="Arial" w:cs="Arial" w:eastAsia="Arial" w:hAnsi="Arial"/>
                <w:sz w:val="12"/>
                <w:szCs w:val="12"/>
                <w:color w:val="auto"/>
              </w:rPr>
              <w:t>3,810</w:t>
            </w:r>
          </w:p>
        </w:tc>
        <w:tc>
          <w:tcPr>
            <w:tcW w:w="72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87,630</w:t>
            </w:r>
          </w:p>
        </w:tc>
        <w:tc>
          <w:tcPr>
            <w:tcW w:w="1160" w:type="dxa"/>
            <w:vAlign w:val="bottom"/>
            <w:shd w:val="clear" w:color="auto" w:fill="9DBDE4"/>
          </w:tcPr>
          <w:p>
            <w:pPr>
              <w:jc w:val="right"/>
              <w:spacing w:after="0" w:line="130" w:lineRule="exact"/>
              <w:rPr>
                <w:sz w:val="20"/>
                <w:szCs w:val="20"/>
                <w:color w:val="auto"/>
              </w:rPr>
            </w:pPr>
            <w:r>
              <w:rPr>
                <w:rFonts w:ascii="Arial" w:cs="Arial" w:eastAsia="Arial" w:hAnsi="Arial"/>
                <w:sz w:val="10"/>
                <w:szCs w:val="10"/>
                <w:color w:val="auto"/>
              </w:rPr>
              <w:t>4,447</w:t>
            </w:r>
            <w:r>
              <w:rPr>
                <w:rFonts w:ascii="Arial" w:cs="Arial" w:eastAsia="Arial" w:hAnsi="Arial"/>
                <w:sz w:val="15"/>
                <w:szCs w:val="15"/>
                <w:color w:val="auto"/>
                <w:vertAlign w:val="superscript"/>
              </w:rPr>
              <w:t>(6)</w:t>
            </w:r>
          </w:p>
        </w:tc>
        <w:tc>
          <w:tcPr>
            <w:tcW w:w="118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102,281</w:t>
            </w:r>
          </w:p>
        </w:tc>
        <w:tc>
          <w:tcPr>
            <w:tcW w:w="0" w:type="dxa"/>
            <w:vAlign w:val="bottom"/>
          </w:tcPr>
          <w:p>
            <w:pPr>
              <w:spacing w:after="0"/>
              <w:rPr>
                <w:sz w:val="1"/>
                <w:szCs w:val="1"/>
                <w:color w:val="auto"/>
              </w:rPr>
            </w:pPr>
          </w:p>
        </w:tc>
      </w:tr>
      <w:tr>
        <w:trPr>
          <w:trHeight w:val="160"/>
        </w:trPr>
        <w:tc>
          <w:tcPr>
            <w:tcW w:w="1560" w:type="dxa"/>
            <w:vAlign w:val="bottom"/>
            <w:shd w:val="clear" w:color="auto" w:fill="9DBDE4"/>
          </w:tcPr>
          <w:p>
            <w:pPr>
              <w:spacing w:after="0"/>
              <w:rPr>
                <w:sz w:val="13"/>
                <w:szCs w:val="13"/>
                <w:color w:val="auto"/>
              </w:rPr>
            </w:pPr>
          </w:p>
        </w:tc>
        <w:tc>
          <w:tcPr>
            <w:tcW w:w="660" w:type="dxa"/>
            <w:vAlign w:val="bottom"/>
            <w:gridSpan w:val="2"/>
            <w:shd w:val="clear" w:color="auto" w:fill="9DBDE4"/>
          </w:tcPr>
          <w:p>
            <w:pPr>
              <w:jc w:val="center"/>
              <w:spacing w:after="0"/>
              <w:rPr>
                <w:sz w:val="20"/>
                <w:szCs w:val="20"/>
                <w:color w:val="auto"/>
              </w:rPr>
            </w:pPr>
            <w:r>
              <w:rPr>
                <w:rFonts w:ascii="Arial" w:cs="Arial" w:eastAsia="Arial" w:hAnsi="Arial"/>
                <w:sz w:val="12"/>
                <w:szCs w:val="12"/>
                <w:color w:val="auto"/>
                <w:w w:val="99"/>
              </w:rPr>
              <w:t>03/17/2020</w:t>
            </w:r>
          </w:p>
        </w:tc>
        <w:tc>
          <w:tcPr>
            <w:tcW w:w="820" w:type="dxa"/>
            <w:vAlign w:val="bottom"/>
            <w:shd w:val="clear" w:color="auto" w:fill="9DBDE4"/>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9DBDE4"/>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9DBDE4"/>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9DBDE4"/>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9DBDE4"/>
          </w:tcPr>
          <w:p>
            <w:pPr>
              <w:jc w:val="right"/>
              <w:ind w:right="100"/>
              <w:spacing w:after="0"/>
              <w:rPr>
                <w:sz w:val="20"/>
                <w:szCs w:val="20"/>
                <w:color w:val="auto"/>
              </w:rPr>
            </w:pPr>
            <w:r>
              <w:rPr>
                <w:rFonts w:ascii="Arial" w:cs="Arial" w:eastAsia="Arial" w:hAnsi="Arial"/>
                <w:sz w:val="12"/>
                <w:szCs w:val="12"/>
                <w:color w:val="auto"/>
              </w:rPr>
              <w:t>2,949</w:t>
            </w:r>
          </w:p>
        </w:tc>
        <w:tc>
          <w:tcPr>
            <w:tcW w:w="720" w:type="dxa"/>
            <w:vAlign w:val="bottom"/>
            <w:shd w:val="clear" w:color="auto" w:fill="9DBDE4"/>
          </w:tcPr>
          <w:p>
            <w:pPr>
              <w:jc w:val="right"/>
              <w:spacing w:after="0"/>
              <w:rPr>
                <w:sz w:val="20"/>
                <w:szCs w:val="20"/>
                <w:color w:val="auto"/>
              </w:rPr>
            </w:pPr>
            <w:r>
              <w:rPr>
                <w:rFonts w:ascii="Arial" w:cs="Arial" w:eastAsia="Arial" w:hAnsi="Arial"/>
                <w:sz w:val="12"/>
                <w:szCs w:val="12"/>
                <w:color w:val="auto"/>
              </w:rPr>
              <w:t>67,827</w:t>
            </w:r>
          </w:p>
        </w:tc>
        <w:tc>
          <w:tcPr>
            <w:tcW w:w="1160" w:type="dxa"/>
            <w:vAlign w:val="bottom"/>
            <w:shd w:val="clear" w:color="auto" w:fill="9DBDE4"/>
          </w:tcPr>
          <w:p>
            <w:pPr>
              <w:jc w:val="right"/>
              <w:spacing w:after="0" w:line="160" w:lineRule="exact"/>
              <w:rPr>
                <w:sz w:val="20"/>
                <w:szCs w:val="20"/>
                <w:color w:val="auto"/>
              </w:rPr>
            </w:pPr>
            <w:r>
              <w:rPr>
                <w:rFonts w:ascii="Arial" w:cs="Arial" w:eastAsia="Arial" w:hAnsi="Arial"/>
                <w:sz w:val="12"/>
                <w:szCs w:val="12"/>
                <w:color w:val="auto"/>
              </w:rPr>
              <w:t>7,498</w:t>
            </w:r>
            <w:r>
              <w:rPr>
                <w:rFonts w:ascii="Arial" w:cs="Arial" w:eastAsia="Arial" w:hAnsi="Arial"/>
                <w:sz w:val="18"/>
                <w:szCs w:val="18"/>
                <w:color w:val="auto"/>
                <w:vertAlign w:val="superscript"/>
              </w:rPr>
              <w:t>(7)</w:t>
            </w:r>
          </w:p>
        </w:tc>
        <w:tc>
          <w:tcPr>
            <w:tcW w:w="1180" w:type="dxa"/>
            <w:vAlign w:val="bottom"/>
            <w:shd w:val="clear" w:color="auto" w:fill="9DBDE4"/>
          </w:tcPr>
          <w:p>
            <w:pPr>
              <w:jc w:val="right"/>
              <w:spacing w:after="0"/>
              <w:rPr>
                <w:sz w:val="20"/>
                <w:szCs w:val="20"/>
                <w:color w:val="auto"/>
              </w:rPr>
            </w:pPr>
            <w:r>
              <w:rPr>
                <w:rFonts w:ascii="Arial" w:cs="Arial" w:eastAsia="Arial" w:hAnsi="Arial"/>
                <w:sz w:val="12"/>
                <w:szCs w:val="12"/>
                <w:color w:val="auto"/>
              </w:rPr>
              <w:t>172,454</w:t>
            </w:r>
          </w:p>
        </w:tc>
        <w:tc>
          <w:tcPr>
            <w:tcW w:w="0" w:type="dxa"/>
            <w:vAlign w:val="bottom"/>
          </w:tcPr>
          <w:p>
            <w:pPr>
              <w:spacing w:after="0"/>
              <w:rPr>
                <w:sz w:val="1"/>
                <w:szCs w:val="1"/>
                <w:color w:val="auto"/>
              </w:rPr>
            </w:pPr>
          </w:p>
        </w:tc>
      </w:tr>
      <w:tr>
        <w:trPr>
          <w:trHeight w:val="112"/>
        </w:trPr>
        <w:tc>
          <w:tcPr>
            <w:tcW w:w="1560" w:type="dxa"/>
            <w:vAlign w:val="bottom"/>
          </w:tcPr>
          <w:p>
            <w:pPr>
              <w:ind w:left="60"/>
              <w:spacing w:after="0" w:line="112" w:lineRule="exact"/>
              <w:rPr>
                <w:sz w:val="20"/>
                <w:szCs w:val="20"/>
                <w:color w:val="auto"/>
              </w:rPr>
            </w:pPr>
            <w:r>
              <w:rPr>
                <w:rFonts w:ascii="Arial" w:cs="Arial" w:eastAsia="Arial" w:hAnsi="Arial"/>
                <w:sz w:val="9"/>
                <w:szCs w:val="9"/>
                <w:color w:val="auto"/>
              </w:rPr>
              <w:t>Jeremy M. Wilmot</w:t>
            </w:r>
            <w:r>
              <w:rPr>
                <w:rFonts w:ascii="Arial" w:cs="Arial" w:eastAsia="Arial" w:hAnsi="Arial"/>
                <w:sz w:val="12"/>
                <w:szCs w:val="12"/>
                <w:color w:val="auto"/>
                <w:vertAlign w:val="superscript"/>
              </w:rPr>
              <w:t>(10)</w:t>
            </w:r>
          </w:p>
        </w:tc>
        <w:tc>
          <w:tcPr>
            <w:tcW w:w="660" w:type="dxa"/>
            <w:vAlign w:val="bottom"/>
            <w:gridSpan w:val="2"/>
          </w:tcPr>
          <w:p>
            <w:pPr>
              <w:jc w:val="center"/>
              <w:spacing w:after="0" w:line="112" w:lineRule="exact"/>
              <w:rPr>
                <w:sz w:val="20"/>
                <w:szCs w:val="20"/>
                <w:color w:val="auto"/>
              </w:rPr>
            </w:pPr>
            <w:r>
              <w:rPr>
                <w:rFonts w:ascii="Arial" w:cs="Arial" w:eastAsia="Arial" w:hAnsi="Arial"/>
                <w:sz w:val="12"/>
                <w:szCs w:val="12"/>
                <w:color w:val="auto"/>
                <w:w w:val="99"/>
              </w:rPr>
              <w:t>03/01/2022</w:t>
            </w:r>
          </w:p>
        </w:tc>
        <w:tc>
          <w:tcPr>
            <w:tcW w:w="820" w:type="dxa"/>
            <w:vAlign w:val="bottom"/>
          </w:tcPr>
          <w:p>
            <w:pPr>
              <w:jc w:val="right"/>
              <w:spacing w:after="0" w:line="112"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12"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12"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line="112"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00"/>
              <w:spacing w:after="0" w:line="112" w:lineRule="exact"/>
              <w:rPr>
                <w:sz w:val="20"/>
                <w:szCs w:val="20"/>
                <w:color w:val="auto"/>
              </w:rPr>
            </w:pPr>
            <w:r>
              <w:rPr>
                <w:rFonts w:ascii="Arial" w:cs="Arial" w:eastAsia="Arial" w:hAnsi="Arial"/>
                <w:sz w:val="12"/>
                <w:szCs w:val="12"/>
                <w:color w:val="auto"/>
              </w:rPr>
              <w:t>22,089</w:t>
            </w:r>
          </w:p>
        </w:tc>
        <w:tc>
          <w:tcPr>
            <w:tcW w:w="720" w:type="dxa"/>
            <w:vAlign w:val="bottom"/>
          </w:tcPr>
          <w:p>
            <w:pPr>
              <w:jc w:val="right"/>
              <w:spacing w:after="0" w:line="112" w:lineRule="exact"/>
              <w:rPr>
                <w:sz w:val="20"/>
                <w:szCs w:val="20"/>
                <w:color w:val="auto"/>
              </w:rPr>
            </w:pPr>
            <w:r>
              <w:rPr>
                <w:rFonts w:ascii="Arial" w:cs="Arial" w:eastAsia="Arial" w:hAnsi="Arial"/>
                <w:sz w:val="12"/>
                <w:szCs w:val="12"/>
                <w:color w:val="auto"/>
              </w:rPr>
              <w:t>508,047</w:t>
            </w:r>
          </w:p>
        </w:tc>
        <w:tc>
          <w:tcPr>
            <w:tcW w:w="1160" w:type="dxa"/>
            <w:vAlign w:val="bottom"/>
          </w:tcPr>
          <w:p>
            <w:pPr>
              <w:jc w:val="right"/>
              <w:spacing w:after="0" w:line="112" w:lineRule="exact"/>
              <w:rPr>
                <w:sz w:val="20"/>
                <w:szCs w:val="20"/>
                <w:color w:val="auto"/>
              </w:rPr>
            </w:pPr>
            <w:r>
              <w:rPr>
                <w:rFonts w:ascii="Arial" w:cs="Arial" w:eastAsia="Arial" w:hAnsi="Arial"/>
                <w:sz w:val="9"/>
                <w:szCs w:val="9"/>
                <w:color w:val="auto"/>
              </w:rPr>
              <w:t>16,283</w:t>
            </w:r>
            <w:r>
              <w:rPr>
                <w:rFonts w:ascii="Arial" w:cs="Arial" w:eastAsia="Arial" w:hAnsi="Arial"/>
                <w:sz w:val="12"/>
                <w:szCs w:val="12"/>
                <w:color w:val="auto"/>
                <w:vertAlign w:val="superscript"/>
              </w:rPr>
              <w:t>(5)</w:t>
            </w:r>
          </w:p>
        </w:tc>
        <w:tc>
          <w:tcPr>
            <w:tcW w:w="1180" w:type="dxa"/>
            <w:vAlign w:val="bottom"/>
          </w:tcPr>
          <w:p>
            <w:pPr>
              <w:jc w:val="right"/>
              <w:spacing w:after="0" w:line="112" w:lineRule="exact"/>
              <w:rPr>
                <w:sz w:val="20"/>
                <w:szCs w:val="20"/>
                <w:color w:val="auto"/>
              </w:rPr>
            </w:pPr>
            <w:r>
              <w:rPr>
                <w:rFonts w:ascii="Arial" w:cs="Arial" w:eastAsia="Arial" w:hAnsi="Arial"/>
                <w:sz w:val="12"/>
                <w:szCs w:val="12"/>
                <w:color w:val="auto"/>
              </w:rPr>
              <w:t>374,509</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9"/>
              </w:rPr>
              <w:t>03/01/2021</w:t>
            </w:r>
          </w:p>
        </w:tc>
        <w:tc>
          <w:tcPr>
            <w:tcW w:w="8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00"/>
              <w:spacing w:after="0" w:line="130" w:lineRule="exact"/>
              <w:rPr>
                <w:sz w:val="20"/>
                <w:szCs w:val="20"/>
                <w:color w:val="auto"/>
              </w:rPr>
            </w:pPr>
            <w:r>
              <w:rPr>
                <w:rFonts w:ascii="Arial" w:cs="Arial" w:eastAsia="Arial" w:hAnsi="Arial"/>
                <w:sz w:val="12"/>
                <w:szCs w:val="12"/>
                <w:color w:val="auto"/>
              </w:rPr>
              <w:t>11,009</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253,207</w:t>
            </w:r>
          </w:p>
        </w:tc>
        <w:tc>
          <w:tcPr>
            <w:tcW w:w="1160" w:type="dxa"/>
            <w:vAlign w:val="bottom"/>
          </w:tcPr>
          <w:p>
            <w:pPr>
              <w:jc w:val="right"/>
              <w:spacing w:after="0" w:line="130" w:lineRule="exact"/>
              <w:rPr>
                <w:sz w:val="20"/>
                <w:szCs w:val="20"/>
                <w:color w:val="auto"/>
              </w:rPr>
            </w:pPr>
            <w:r>
              <w:rPr>
                <w:rFonts w:ascii="Arial" w:cs="Arial" w:eastAsia="Arial" w:hAnsi="Arial"/>
                <w:sz w:val="10"/>
                <w:szCs w:val="10"/>
                <w:color w:val="auto"/>
              </w:rPr>
              <w:t>12,846</w:t>
            </w:r>
            <w:r>
              <w:rPr>
                <w:rFonts w:ascii="Arial" w:cs="Arial" w:eastAsia="Arial" w:hAnsi="Arial"/>
                <w:sz w:val="15"/>
                <w:szCs w:val="15"/>
                <w:color w:val="auto"/>
                <w:vertAlign w:val="superscript"/>
              </w:rPr>
              <w:t>(6)</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295,458</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9"/>
              </w:rPr>
              <w:t>03/17/2020</w:t>
            </w:r>
          </w:p>
        </w:tc>
        <w:tc>
          <w:tcPr>
            <w:tcW w:w="8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00"/>
              <w:spacing w:after="0" w:line="130" w:lineRule="exact"/>
              <w:rPr>
                <w:sz w:val="20"/>
                <w:szCs w:val="20"/>
                <w:color w:val="auto"/>
              </w:rPr>
            </w:pPr>
            <w:r>
              <w:rPr>
                <w:rFonts w:ascii="Arial" w:cs="Arial" w:eastAsia="Arial" w:hAnsi="Arial"/>
                <w:sz w:val="12"/>
                <w:szCs w:val="12"/>
                <w:color w:val="auto"/>
              </w:rPr>
              <w:t>7,209</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105,807</w:t>
            </w:r>
          </w:p>
        </w:tc>
        <w:tc>
          <w:tcPr>
            <w:tcW w:w="1160" w:type="dxa"/>
            <w:vAlign w:val="bottom"/>
          </w:tcPr>
          <w:p>
            <w:pPr>
              <w:jc w:val="right"/>
              <w:spacing w:after="0" w:line="130" w:lineRule="exact"/>
              <w:rPr>
                <w:sz w:val="20"/>
                <w:szCs w:val="20"/>
                <w:color w:val="auto"/>
              </w:rPr>
            </w:pPr>
            <w:r>
              <w:rPr>
                <w:rFonts w:ascii="Arial" w:cs="Arial" w:eastAsia="Arial" w:hAnsi="Arial"/>
                <w:sz w:val="10"/>
                <w:szCs w:val="10"/>
                <w:color w:val="auto"/>
              </w:rPr>
              <w:t>18,327</w:t>
            </w:r>
            <w:r>
              <w:rPr>
                <w:rFonts w:ascii="Arial" w:cs="Arial" w:eastAsia="Arial" w:hAnsi="Arial"/>
                <w:sz w:val="15"/>
                <w:szCs w:val="15"/>
                <w:color w:val="auto"/>
                <w:vertAlign w:val="superscript"/>
              </w:rPr>
              <w:t>(7)</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421,521</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9"/>
              </w:rPr>
              <w:t>02/21/2017</w:t>
            </w:r>
          </w:p>
        </w:tc>
        <w:tc>
          <w:tcPr>
            <w:tcW w:w="820" w:type="dxa"/>
            <w:vAlign w:val="bottom"/>
          </w:tcPr>
          <w:p>
            <w:pPr>
              <w:jc w:val="right"/>
              <w:spacing w:after="0" w:line="130" w:lineRule="exact"/>
              <w:rPr>
                <w:sz w:val="20"/>
                <w:szCs w:val="20"/>
                <w:color w:val="auto"/>
              </w:rPr>
            </w:pPr>
            <w:r>
              <w:rPr>
                <w:rFonts w:ascii="Arial" w:cs="Arial" w:eastAsia="Arial" w:hAnsi="Arial"/>
                <w:sz w:val="12"/>
                <w:szCs w:val="12"/>
                <w:color w:val="auto"/>
              </w:rPr>
              <w:t>40,000</w:t>
            </w:r>
          </w:p>
        </w:tc>
        <w:tc>
          <w:tcPr>
            <w:tcW w:w="94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30" w:lineRule="exact"/>
              <w:rPr>
                <w:sz w:val="20"/>
                <w:szCs w:val="20"/>
                <w:color w:val="auto"/>
              </w:rPr>
            </w:pPr>
            <w:r>
              <w:rPr>
                <w:rFonts w:ascii="Arial" w:cs="Arial" w:eastAsia="Arial" w:hAnsi="Arial"/>
                <w:sz w:val="12"/>
                <w:szCs w:val="12"/>
                <w:color w:val="auto"/>
              </w:rPr>
              <w:t>20.12</w:t>
            </w:r>
          </w:p>
        </w:tc>
        <w:tc>
          <w:tcPr>
            <w:tcW w:w="760" w:type="dxa"/>
            <w:vAlign w:val="bottom"/>
          </w:tcPr>
          <w:p>
            <w:pPr>
              <w:jc w:val="right"/>
              <w:ind w:right="20"/>
              <w:spacing w:after="0" w:line="130" w:lineRule="exact"/>
              <w:rPr>
                <w:sz w:val="20"/>
                <w:szCs w:val="20"/>
                <w:color w:val="auto"/>
              </w:rPr>
            </w:pPr>
            <w:r>
              <w:rPr>
                <w:rFonts w:ascii="Arial" w:cs="Arial" w:eastAsia="Arial" w:hAnsi="Arial"/>
                <w:sz w:val="12"/>
                <w:szCs w:val="12"/>
                <w:color w:val="auto"/>
              </w:rPr>
              <w:t>02/21/2027</w:t>
            </w:r>
          </w:p>
        </w:tc>
        <w:tc>
          <w:tcPr>
            <w:tcW w:w="800" w:type="dxa"/>
            <w:vAlign w:val="bottom"/>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line="130"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9"/>
              </w:rPr>
              <w:t>02/23/2016</w:t>
            </w:r>
          </w:p>
        </w:tc>
        <w:tc>
          <w:tcPr>
            <w:tcW w:w="820" w:type="dxa"/>
            <w:vAlign w:val="bottom"/>
          </w:tcPr>
          <w:p>
            <w:pPr>
              <w:jc w:val="right"/>
              <w:spacing w:after="0" w:line="130" w:lineRule="exact"/>
              <w:rPr>
                <w:sz w:val="20"/>
                <w:szCs w:val="20"/>
                <w:color w:val="auto"/>
              </w:rPr>
            </w:pPr>
            <w:r>
              <w:rPr>
                <w:rFonts w:ascii="Arial" w:cs="Arial" w:eastAsia="Arial" w:hAnsi="Arial"/>
                <w:sz w:val="12"/>
                <w:szCs w:val="12"/>
                <w:color w:val="auto"/>
              </w:rPr>
              <w:t>43,400</w:t>
            </w:r>
          </w:p>
        </w:tc>
        <w:tc>
          <w:tcPr>
            <w:tcW w:w="94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30" w:lineRule="exact"/>
              <w:rPr>
                <w:sz w:val="20"/>
                <w:szCs w:val="20"/>
                <w:color w:val="auto"/>
              </w:rPr>
            </w:pPr>
            <w:r>
              <w:rPr>
                <w:rFonts w:ascii="Arial" w:cs="Arial" w:eastAsia="Arial" w:hAnsi="Arial"/>
                <w:sz w:val="12"/>
                <w:szCs w:val="12"/>
                <w:color w:val="auto"/>
              </w:rPr>
              <w:t>17.89</w:t>
            </w:r>
          </w:p>
        </w:tc>
        <w:tc>
          <w:tcPr>
            <w:tcW w:w="760" w:type="dxa"/>
            <w:vAlign w:val="bottom"/>
          </w:tcPr>
          <w:p>
            <w:pPr>
              <w:jc w:val="right"/>
              <w:ind w:right="20"/>
              <w:spacing w:after="0" w:line="130" w:lineRule="exact"/>
              <w:rPr>
                <w:sz w:val="20"/>
                <w:szCs w:val="20"/>
                <w:color w:val="auto"/>
              </w:rPr>
            </w:pPr>
            <w:r>
              <w:rPr>
                <w:rFonts w:ascii="Arial" w:cs="Arial" w:eastAsia="Arial" w:hAnsi="Arial"/>
                <w:sz w:val="12"/>
                <w:szCs w:val="12"/>
                <w:color w:val="auto"/>
              </w:rPr>
              <w:t>02/23/2026</w:t>
            </w:r>
          </w:p>
        </w:tc>
        <w:tc>
          <w:tcPr>
            <w:tcW w:w="800" w:type="dxa"/>
            <w:vAlign w:val="bottom"/>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line="130"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9"/>
              </w:rPr>
              <w:t>01/26/2015</w:t>
            </w:r>
          </w:p>
        </w:tc>
        <w:tc>
          <w:tcPr>
            <w:tcW w:w="820" w:type="dxa"/>
            <w:vAlign w:val="bottom"/>
          </w:tcPr>
          <w:p>
            <w:pPr>
              <w:jc w:val="right"/>
              <w:spacing w:after="0" w:line="130" w:lineRule="exact"/>
              <w:rPr>
                <w:sz w:val="20"/>
                <w:szCs w:val="20"/>
                <w:color w:val="auto"/>
              </w:rPr>
            </w:pPr>
            <w:r>
              <w:rPr>
                <w:rFonts w:ascii="Arial" w:cs="Arial" w:eastAsia="Arial" w:hAnsi="Arial"/>
                <w:sz w:val="12"/>
                <w:szCs w:val="12"/>
                <w:color w:val="auto"/>
              </w:rPr>
              <w:t>37,795</w:t>
            </w:r>
          </w:p>
        </w:tc>
        <w:tc>
          <w:tcPr>
            <w:tcW w:w="94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line="130" w:lineRule="exact"/>
              <w:rPr>
                <w:sz w:val="20"/>
                <w:szCs w:val="20"/>
                <w:color w:val="auto"/>
              </w:rPr>
            </w:pPr>
            <w:r>
              <w:rPr>
                <w:rFonts w:ascii="Arial" w:cs="Arial" w:eastAsia="Arial" w:hAnsi="Arial"/>
                <w:sz w:val="12"/>
                <w:szCs w:val="12"/>
                <w:color w:val="auto"/>
              </w:rPr>
              <w:t>19.08</w:t>
            </w:r>
          </w:p>
        </w:tc>
        <w:tc>
          <w:tcPr>
            <w:tcW w:w="760" w:type="dxa"/>
            <w:vAlign w:val="bottom"/>
          </w:tcPr>
          <w:p>
            <w:pPr>
              <w:jc w:val="right"/>
              <w:ind w:right="20"/>
              <w:spacing w:after="0" w:line="130" w:lineRule="exact"/>
              <w:rPr>
                <w:sz w:val="20"/>
                <w:szCs w:val="20"/>
                <w:color w:val="auto"/>
              </w:rPr>
            </w:pPr>
            <w:r>
              <w:rPr>
                <w:rFonts w:ascii="Arial" w:cs="Arial" w:eastAsia="Arial" w:hAnsi="Arial"/>
                <w:sz w:val="12"/>
                <w:szCs w:val="12"/>
                <w:color w:val="auto"/>
              </w:rPr>
              <w:t>01/26/2025</w:t>
            </w:r>
          </w:p>
        </w:tc>
        <w:tc>
          <w:tcPr>
            <w:tcW w:w="800" w:type="dxa"/>
            <w:vAlign w:val="bottom"/>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line="130"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color w:val="auto"/>
                <w:w w:val="99"/>
              </w:rPr>
              <w:t>12/12/2013</w:t>
            </w:r>
          </w:p>
        </w:tc>
        <w:tc>
          <w:tcPr>
            <w:tcW w:w="820" w:type="dxa"/>
            <w:vAlign w:val="bottom"/>
          </w:tcPr>
          <w:p>
            <w:pPr>
              <w:jc w:val="right"/>
              <w:spacing w:after="0"/>
              <w:rPr>
                <w:sz w:val="20"/>
                <w:szCs w:val="20"/>
                <w:color w:val="auto"/>
              </w:rPr>
            </w:pPr>
            <w:r>
              <w:rPr>
                <w:rFonts w:ascii="Arial" w:cs="Arial" w:eastAsia="Arial" w:hAnsi="Arial"/>
                <w:sz w:val="12"/>
                <w:szCs w:val="12"/>
                <w:color w:val="auto"/>
              </w:rPr>
              <w:t>21,747</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20.51</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12/12/2023</w:t>
            </w: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1560" w:type="dxa"/>
            <w:vAlign w:val="bottom"/>
            <w:tcBorders>
              <w:bottom w:val="single" w:sz="8" w:color="284993"/>
            </w:tcBorders>
            <w:shd w:val="clear" w:color="auto" w:fill="9DBDE4"/>
          </w:tcPr>
          <w:p>
            <w:pPr>
              <w:ind w:left="60"/>
              <w:spacing w:after="0" w:line="130" w:lineRule="exact"/>
              <w:rPr>
                <w:sz w:val="20"/>
                <w:szCs w:val="20"/>
                <w:color w:val="auto"/>
              </w:rPr>
            </w:pPr>
            <w:r>
              <w:rPr>
                <w:rFonts w:ascii="Arial" w:cs="Arial" w:eastAsia="Arial" w:hAnsi="Arial"/>
                <w:sz w:val="10"/>
                <w:szCs w:val="10"/>
                <w:color w:val="auto"/>
              </w:rPr>
              <w:t>Evanthia Aretakis</w:t>
            </w:r>
            <w:r>
              <w:rPr>
                <w:rFonts w:ascii="Arial" w:cs="Arial" w:eastAsia="Arial" w:hAnsi="Arial"/>
                <w:sz w:val="15"/>
                <w:szCs w:val="15"/>
                <w:color w:val="auto"/>
                <w:vertAlign w:val="superscript"/>
              </w:rPr>
              <w:t>(11)</w:t>
            </w:r>
          </w:p>
        </w:tc>
        <w:tc>
          <w:tcPr>
            <w:tcW w:w="60" w:type="dxa"/>
            <w:vAlign w:val="bottom"/>
            <w:tcBorders>
              <w:bottom w:val="single" w:sz="8" w:color="284993"/>
            </w:tcBorders>
            <w:shd w:val="clear" w:color="auto" w:fill="9DBDE4"/>
          </w:tcPr>
          <w:p>
            <w:pPr>
              <w:spacing w:after="0"/>
              <w:rPr>
                <w:sz w:val="11"/>
                <w:szCs w:val="11"/>
                <w:color w:val="auto"/>
              </w:rPr>
            </w:pPr>
          </w:p>
        </w:tc>
        <w:tc>
          <w:tcPr>
            <w:tcW w:w="600" w:type="dxa"/>
            <w:vAlign w:val="bottom"/>
            <w:tcBorders>
              <w:bottom w:val="single" w:sz="8" w:color="284993"/>
            </w:tcBorders>
            <w:shd w:val="clear" w:color="auto" w:fill="9DBDE4"/>
          </w:tcPr>
          <w:p>
            <w:pPr>
              <w:spacing w:after="0"/>
              <w:rPr>
                <w:sz w:val="11"/>
                <w:szCs w:val="11"/>
                <w:color w:val="auto"/>
              </w:rPr>
            </w:pPr>
          </w:p>
        </w:tc>
        <w:tc>
          <w:tcPr>
            <w:tcW w:w="820" w:type="dxa"/>
            <w:vAlign w:val="bottom"/>
            <w:tcBorders>
              <w:bottom w:val="single" w:sz="8" w:color="284993"/>
            </w:tcBorders>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284993"/>
            </w:tcBorders>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284993"/>
            </w:tcBorders>
            <w:shd w:val="clear" w:color="auto" w:fill="9DBDE4"/>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284993"/>
            </w:tcBorders>
            <w:shd w:val="clear" w:color="auto" w:fill="9DBDE4"/>
          </w:tcPr>
          <w:p>
            <w:pPr>
              <w:jc w:val="right"/>
              <w:ind w:right="20"/>
              <w:spacing w:after="0" w:line="130"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284993"/>
            </w:tcBorders>
            <w:shd w:val="clear" w:color="auto" w:fill="9DBDE4"/>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284993"/>
            </w:tcBorders>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1160" w:type="dxa"/>
            <w:vAlign w:val="bottom"/>
            <w:tcBorders>
              <w:bottom w:val="single" w:sz="8" w:color="284993"/>
            </w:tcBorders>
            <w:shd w:val="clear" w:color="auto" w:fill="9DBDE4"/>
          </w:tcPr>
          <w:p>
            <w:pPr>
              <w:jc w:val="right"/>
              <w:ind w:right="143"/>
              <w:spacing w:after="0" w:line="130" w:lineRule="exact"/>
              <w:rPr>
                <w:sz w:val="20"/>
                <w:szCs w:val="20"/>
                <w:color w:val="auto"/>
              </w:rPr>
            </w:pPr>
            <w:r>
              <w:rPr>
                <w:rFonts w:ascii="Arial" w:cs="Arial" w:eastAsia="Arial" w:hAnsi="Arial"/>
                <w:sz w:val="12"/>
                <w:szCs w:val="12"/>
                <w:color w:val="auto"/>
              </w:rPr>
              <w:t>-</w:t>
            </w:r>
          </w:p>
        </w:tc>
        <w:tc>
          <w:tcPr>
            <w:tcW w:w="1180" w:type="dxa"/>
            <w:vAlign w:val="bottom"/>
            <w:tcBorders>
              <w:bottom w:val="single" w:sz="8" w:color="284993"/>
            </w:tcBorders>
            <w:shd w:val="clear" w:color="auto" w:fill="9DBDE4"/>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-3461385</wp:posOffset>
            </wp:positionV>
            <wp:extent cx="5920740" cy="11017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20740" cy="1101725"/>
                    </a:xfrm>
                    <a:prstGeom prst="rect">
                      <a:avLst/>
                    </a:prstGeom>
                    <a:noFill/>
                  </pic:spPr>
                </pic:pic>
              </a:graphicData>
            </a:graphic>
          </wp:anchor>
        </w:drawing>
      </w:r>
    </w:p>
    <w:p>
      <w:pPr>
        <w:ind w:left="280" w:hanging="278"/>
        <w:spacing w:after="0" w:line="233" w:lineRule="auto"/>
        <w:tabs>
          <w:tab w:leader="none" w:pos="280" w:val="left"/>
        </w:tabs>
        <w:numPr>
          <w:ilvl w:val="0"/>
          <w:numId w:val="55"/>
        </w:numPr>
        <w:rPr>
          <w:rFonts w:ascii="Arial" w:cs="Arial" w:eastAsia="Arial" w:hAnsi="Arial"/>
          <w:sz w:val="18"/>
          <w:szCs w:val="18"/>
          <w:color w:val="auto"/>
          <w:vertAlign w:val="superscript"/>
        </w:rPr>
      </w:pPr>
      <w:r>
        <w:rPr>
          <w:rFonts w:ascii="Arial" w:cs="Arial" w:eastAsia="Arial" w:hAnsi="Arial"/>
          <w:sz w:val="12"/>
          <w:szCs w:val="12"/>
          <w:color w:val="auto"/>
        </w:rPr>
        <w:t>Unless otherwise noted, all restricted stock units become exercisable as follows: One-third on each of the first three anniversaries of the date of grant.</w:t>
      </w:r>
    </w:p>
    <w:p>
      <w:pPr>
        <w:ind w:left="280" w:right="200" w:hanging="278"/>
        <w:spacing w:after="0" w:line="180" w:lineRule="auto"/>
        <w:tabs>
          <w:tab w:leader="none" w:pos="280" w:val="left"/>
        </w:tabs>
        <w:numPr>
          <w:ilvl w:val="0"/>
          <w:numId w:val="55"/>
        </w:numPr>
        <w:rPr>
          <w:rFonts w:ascii="Arial" w:cs="Arial" w:eastAsia="Arial" w:hAnsi="Arial"/>
          <w:sz w:val="18"/>
          <w:szCs w:val="18"/>
          <w:color w:val="auto"/>
          <w:vertAlign w:val="superscript"/>
        </w:rPr>
      </w:pPr>
      <w:r>
        <w:rPr>
          <w:rFonts w:ascii="Arial" w:cs="Arial" w:eastAsia="Arial" w:hAnsi="Arial"/>
          <w:sz w:val="12"/>
          <w:szCs w:val="12"/>
          <w:color w:val="auto"/>
        </w:rPr>
        <w:t>The market value of the stock awards that have not vested is calculated by multiplying the number of shares set forth in column (g) or (i) (as applicable) by the closing price of our common stock at December 30, 2022 (the last trading day of 2022), $23.00 per share.</w:t>
      </w:r>
    </w:p>
    <w:p>
      <w:pPr>
        <w:ind w:left="280" w:hanging="278"/>
        <w:spacing w:after="0" w:line="180" w:lineRule="auto"/>
        <w:tabs>
          <w:tab w:leader="none" w:pos="280" w:val="left"/>
        </w:tabs>
        <w:numPr>
          <w:ilvl w:val="0"/>
          <w:numId w:val="55"/>
        </w:numPr>
        <w:rPr>
          <w:rFonts w:ascii="Arial" w:cs="Arial" w:eastAsia="Arial" w:hAnsi="Arial"/>
          <w:sz w:val="15"/>
          <w:szCs w:val="15"/>
          <w:color w:val="auto"/>
          <w:vertAlign w:val="superscript"/>
        </w:rPr>
      </w:pPr>
      <w:r>
        <w:rPr>
          <w:rFonts w:ascii="Arial" w:cs="Arial" w:eastAsia="Arial" w:hAnsi="Arial"/>
          <w:sz w:val="10"/>
          <w:szCs w:val="10"/>
          <w:color w:val="auto"/>
        </w:rPr>
        <w:t>Mr. Puppala’s restricted stock units vest in substantially equal installments on each of the first two anniversaries of the grant date.</w:t>
      </w:r>
    </w:p>
    <w:p>
      <w:pPr>
        <w:ind w:left="280" w:hanging="278"/>
        <w:spacing w:after="0" w:line="180" w:lineRule="auto"/>
        <w:tabs>
          <w:tab w:leader="none" w:pos="280" w:val="left"/>
        </w:tabs>
        <w:numPr>
          <w:ilvl w:val="0"/>
          <w:numId w:val="55"/>
        </w:numPr>
        <w:rPr>
          <w:rFonts w:ascii="Arial" w:cs="Arial" w:eastAsia="Arial" w:hAnsi="Arial"/>
          <w:sz w:val="15"/>
          <w:szCs w:val="15"/>
          <w:color w:val="auto"/>
          <w:vertAlign w:val="superscript"/>
        </w:rPr>
      </w:pPr>
      <w:r>
        <w:rPr>
          <w:rFonts w:ascii="Arial" w:cs="Arial" w:eastAsia="Arial" w:hAnsi="Arial"/>
          <w:sz w:val="10"/>
          <w:szCs w:val="10"/>
          <w:color w:val="auto"/>
        </w:rPr>
        <w:t>Mr. Silva and Ms. Guerra’s restricted stock units vest in substantially equal installments quarterly for three years following the grant date.</w:t>
      </w:r>
    </w:p>
    <w:p>
      <w:pPr>
        <w:ind w:left="280" w:right="20" w:hanging="278"/>
        <w:spacing w:after="0" w:line="180" w:lineRule="auto"/>
        <w:tabs>
          <w:tab w:leader="none" w:pos="280" w:val="left"/>
        </w:tabs>
        <w:numPr>
          <w:ilvl w:val="0"/>
          <w:numId w:val="55"/>
        </w:numPr>
        <w:rPr>
          <w:rFonts w:ascii="Arial" w:cs="Arial" w:eastAsia="Arial" w:hAnsi="Arial"/>
          <w:sz w:val="18"/>
          <w:szCs w:val="18"/>
          <w:color w:val="auto"/>
          <w:vertAlign w:val="superscript"/>
        </w:rPr>
      </w:pPr>
      <w:r>
        <w:rPr>
          <w:rFonts w:ascii="Arial" w:cs="Arial" w:eastAsia="Arial" w:hAnsi="Arial"/>
          <w:sz w:val="12"/>
          <w:szCs w:val="12"/>
          <w:color w:val="auto"/>
        </w:rPr>
        <w:t>2022 LTIP Performance Shares that have a three-year performance period (March 1, 2022 – February 28, 2025) and vest, if at all, following February 28, 2025, based on relative total shareholder return versus the applicable peer group. The number of shares denoted is the number issuable for on-target performance.</w:t>
      </w:r>
    </w:p>
    <w:p>
      <w:pPr>
        <w:ind w:left="280" w:right="480" w:hanging="278"/>
        <w:spacing w:after="0" w:line="180" w:lineRule="auto"/>
        <w:tabs>
          <w:tab w:leader="none" w:pos="280" w:val="left"/>
        </w:tabs>
        <w:numPr>
          <w:ilvl w:val="0"/>
          <w:numId w:val="55"/>
        </w:numPr>
        <w:rPr>
          <w:rFonts w:ascii="Arial" w:cs="Arial" w:eastAsia="Arial" w:hAnsi="Arial"/>
          <w:sz w:val="18"/>
          <w:szCs w:val="18"/>
          <w:color w:val="auto"/>
          <w:vertAlign w:val="superscript"/>
        </w:rPr>
      </w:pPr>
      <w:r>
        <w:rPr>
          <w:rFonts w:ascii="Arial" w:cs="Arial" w:eastAsia="Arial" w:hAnsi="Arial"/>
          <w:sz w:val="12"/>
          <w:szCs w:val="12"/>
          <w:color w:val="auto"/>
        </w:rPr>
        <w:t>2021 LTIP Performance Shares that have a three-year performance period (2021 – 2023) and vest, if at all, following December 31, 2023, based on relative total shareholder return versus the applicable peer group. The number of shares denoted is the number issuable for on-target performance.</w:t>
      </w:r>
    </w:p>
    <w:p>
      <w:pPr>
        <w:ind w:left="280" w:right="480" w:hanging="278"/>
        <w:spacing w:after="0" w:line="180" w:lineRule="auto"/>
        <w:tabs>
          <w:tab w:leader="none" w:pos="280" w:val="left"/>
        </w:tabs>
        <w:numPr>
          <w:ilvl w:val="0"/>
          <w:numId w:val="55"/>
        </w:numPr>
        <w:rPr>
          <w:rFonts w:ascii="Arial" w:cs="Arial" w:eastAsia="Arial" w:hAnsi="Arial"/>
          <w:sz w:val="18"/>
          <w:szCs w:val="18"/>
          <w:color w:val="auto"/>
          <w:vertAlign w:val="superscript"/>
        </w:rPr>
      </w:pPr>
      <w:r>
        <w:rPr>
          <w:rFonts w:ascii="Arial" w:cs="Arial" w:eastAsia="Arial" w:hAnsi="Arial"/>
          <w:sz w:val="12"/>
          <w:szCs w:val="12"/>
          <w:color w:val="auto"/>
        </w:rPr>
        <w:t>2020 LTIP Performance Shares that have a three-year performance period (2020 – 2022) and vest, if at all, following December 31, 2022, based on relative total shareholder return versus the applicable peer group. The number of shares denoted is the number issuable for on-target performance.</w:t>
      </w:r>
    </w:p>
    <w:p>
      <w:pPr>
        <w:ind w:left="280" w:right="140" w:hanging="278"/>
        <w:spacing w:after="0" w:line="180" w:lineRule="auto"/>
        <w:tabs>
          <w:tab w:leader="none" w:pos="280" w:val="left"/>
        </w:tabs>
        <w:numPr>
          <w:ilvl w:val="0"/>
          <w:numId w:val="55"/>
        </w:numPr>
        <w:rPr>
          <w:rFonts w:ascii="Arial" w:cs="Arial" w:eastAsia="Arial" w:hAnsi="Arial"/>
          <w:sz w:val="18"/>
          <w:szCs w:val="18"/>
          <w:color w:val="auto"/>
          <w:vertAlign w:val="superscript"/>
        </w:rPr>
      </w:pPr>
      <w:r>
        <w:rPr>
          <w:rFonts w:ascii="Arial" w:cs="Arial" w:eastAsia="Arial" w:hAnsi="Arial"/>
          <w:sz w:val="12"/>
          <w:szCs w:val="12"/>
          <w:color w:val="auto"/>
        </w:rPr>
        <w:t>Mr. Almeida’s employment terminated as President &amp; CEO of ACI Worldwide, Inc. effective on November 7, 2022. Amounts reported for Mr. Almeida represent pro-rata portions of the awards outstanding as of December 31, 2022 and eligible to vest pursuant to the 2022 CEO Severance Agreement.</w:t>
      </w:r>
    </w:p>
    <w:p>
      <w:pPr>
        <w:ind w:left="280" w:right="40" w:hanging="278"/>
        <w:spacing w:after="0" w:line="200" w:lineRule="auto"/>
        <w:tabs>
          <w:tab w:leader="none" w:pos="280" w:val="left"/>
        </w:tabs>
        <w:numPr>
          <w:ilvl w:val="0"/>
          <w:numId w:val="55"/>
        </w:numPr>
        <w:rPr>
          <w:rFonts w:ascii="Arial" w:cs="Arial" w:eastAsia="Arial" w:hAnsi="Arial"/>
          <w:sz w:val="18"/>
          <w:szCs w:val="18"/>
          <w:color w:val="auto"/>
          <w:vertAlign w:val="superscript"/>
        </w:rPr>
      </w:pPr>
      <w:r>
        <w:rPr>
          <w:rFonts w:ascii="Arial" w:cs="Arial" w:eastAsia="Arial" w:hAnsi="Arial"/>
          <w:sz w:val="12"/>
          <w:szCs w:val="12"/>
          <w:color w:val="auto"/>
        </w:rPr>
        <w:t>Mr. Warsop was a director and the non-executive Chair of the Company’s Board of Directors, and he ceased receiving compensation for such service with his appointment as Interim CEO on November 7, 2022. This amount reflects an RSU award that he received for his service as a non-employee member of the Board prior to his appointment as Interim CEO, which RSU award generally vests on the earlier of (a) the first anniversary of the grant date, and (b) the date of the Company’s next annual meeting of stockholders.</w:t>
      </w:r>
    </w:p>
    <w:p>
      <w:pPr>
        <w:ind w:left="280" w:hanging="278"/>
        <w:spacing w:after="0" w:line="180" w:lineRule="auto"/>
        <w:tabs>
          <w:tab w:leader="none" w:pos="280" w:val="left"/>
        </w:tabs>
        <w:numPr>
          <w:ilvl w:val="0"/>
          <w:numId w:val="55"/>
        </w:numPr>
        <w:rPr>
          <w:rFonts w:ascii="Arial" w:cs="Arial" w:eastAsia="Arial" w:hAnsi="Arial"/>
          <w:sz w:val="15"/>
          <w:szCs w:val="15"/>
          <w:color w:val="auto"/>
          <w:vertAlign w:val="superscript"/>
        </w:rPr>
      </w:pPr>
      <w:r>
        <w:rPr>
          <w:rFonts w:ascii="Arial" w:cs="Arial" w:eastAsia="Arial" w:hAnsi="Arial"/>
          <w:sz w:val="10"/>
          <w:szCs w:val="10"/>
          <w:color w:val="auto"/>
        </w:rPr>
        <w:t>During his service as Special Advisor to the CEO, Mr. Wilmot remained eligible to vest in his outstanding equity awards in accordance with their terms.</w:t>
      </w:r>
    </w:p>
    <w:p>
      <w:pPr>
        <w:ind w:left="280" w:right="300" w:hanging="278"/>
        <w:spacing w:after="0" w:line="192" w:lineRule="auto"/>
        <w:tabs>
          <w:tab w:leader="none" w:pos="280" w:val="left"/>
        </w:tabs>
        <w:numPr>
          <w:ilvl w:val="0"/>
          <w:numId w:val="55"/>
        </w:numPr>
        <w:rPr>
          <w:rFonts w:ascii="Arial" w:cs="Arial" w:eastAsia="Arial" w:hAnsi="Arial"/>
          <w:sz w:val="18"/>
          <w:szCs w:val="18"/>
          <w:color w:val="auto"/>
          <w:vertAlign w:val="superscript"/>
        </w:rPr>
      </w:pPr>
      <w:r>
        <w:rPr>
          <w:rFonts w:ascii="Arial" w:cs="Arial" w:eastAsia="Arial" w:hAnsi="Arial"/>
          <w:sz w:val="12"/>
          <w:szCs w:val="12"/>
          <w:color w:val="auto"/>
        </w:rPr>
        <w:t>Mrs. Aretakis, former Chief Revenue Officer, terminated her employment with the Company effective on May 6, 2022, which resulted in all outstanding awards being forfeited.</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73</w:t>
      </w:r>
    </w:p>
    <w:p>
      <w:pPr>
        <w:sectPr>
          <w:pgSz w:w="11900" w:h="16838" w:orient="portrait"/>
          <w:cols w:equalWidth="0" w:num="1">
            <w:col w:w="9320"/>
          </w:cols>
          <w:pgMar w:left="1280" w:top="285" w:right="1299" w:bottom="1440" w:gutter="0" w:footer="0" w:header="0"/>
        </w:sectPr>
      </w:pPr>
    </w:p>
    <w:bookmarkStart w:id="79" w:name="page80"/>
    <w:bookmarkEnd w:id="79"/>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2022 Option Exercises and Stock Vested</w:t>
      </w:r>
    </w:p>
    <w:p>
      <w:pPr>
        <w:spacing w:after="0" w:line="123" w:lineRule="exact"/>
        <w:rPr>
          <w:sz w:val="20"/>
          <w:szCs w:val="20"/>
          <w:color w:val="auto"/>
        </w:rPr>
      </w:pPr>
    </w:p>
    <w:p>
      <w:pPr>
        <w:ind w:right="780"/>
        <w:spacing w:after="0" w:line="263" w:lineRule="auto"/>
        <w:rPr>
          <w:sz w:val="20"/>
          <w:szCs w:val="20"/>
          <w:color w:val="auto"/>
        </w:rPr>
      </w:pPr>
      <w:r>
        <w:rPr>
          <w:rFonts w:ascii="Arial" w:cs="Arial" w:eastAsia="Arial" w:hAnsi="Arial"/>
          <w:sz w:val="16"/>
          <w:szCs w:val="16"/>
          <w:color w:val="auto"/>
        </w:rPr>
        <w:t>The following table sets forth option exercises and stock vested for each of our Named Executive Officers for the year ended December 31, 2022.</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FFFFFF"/>
        </w:rPr>
        <w:t>2022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5920740" cy="15786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20740" cy="157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460" w:type="dxa"/>
            <w:vAlign w:val="bottom"/>
            <w:shd w:val="clear" w:color="auto" w:fill="284993"/>
          </w:tcPr>
          <w:p>
            <w:pPr>
              <w:spacing w:after="0"/>
              <w:rPr>
                <w:sz w:val="14"/>
                <w:szCs w:val="14"/>
                <w:color w:val="auto"/>
              </w:rPr>
            </w:pPr>
          </w:p>
        </w:tc>
        <w:tc>
          <w:tcPr>
            <w:tcW w:w="3340" w:type="dxa"/>
            <w:vAlign w:val="bottom"/>
            <w:gridSpan w:val="2"/>
          </w:tcPr>
          <w:p>
            <w:pPr>
              <w:jc w:val="right"/>
              <w:ind w:right="1131"/>
              <w:spacing w:after="0"/>
              <w:rPr>
                <w:sz w:val="20"/>
                <w:szCs w:val="20"/>
                <w:color w:val="auto"/>
              </w:rPr>
            </w:pPr>
            <w:r>
              <w:rPr>
                <w:rFonts w:ascii="Arial" w:cs="Arial" w:eastAsia="Arial" w:hAnsi="Arial"/>
                <w:sz w:val="14"/>
                <w:szCs w:val="14"/>
                <w:b w:val="1"/>
                <w:bCs w:val="1"/>
                <w:color w:val="FFFFFF"/>
              </w:rPr>
              <w:t>Option Awards</w:t>
            </w:r>
          </w:p>
        </w:tc>
        <w:tc>
          <w:tcPr>
            <w:tcW w:w="3520" w:type="dxa"/>
            <w:vAlign w:val="bottom"/>
            <w:gridSpan w:val="2"/>
          </w:tcPr>
          <w:p>
            <w:pPr>
              <w:jc w:val="right"/>
              <w:ind w:right="1251"/>
              <w:spacing w:after="0"/>
              <w:rPr>
                <w:sz w:val="20"/>
                <w:szCs w:val="20"/>
                <w:color w:val="auto"/>
              </w:rPr>
            </w:pPr>
            <w:r>
              <w:rPr>
                <w:rFonts w:ascii="Arial" w:cs="Arial" w:eastAsia="Arial" w:hAnsi="Arial"/>
                <w:sz w:val="14"/>
                <w:szCs w:val="14"/>
                <w:b w:val="1"/>
                <w:bCs w:val="1"/>
                <w:color w:val="FFFFFF"/>
              </w:rPr>
              <w:t>Stock Awards</w:t>
            </w:r>
          </w:p>
        </w:tc>
      </w:tr>
      <w:tr>
        <w:trPr>
          <w:trHeight w:val="159"/>
        </w:trPr>
        <w:tc>
          <w:tcPr>
            <w:tcW w:w="2460" w:type="dxa"/>
            <w:vAlign w:val="bottom"/>
            <w:shd w:val="clear" w:color="auto" w:fill="284993"/>
          </w:tcPr>
          <w:p>
            <w:pPr>
              <w:spacing w:after="0"/>
              <w:rPr>
                <w:sz w:val="13"/>
                <w:szCs w:val="13"/>
                <w:color w:val="auto"/>
              </w:rPr>
            </w:pPr>
          </w:p>
        </w:tc>
        <w:tc>
          <w:tcPr>
            <w:tcW w:w="1660" w:type="dxa"/>
            <w:vAlign w:val="bottom"/>
            <w:shd w:val="clear" w:color="auto" w:fill="284993"/>
          </w:tcPr>
          <w:p>
            <w:pPr>
              <w:jc w:val="center"/>
              <w:spacing w:after="0" w:line="159" w:lineRule="exact"/>
              <w:rPr>
                <w:sz w:val="20"/>
                <w:szCs w:val="20"/>
                <w:color w:val="auto"/>
              </w:rPr>
            </w:pPr>
            <w:r>
              <w:rPr>
                <w:rFonts w:ascii="Arial" w:cs="Arial" w:eastAsia="Arial" w:hAnsi="Arial"/>
                <w:sz w:val="14"/>
                <w:szCs w:val="14"/>
                <w:b w:val="1"/>
                <w:bCs w:val="1"/>
                <w:color w:val="FFFFFF"/>
                <w:w w:val="99"/>
              </w:rPr>
              <w:t>Number of Shares</w:t>
            </w:r>
          </w:p>
        </w:tc>
        <w:tc>
          <w:tcPr>
            <w:tcW w:w="1680" w:type="dxa"/>
            <w:vAlign w:val="bottom"/>
            <w:shd w:val="clear" w:color="auto" w:fill="284993"/>
          </w:tcPr>
          <w:p>
            <w:pPr>
              <w:spacing w:after="0"/>
              <w:rPr>
                <w:sz w:val="13"/>
                <w:szCs w:val="13"/>
                <w:color w:val="auto"/>
              </w:rPr>
            </w:pPr>
          </w:p>
        </w:tc>
        <w:tc>
          <w:tcPr>
            <w:tcW w:w="1840" w:type="dxa"/>
            <w:vAlign w:val="bottom"/>
            <w:shd w:val="clear" w:color="auto" w:fill="284993"/>
          </w:tcPr>
          <w:p>
            <w:pPr>
              <w:spacing w:after="0"/>
              <w:rPr>
                <w:sz w:val="13"/>
                <w:szCs w:val="13"/>
                <w:color w:val="auto"/>
              </w:rPr>
            </w:pPr>
          </w:p>
        </w:tc>
        <w:tc>
          <w:tcPr>
            <w:tcW w:w="1680" w:type="dxa"/>
            <w:vAlign w:val="bottom"/>
            <w:shd w:val="clear" w:color="auto" w:fill="284993"/>
          </w:tcPr>
          <w:p>
            <w:pPr>
              <w:spacing w:after="0"/>
              <w:rPr>
                <w:sz w:val="13"/>
                <w:szCs w:val="13"/>
                <w:color w:val="auto"/>
              </w:rPr>
            </w:pPr>
          </w:p>
        </w:tc>
      </w:tr>
      <w:tr>
        <w:trPr>
          <w:trHeight w:val="152"/>
        </w:trPr>
        <w:tc>
          <w:tcPr>
            <w:tcW w:w="2460" w:type="dxa"/>
            <w:vAlign w:val="bottom"/>
            <w:shd w:val="clear" w:color="auto" w:fill="284993"/>
          </w:tcPr>
          <w:p>
            <w:pPr>
              <w:spacing w:after="0"/>
              <w:rPr>
                <w:sz w:val="13"/>
                <w:szCs w:val="13"/>
                <w:color w:val="auto"/>
              </w:rPr>
            </w:pPr>
          </w:p>
        </w:tc>
        <w:tc>
          <w:tcPr>
            <w:tcW w:w="166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w w:val="98"/>
              </w:rPr>
              <w:t>Acquired</w:t>
            </w:r>
          </w:p>
        </w:tc>
        <w:tc>
          <w:tcPr>
            <w:tcW w:w="168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w w:val="97"/>
              </w:rPr>
              <w:t>Value Realized on</w:t>
            </w:r>
          </w:p>
        </w:tc>
        <w:tc>
          <w:tcPr>
            <w:tcW w:w="184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w w:val="97"/>
              </w:rPr>
              <w:t>Number of Shares</w:t>
            </w:r>
          </w:p>
        </w:tc>
        <w:tc>
          <w:tcPr>
            <w:tcW w:w="168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w w:val="97"/>
              </w:rPr>
              <w:t>Value Realized on</w:t>
            </w:r>
          </w:p>
        </w:tc>
      </w:tr>
      <w:tr>
        <w:trPr>
          <w:trHeight w:val="159"/>
        </w:trPr>
        <w:tc>
          <w:tcPr>
            <w:tcW w:w="2460" w:type="dxa"/>
            <w:vAlign w:val="bottom"/>
            <w:shd w:val="clear" w:color="auto" w:fill="284993"/>
          </w:tcPr>
          <w:p>
            <w:pPr>
              <w:spacing w:after="0"/>
              <w:rPr>
                <w:sz w:val="13"/>
                <w:szCs w:val="13"/>
                <w:color w:val="auto"/>
              </w:rPr>
            </w:pPr>
          </w:p>
        </w:tc>
        <w:tc>
          <w:tcPr>
            <w:tcW w:w="1660" w:type="dxa"/>
            <w:vAlign w:val="bottom"/>
            <w:shd w:val="clear" w:color="auto" w:fill="284993"/>
          </w:tcPr>
          <w:p>
            <w:pPr>
              <w:jc w:val="center"/>
              <w:spacing w:after="0" w:line="159" w:lineRule="exact"/>
              <w:rPr>
                <w:sz w:val="20"/>
                <w:szCs w:val="20"/>
                <w:color w:val="auto"/>
              </w:rPr>
            </w:pPr>
            <w:r>
              <w:rPr>
                <w:rFonts w:ascii="Arial" w:cs="Arial" w:eastAsia="Arial" w:hAnsi="Arial"/>
                <w:sz w:val="14"/>
                <w:szCs w:val="14"/>
                <w:b w:val="1"/>
                <w:bCs w:val="1"/>
                <w:color w:val="FFFFFF"/>
                <w:w w:val="96"/>
              </w:rPr>
              <w:t>on Exercise</w:t>
            </w:r>
          </w:p>
        </w:tc>
        <w:tc>
          <w:tcPr>
            <w:tcW w:w="1680" w:type="dxa"/>
            <w:vAlign w:val="bottom"/>
            <w:shd w:val="clear" w:color="auto" w:fill="284993"/>
          </w:tcPr>
          <w:p>
            <w:pPr>
              <w:jc w:val="center"/>
              <w:spacing w:after="0" w:line="159" w:lineRule="exact"/>
              <w:rPr>
                <w:sz w:val="20"/>
                <w:szCs w:val="20"/>
                <w:color w:val="auto"/>
              </w:rPr>
            </w:pPr>
            <w:r>
              <w:rPr>
                <w:rFonts w:ascii="Arial" w:cs="Arial" w:eastAsia="Arial" w:hAnsi="Arial"/>
                <w:sz w:val="13"/>
                <w:szCs w:val="13"/>
                <w:b w:val="1"/>
                <w:bCs w:val="1"/>
                <w:color w:val="FFFFFF"/>
              </w:rPr>
              <w:t>Exercise</w:t>
            </w:r>
            <w:r>
              <w:rPr>
                <w:rFonts w:ascii="Arial" w:cs="Arial" w:eastAsia="Arial" w:hAnsi="Arial"/>
                <w:sz w:val="18"/>
                <w:szCs w:val="18"/>
                <w:b w:val="1"/>
                <w:bCs w:val="1"/>
                <w:color w:val="FFFFFF"/>
                <w:vertAlign w:val="superscript"/>
              </w:rPr>
              <w:t>(1)</w:t>
            </w:r>
          </w:p>
        </w:tc>
        <w:tc>
          <w:tcPr>
            <w:tcW w:w="1840" w:type="dxa"/>
            <w:vAlign w:val="bottom"/>
            <w:shd w:val="clear" w:color="auto" w:fill="284993"/>
          </w:tcPr>
          <w:p>
            <w:pPr>
              <w:jc w:val="center"/>
              <w:spacing w:after="0" w:line="159" w:lineRule="exact"/>
              <w:rPr>
                <w:sz w:val="20"/>
                <w:szCs w:val="20"/>
                <w:color w:val="auto"/>
              </w:rPr>
            </w:pPr>
            <w:r>
              <w:rPr>
                <w:rFonts w:ascii="Arial" w:cs="Arial" w:eastAsia="Arial" w:hAnsi="Arial"/>
                <w:sz w:val="14"/>
                <w:szCs w:val="14"/>
                <w:b w:val="1"/>
                <w:bCs w:val="1"/>
                <w:color w:val="FFFFFF"/>
                <w:w w:val="98"/>
              </w:rPr>
              <w:t>Acquired on Vesting</w:t>
            </w:r>
          </w:p>
        </w:tc>
        <w:tc>
          <w:tcPr>
            <w:tcW w:w="1680" w:type="dxa"/>
            <w:vAlign w:val="bottom"/>
            <w:shd w:val="clear" w:color="auto" w:fill="284993"/>
          </w:tcPr>
          <w:p>
            <w:pPr>
              <w:jc w:val="center"/>
              <w:spacing w:after="0" w:line="159" w:lineRule="exact"/>
              <w:rPr>
                <w:sz w:val="20"/>
                <w:szCs w:val="20"/>
                <w:color w:val="auto"/>
              </w:rPr>
            </w:pPr>
            <w:r>
              <w:rPr>
                <w:rFonts w:ascii="Arial" w:cs="Arial" w:eastAsia="Arial" w:hAnsi="Arial"/>
                <w:sz w:val="13"/>
                <w:szCs w:val="13"/>
                <w:b w:val="1"/>
                <w:bCs w:val="1"/>
                <w:color w:val="FFFFFF"/>
              </w:rPr>
              <w:t>Vesting</w:t>
            </w:r>
            <w:r>
              <w:rPr>
                <w:rFonts w:ascii="Arial" w:cs="Arial" w:eastAsia="Arial" w:hAnsi="Arial"/>
                <w:sz w:val="18"/>
                <w:szCs w:val="18"/>
                <w:b w:val="1"/>
                <w:bCs w:val="1"/>
                <w:color w:val="FFFFFF"/>
                <w:vertAlign w:val="superscript"/>
              </w:rPr>
              <w:t>(1)</w:t>
            </w:r>
          </w:p>
        </w:tc>
      </w:tr>
      <w:tr>
        <w:trPr>
          <w:trHeight w:val="165"/>
        </w:trPr>
        <w:tc>
          <w:tcPr>
            <w:tcW w:w="2460" w:type="dxa"/>
            <w:vAlign w:val="bottom"/>
            <w:shd w:val="clear" w:color="auto" w:fill="284993"/>
          </w:tcPr>
          <w:p>
            <w:pPr>
              <w:ind w:left="220"/>
              <w:spacing w:after="0"/>
              <w:rPr>
                <w:sz w:val="20"/>
                <w:szCs w:val="20"/>
                <w:color w:val="auto"/>
              </w:rPr>
            </w:pPr>
            <w:r>
              <w:rPr>
                <w:rFonts w:ascii="Arial" w:cs="Arial" w:eastAsia="Arial" w:hAnsi="Arial"/>
                <w:sz w:val="14"/>
                <w:szCs w:val="14"/>
                <w:b w:val="1"/>
                <w:bCs w:val="1"/>
                <w:color w:val="FFFFFF"/>
              </w:rPr>
              <w:t>Name</w:t>
            </w:r>
          </w:p>
        </w:tc>
        <w:tc>
          <w:tcPr>
            <w:tcW w:w="166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3"/>
              </w:rPr>
              <w:t>(#)</w:t>
            </w:r>
          </w:p>
        </w:tc>
        <w:tc>
          <w:tcPr>
            <w:tcW w:w="168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3"/>
              </w:rPr>
              <w:t>($)</w:t>
            </w:r>
          </w:p>
        </w:tc>
        <w:tc>
          <w:tcPr>
            <w:tcW w:w="184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168"/>
        </w:trPr>
        <w:tc>
          <w:tcPr>
            <w:tcW w:w="2460" w:type="dxa"/>
            <w:vAlign w:val="bottom"/>
            <w:shd w:val="clear" w:color="auto" w:fill="284993"/>
          </w:tcPr>
          <w:p>
            <w:pPr>
              <w:ind w:left="220"/>
              <w:spacing w:after="0"/>
              <w:rPr>
                <w:sz w:val="20"/>
                <w:szCs w:val="20"/>
                <w:color w:val="auto"/>
              </w:rPr>
            </w:pPr>
            <w:r>
              <w:rPr>
                <w:rFonts w:ascii="Arial" w:cs="Arial" w:eastAsia="Arial" w:hAnsi="Arial"/>
                <w:sz w:val="14"/>
                <w:szCs w:val="14"/>
                <w:b w:val="1"/>
                <w:bCs w:val="1"/>
                <w:color w:val="FFFFFF"/>
              </w:rPr>
              <w:t>(a)</w:t>
            </w:r>
          </w:p>
        </w:tc>
        <w:tc>
          <w:tcPr>
            <w:tcW w:w="166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89"/>
              </w:rPr>
              <w:t>(b)</w:t>
            </w:r>
          </w:p>
        </w:tc>
        <w:tc>
          <w:tcPr>
            <w:tcW w:w="168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3"/>
              </w:rPr>
              <w:t>(c)</w:t>
            </w:r>
          </w:p>
        </w:tc>
        <w:tc>
          <w:tcPr>
            <w:tcW w:w="184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(d)</w:t>
            </w:r>
          </w:p>
        </w:tc>
        <w:tc>
          <w:tcPr>
            <w:tcW w:w="168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3"/>
              </w:rPr>
              <w:t>(e)</w:t>
            </w:r>
          </w:p>
        </w:tc>
      </w:tr>
      <w:tr>
        <w:trPr>
          <w:trHeight w:val="168"/>
        </w:trPr>
        <w:tc>
          <w:tcPr>
            <w:tcW w:w="2460" w:type="dxa"/>
            <w:vAlign w:val="bottom"/>
          </w:tcPr>
          <w:p>
            <w:pPr>
              <w:ind w:left="200"/>
              <w:spacing w:after="0"/>
              <w:rPr>
                <w:sz w:val="20"/>
                <w:szCs w:val="20"/>
                <w:color w:val="auto"/>
              </w:rPr>
            </w:pPr>
            <w:r>
              <w:rPr>
                <w:rFonts w:ascii="Arial" w:cs="Arial" w:eastAsia="Arial" w:hAnsi="Arial"/>
                <w:sz w:val="14"/>
                <w:szCs w:val="14"/>
                <w:color w:val="auto"/>
              </w:rPr>
              <w:t>Odilon Almeida</w:t>
            </w:r>
          </w:p>
        </w:tc>
        <w:tc>
          <w:tcPr>
            <w:tcW w:w="166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191"/>
              <w:spacing w:after="0"/>
              <w:rPr>
                <w:sz w:val="20"/>
                <w:szCs w:val="20"/>
                <w:color w:val="auto"/>
              </w:rPr>
            </w:pPr>
            <w:r>
              <w:rPr>
                <w:rFonts w:ascii="Arial" w:cs="Arial" w:eastAsia="Arial" w:hAnsi="Arial"/>
                <w:sz w:val="14"/>
                <w:szCs w:val="14"/>
                <w:color w:val="auto"/>
              </w:rPr>
              <w:t>99,260</w:t>
            </w:r>
          </w:p>
        </w:tc>
        <w:tc>
          <w:tcPr>
            <w:tcW w:w="1680" w:type="dxa"/>
            <w:vAlign w:val="bottom"/>
          </w:tcPr>
          <w:p>
            <w:pPr>
              <w:jc w:val="right"/>
              <w:ind w:right="191"/>
              <w:spacing w:after="0"/>
              <w:rPr>
                <w:sz w:val="20"/>
                <w:szCs w:val="20"/>
                <w:color w:val="auto"/>
              </w:rPr>
            </w:pPr>
            <w:r>
              <w:rPr>
                <w:rFonts w:ascii="Arial" w:cs="Arial" w:eastAsia="Arial" w:hAnsi="Arial"/>
                <w:sz w:val="14"/>
                <w:szCs w:val="14"/>
                <w:color w:val="auto"/>
              </w:rPr>
              <w:t>2,632,390</w:t>
            </w:r>
          </w:p>
        </w:tc>
      </w:tr>
      <w:tr>
        <w:trPr>
          <w:trHeight w:val="168"/>
        </w:trPr>
        <w:tc>
          <w:tcPr>
            <w:tcW w:w="2460" w:type="dxa"/>
            <w:vAlign w:val="bottom"/>
            <w:shd w:val="clear" w:color="auto" w:fill="9DBDE4"/>
          </w:tcPr>
          <w:p>
            <w:pPr>
              <w:ind w:left="200"/>
              <w:spacing w:after="0"/>
              <w:rPr>
                <w:sz w:val="20"/>
                <w:szCs w:val="20"/>
                <w:color w:val="auto"/>
              </w:rPr>
            </w:pPr>
            <w:r>
              <w:rPr>
                <w:rFonts w:ascii="Arial" w:cs="Arial" w:eastAsia="Arial" w:hAnsi="Arial"/>
                <w:sz w:val="14"/>
                <w:szCs w:val="14"/>
                <w:color w:val="auto"/>
              </w:rPr>
              <w:t>Thomas W. Warsop, III</w:t>
            </w:r>
          </w:p>
        </w:tc>
        <w:tc>
          <w:tcPr>
            <w:tcW w:w="1660" w:type="dxa"/>
            <w:vAlign w:val="bottom"/>
            <w:shd w:val="clear" w:color="auto" w:fill="9DBDE4"/>
          </w:tcPr>
          <w:p>
            <w:pPr>
              <w:jc w:val="right"/>
              <w:ind w:right="171"/>
              <w:spacing w:after="0"/>
              <w:rPr>
                <w:sz w:val="20"/>
                <w:szCs w:val="20"/>
                <w:color w:val="auto"/>
              </w:rPr>
            </w:pPr>
            <w:r>
              <w:rPr>
                <w:rFonts w:ascii="Arial" w:cs="Arial" w:eastAsia="Arial" w:hAnsi="Arial"/>
                <w:sz w:val="14"/>
                <w:szCs w:val="14"/>
                <w:color w:val="auto"/>
              </w:rPr>
              <w:t>-</w:t>
            </w:r>
          </w:p>
        </w:tc>
        <w:tc>
          <w:tcPr>
            <w:tcW w:w="1680" w:type="dxa"/>
            <w:vAlign w:val="bottom"/>
            <w:shd w:val="clear" w:color="auto" w:fill="9DBDE4"/>
          </w:tcPr>
          <w:p>
            <w:pPr>
              <w:jc w:val="right"/>
              <w:ind w:right="191"/>
              <w:spacing w:after="0"/>
              <w:rPr>
                <w:sz w:val="20"/>
                <w:szCs w:val="20"/>
                <w:color w:val="auto"/>
              </w:rPr>
            </w:pPr>
            <w:r>
              <w:rPr>
                <w:rFonts w:ascii="Arial" w:cs="Arial" w:eastAsia="Arial" w:hAnsi="Arial"/>
                <w:sz w:val="14"/>
                <w:szCs w:val="14"/>
                <w:color w:val="auto"/>
              </w:rPr>
              <w:t>-</w:t>
            </w:r>
          </w:p>
        </w:tc>
        <w:tc>
          <w:tcPr>
            <w:tcW w:w="1840" w:type="dxa"/>
            <w:vAlign w:val="bottom"/>
            <w:shd w:val="clear" w:color="auto" w:fill="9DBDE4"/>
          </w:tcPr>
          <w:p>
            <w:pPr>
              <w:jc w:val="right"/>
              <w:ind w:right="191"/>
              <w:spacing w:after="0"/>
              <w:rPr>
                <w:sz w:val="20"/>
                <w:szCs w:val="20"/>
                <w:color w:val="auto"/>
              </w:rPr>
            </w:pPr>
            <w:r>
              <w:rPr>
                <w:rFonts w:ascii="Arial" w:cs="Arial" w:eastAsia="Arial" w:hAnsi="Arial"/>
                <w:sz w:val="14"/>
                <w:szCs w:val="14"/>
                <w:color w:val="auto"/>
              </w:rPr>
              <w:t>6,440</w:t>
            </w:r>
          </w:p>
        </w:tc>
        <w:tc>
          <w:tcPr>
            <w:tcW w:w="1680" w:type="dxa"/>
            <w:vAlign w:val="bottom"/>
            <w:shd w:val="clear" w:color="auto" w:fill="9DBDE4"/>
          </w:tcPr>
          <w:p>
            <w:pPr>
              <w:jc w:val="right"/>
              <w:ind w:right="191"/>
              <w:spacing w:after="0"/>
              <w:rPr>
                <w:sz w:val="20"/>
                <w:szCs w:val="20"/>
                <w:color w:val="auto"/>
              </w:rPr>
            </w:pPr>
            <w:r>
              <w:rPr>
                <w:rFonts w:ascii="Arial" w:cs="Arial" w:eastAsia="Arial" w:hAnsi="Arial"/>
                <w:sz w:val="14"/>
                <w:szCs w:val="14"/>
                <w:color w:val="auto"/>
              </w:rPr>
              <w:t>171,562</w:t>
            </w:r>
          </w:p>
        </w:tc>
      </w:tr>
      <w:tr>
        <w:trPr>
          <w:trHeight w:val="168"/>
        </w:trPr>
        <w:tc>
          <w:tcPr>
            <w:tcW w:w="2460" w:type="dxa"/>
            <w:vAlign w:val="bottom"/>
          </w:tcPr>
          <w:p>
            <w:pPr>
              <w:ind w:left="200"/>
              <w:spacing w:after="0"/>
              <w:rPr>
                <w:sz w:val="20"/>
                <w:szCs w:val="20"/>
                <w:color w:val="auto"/>
              </w:rPr>
            </w:pPr>
            <w:r>
              <w:rPr>
                <w:rFonts w:ascii="Arial" w:cs="Arial" w:eastAsia="Arial" w:hAnsi="Arial"/>
                <w:sz w:val="14"/>
                <w:szCs w:val="14"/>
                <w:color w:val="auto"/>
              </w:rPr>
              <w:t>Scott W. Behrens</w:t>
            </w:r>
          </w:p>
        </w:tc>
        <w:tc>
          <w:tcPr>
            <w:tcW w:w="1660" w:type="dxa"/>
            <w:vAlign w:val="bottom"/>
          </w:tcPr>
          <w:p>
            <w:pPr>
              <w:jc w:val="right"/>
              <w:ind w:right="171"/>
              <w:spacing w:after="0"/>
              <w:rPr>
                <w:sz w:val="20"/>
                <w:szCs w:val="20"/>
                <w:color w:val="auto"/>
              </w:rPr>
            </w:pPr>
            <w:r>
              <w:rPr>
                <w:rFonts w:ascii="Arial" w:cs="Arial" w:eastAsia="Arial" w:hAnsi="Arial"/>
                <w:sz w:val="14"/>
                <w:szCs w:val="14"/>
                <w:color w:val="auto"/>
              </w:rPr>
              <w:t>55,524</w:t>
            </w:r>
          </w:p>
        </w:tc>
        <w:tc>
          <w:tcPr>
            <w:tcW w:w="1680" w:type="dxa"/>
            <w:vAlign w:val="bottom"/>
          </w:tcPr>
          <w:p>
            <w:pPr>
              <w:jc w:val="right"/>
              <w:ind w:right="191"/>
              <w:spacing w:after="0"/>
              <w:rPr>
                <w:sz w:val="20"/>
                <w:szCs w:val="20"/>
                <w:color w:val="auto"/>
              </w:rPr>
            </w:pPr>
            <w:r>
              <w:rPr>
                <w:rFonts w:ascii="Arial" w:cs="Arial" w:eastAsia="Arial" w:hAnsi="Arial"/>
                <w:sz w:val="14"/>
                <w:szCs w:val="14"/>
                <w:color w:val="auto"/>
              </w:rPr>
              <w:t>412,543</w:t>
            </w:r>
          </w:p>
        </w:tc>
        <w:tc>
          <w:tcPr>
            <w:tcW w:w="1840" w:type="dxa"/>
            <w:vAlign w:val="bottom"/>
          </w:tcPr>
          <w:p>
            <w:pPr>
              <w:jc w:val="right"/>
              <w:ind w:right="191"/>
              <w:spacing w:after="0"/>
              <w:rPr>
                <w:sz w:val="20"/>
                <w:szCs w:val="20"/>
                <w:color w:val="auto"/>
              </w:rPr>
            </w:pPr>
            <w:r>
              <w:rPr>
                <w:rFonts w:ascii="Arial" w:cs="Arial" w:eastAsia="Arial" w:hAnsi="Arial"/>
                <w:sz w:val="14"/>
                <w:szCs w:val="14"/>
                <w:color w:val="auto"/>
              </w:rPr>
              <w:t>51,443</w:t>
            </w:r>
          </w:p>
        </w:tc>
        <w:tc>
          <w:tcPr>
            <w:tcW w:w="1680" w:type="dxa"/>
            <w:vAlign w:val="bottom"/>
          </w:tcPr>
          <w:p>
            <w:pPr>
              <w:jc w:val="right"/>
              <w:ind w:right="191"/>
              <w:spacing w:after="0"/>
              <w:rPr>
                <w:sz w:val="20"/>
                <w:szCs w:val="20"/>
                <w:color w:val="auto"/>
              </w:rPr>
            </w:pPr>
            <w:r>
              <w:rPr>
                <w:rFonts w:ascii="Arial" w:cs="Arial" w:eastAsia="Arial" w:hAnsi="Arial"/>
                <w:sz w:val="14"/>
                <w:szCs w:val="14"/>
                <w:color w:val="auto"/>
              </w:rPr>
              <w:t>1,675,371</w:t>
            </w:r>
          </w:p>
        </w:tc>
      </w:tr>
      <w:tr>
        <w:trPr>
          <w:trHeight w:val="168"/>
        </w:trPr>
        <w:tc>
          <w:tcPr>
            <w:tcW w:w="2460" w:type="dxa"/>
            <w:vAlign w:val="bottom"/>
            <w:shd w:val="clear" w:color="auto" w:fill="9DBDE4"/>
          </w:tcPr>
          <w:p>
            <w:pPr>
              <w:ind w:left="200"/>
              <w:spacing w:after="0"/>
              <w:rPr>
                <w:sz w:val="20"/>
                <w:szCs w:val="20"/>
                <w:color w:val="auto"/>
              </w:rPr>
            </w:pPr>
            <w:r>
              <w:rPr>
                <w:rFonts w:ascii="Arial" w:cs="Arial" w:eastAsia="Arial" w:hAnsi="Arial"/>
                <w:sz w:val="14"/>
                <w:szCs w:val="14"/>
                <w:color w:val="auto"/>
              </w:rPr>
              <w:t>Ram K. Puppala</w:t>
            </w:r>
          </w:p>
        </w:tc>
        <w:tc>
          <w:tcPr>
            <w:tcW w:w="1660" w:type="dxa"/>
            <w:vAlign w:val="bottom"/>
            <w:shd w:val="clear" w:color="auto" w:fill="9DBDE4"/>
          </w:tcPr>
          <w:p>
            <w:pPr>
              <w:jc w:val="right"/>
              <w:ind w:right="171"/>
              <w:spacing w:after="0"/>
              <w:rPr>
                <w:sz w:val="20"/>
                <w:szCs w:val="20"/>
                <w:color w:val="auto"/>
              </w:rPr>
            </w:pPr>
            <w:r>
              <w:rPr>
                <w:rFonts w:ascii="Arial" w:cs="Arial" w:eastAsia="Arial" w:hAnsi="Arial"/>
                <w:sz w:val="14"/>
                <w:szCs w:val="14"/>
                <w:color w:val="auto"/>
              </w:rPr>
              <w:t>-</w:t>
            </w:r>
          </w:p>
        </w:tc>
        <w:tc>
          <w:tcPr>
            <w:tcW w:w="1680" w:type="dxa"/>
            <w:vAlign w:val="bottom"/>
            <w:shd w:val="clear" w:color="auto" w:fill="9DBDE4"/>
          </w:tcPr>
          <w:p>
            <w:pPr>
              <w:jc w:val="right"/>
              <w:ind w:right="191"/>
              <w:spacing w:after="0"/>
              <w:rPr>
                <w:sz w:val="20"/>
                <w:szCs w:val="20"/>
                <w:color w:val="auto"/>
              </w:rPr>
            </w:pPr>
            <w:r>
              <w:rPr>
                <w:rFonts w:ascii="Arial" w:cs="Arial" w:eastAsia="Arial" w:hAnsi="Arial"/>
                <w:sz w:val="14"/>
                <w:szCs w:val="14"/>
                <w:color w:val="auto"/>
              </w:rPr>
              <w:t>-</w:t>
            </w:r>
          </w:p>
        </w:tc>
        <w:tc>
          <w:tcPr>
            <w:tcW w:w="1840" w:type="dxa"/>
            <w:vAlign w:val="bottom"/>
            <w:shd w:val="clear" w:color="auto" w:fill="9DBDE4"/>
          </w:tcPr>
          <w:p>
            <w:pPr>
              <w:jc w:val="right"/>
              <w:ind w:right="191"/>
              <w:spacing w:after="0"/>
              <w:rPr>
                <w:sz w:val="20"/>
                <w:szCs w:val="20"/>
                <w:color w:val="auto"/>
              </w:rPr>
            </w:pPr>
            <w:r>
              <w:rPr>
                <w:rFonts w:ascii="Arial" w:cs="Arial" w:eastAsia="Arial" w:hAnsi="Arial"/>
                <w:sz w:val="14"/>
                <w:szCs w:val="14"/>
                <w:color w:val="auto"/>
              </w:rPr>
              <w:t>8,313</w:t>
            </w:r>
          </w:p>
        </w:tc>
        <w:tc>
          <w:tcPr>
            <w:tcW w:w="1680" w:type="dxa"/>
            <w:vAlign w:val="bottom"/>
            <w:shd w:val="clear" w:color="auto" w:fill="9DBDE4"/>
          </w:tcPr>
          <w:p>
            <w:pPr>
              <w:jc w:val="right"/>
              <w:ind w:right="191"/>
              <w:spacing w:after="0"/>
              <w:rPr>
                <w:sz w:val="20"/>
                <w:szCs w:val="20"/>
                <w:color w:val="auto"/>
              </w:rPr>
            </w:pPr>
            <w:r>
              <w:rPr>
                <w:rFonts w:ascii="Arial" w:cs="Arial" w:eastAsia="Arial" w:hAnsi="Arial"/>
                <w:sz w:val="14"/>
                <w:szCs w:val="14"/>
                <w:color w:val="auto"/>
              </w:rPr>
              <w:t>172,994</w:t>
            </w:r>
          </w:p>
        </w:tc>
      </w:tr>
      <w:tr>
        <w:trPr>
          <w:trHeight w:val="168"/>
        </w:trPr>
        <w:tc>
          <w:tcPr>
            <w:tcW w:w="2460" w:type="dxa"/>
            <w:vAlign w:val="bottom"/>
          </w:tcPr>
          <w:p>
            <w:pPr>
              <w:ind w:left="200"/>
              <w:spacing w:after="0"/>
              <w:rPr>
                <w:sz w:val="20"/>
                <w:szCs w:val="20"/>
                <w:color w:val="auto"/>
              </w:rPr>
            </w:pPr>
            <w:r>
              <w:rPr>
                <w:rFonts w:ascii="Arial" w:cs="Arial" w:eastAsia="Arial" w:hAnsi="Arial"/>
                <w:sz w:val="14"/>
                <w:szCs w:val="14"/>
                <w:color w:val="auto"/>
              </w:rPr>
              <w:t>Alessandro Silva</w:t>
            </w:r>
          </w:p>
        </w:tc>
        <w:tc>
          <w:tcPr>
            <w:tcW w:w="166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191"/>
              <w:spacing w:after="0"/>
              <w:rPr>
                <w:sz w:val="20"/>
                <w:szCs w:val="20"/>
                <w:color w:val="auto"/>
              </w:rPr>
            </w:pPr>
            <w:r>
              <w:rPr>
                <w:rFonts w:ascii="Arial" w:cs="Arial" w:eastAsia="Arial" w:hAnsi="Arial"/>
                <w:sz w:val="14"/>
                <w:szCs w:val="14"/>
                <w:color w:val="auto"/>
              </w:rPr>
              <w:t>6,281</w:t>
            </w:r>
          </w:p>
        </w:tc>
        <w:tc>
          <w:tcPr>
            <w:tcW w:w="1680" w:type="dxa"/>
            <w:vAlign w:val="bottom"/>
          </w:tcPr>
          <w:p>
            <w:pPr>
              <w:jc w:val="right"/>
              <w:ind w:right="191"/>
              <w:spacing w:after="0"/>
              <w:rPr>
                <w:sz w:val="20"/>
                <w:szCs w:val="20"/>
                <w:color w:val="auto"/>
              </w:rPr>
            </w:pPr>
            <w:r>
              <w:rPr>
                <w:rFonts w:ascii="Arial" w:cs="Arial" w:eastAsia="Arial" w:hAnsi="Arial"/>
                <w:sz w:val="14"/>
                <w:szCs w:val="14"/>
                <w:color w:val="auto"/>
              </w:rPr>
              <w:t>155,991</w:t>
            </w:r>
          </w:p>
        </w:tc>
      </w:tr>
      <w:tr>
        <w:trPr>
          <w:trHeight w:val="168"/>
        </w:trPr>
        <w:tc>
          <w:tcPr>
            <w:tcW w:w="2460" w:type="dxa"/>
            <w:vAlign w:val="bottom"/>
            <w:shd w:val="clear" w:color="auto" w:fill="9DBDE4"/>
          </w:tcPr>
          <w:p>
            <w:pPr>
              <w:ind w:left="200"/>
              <w:spacing w:after="0"/>
              <w:rPr>
                <w:sz w:val="20"/>
                <w:szCs w:val="20"/>
                <w:color w:val="auto"/>
              </w:rPr>
            </w:pPr>
            <w:r>
              <w:rPr>
                <w:rFonts w:ascii="Arial" w:cs="Arial" w:eastAsia="Arial" w:hAnsi="Arial"/>
                <w:sz w:val="14"/>
                <w:szCs w:val="14"/>
                <w:color w:val="auto"/>
              </w:rPr>
              <w:t>Jeremy M. Wilmot</w:t>
            </w:r>
          </w:p>
        </w:tc>
        <w:tc>
          <w:tcPr>
            <w:tcW w:w="1660" w:type="dxa"/>
            <w:vAlign w:val="bottom"/>
            <w:shd w:val="clear" w:color="auto" w:fill="9DBDE4"/>
          </w:tcPr>
          <w:p>
            <w:pPr>
              <w:jc w:val="right"/>
              <w:ind w:right="171"/>
              <w:spacing w:after="0"/>
              <w:rPr>
                <w:sz w:val="20"/>
                <w:szCs w:val="20"/>
                <w:color w:val="auto"/>
              </w:rPr>
            </w:pPr>
            <w:r>
              <w:rPr>
                <w:rFonts w:ascii="Arial" w:cs="Arial" w:eastAsia="Arial" w:hAnsi="Arial"/>
                <w:sz w:val="14"/>
                <w:szCs w:val="14"/>
                <w:color w:val="auto"/>
              </w:rPr>
              <w:t>9,255</w:t>
            </w:r>
          </w:p>
        </w:tc>
        <w:tc>
          <w:tcPr>
            <w:tcW w:w="1680" w:type="dxa"/>
            <w:vAlign w:val="bottom"/>
            <w:shd w:val="clear" w:color="auto" w:fill="9DBDE4"/>
          </w:tcPr>
          <w:p>
            <w:pPr>
              <w:jc w:val="right"/>
              <w:ind w:right="191"/>
              <w:spacing w:after="0"/>
              <w:rPr>
                <w:sz w:val="20"/>
                <w:szCs w:val="20"/>
                <w:color w:val="auto"/>
              </w:rPr>
            </w:pPr>
            <w:r>
              <w:rPr>
                <w:rFonts w:ascii="Arial" w:cs="Arial" w:eastAsia="Arial" w:hAnsi="Arial"/>
                <w:sz w:val="14"/>
                <w:szCs w:val="14"/>
                <w:color w:val="auto"/>
              </w:rPr>
              <w:t>56,455</w:t>
            </w:r>
          </w:p>
        </w:tc>
        <w:tc>
          <w:tcPr>
            <w:tcW w:w="1840" w:type="dxa"/>
            <w:vAlign w:val="bottom"/>
            <w:shd w:val="clear" w:color="auto" w:fill="9DBDE4"/>
          </w:tcPr>
          <w:p>
            <w:pPr>
              <w:jc w:val="right"/>
              <w:ind w:right="191"/>
              <w:spacing w:after="0"/>
              <w:rPr>
                <w:sz w:val="20"/>
                <w:szCs w:val="20"/>
                <w:color w:val="auto"/>
              </w:rPr>
            </w:pPr>
            <w:r>
              <w:rPr>
                <w:rFonts w:ascii="Arial" w:cs="Arial" w:eastAsia="Arial" w:hAnsi="Arial"/>
                <w:sz w:val="14"/>
                <w:szCs w:val="14"/>
                <w:color w:val="auto"/>
              </w:rPr>
              <w:t>25,720</w:t>
            </w:r>
          </w:p>
        </w:tc>
        <w:tc>
          <w:tcPr>
            <w:tcW w:w="1680" w:type="dxa"/>
            <w:vAlign w:val="bottom"/>
            <w:shd w:val="clear" w:color="auto" w:fill="9DBDE4"/>
          </w:tcPr>
          <w:p>
            <w:pPr>
              <w:jc w:val="right"/>
              <w:ind w:right="191"/>
              <w:spacing w:after="0"/>
              <w:rPr>
                <w:sz w:val="20"/>
                <w:szCs w:val="20"/>
                <w:color w:val="auto"/>
              </w:rPr>
            </w:pPr>
            <w:r>
              <w:rPr>
                <w:rFonts w:ascii="Arial" w:cs="Arial" w:eastAsia="Arial" w:hAnsi="Arial"/>
                <w:sz w:val="14"/>
                <w:szCs w:val="14"/>
                <w:color w:val="auto"/>
              </w:rPr>
              <w:t>837,636</w:t>
            </w:r>
          </w:p>
        </w:tc>
      </w:tr>
      <w:tr>
        <w:trPr>
          <w:trHeight w:val="168"/>
        </w:trPr>
        <w:tc>
          <w:tcPr>
            <w:tcW w:w="2460" w:type="dxa"/>
            <w:vAlign w:val="bottom"/>
          </w:tcPr>
          <w:p>
            <w:pPr>
              <w:ind w:left="200"/>
              <w:spacing w:after="0"/>
              <w:rPr>
                <w:sz w:val="20"/>
                <w:szCs w:val="20"/>
                <w:color w:val="auto"/>
              </w:rPr>
            </w:pPr>
            <w:r>
              <w:rPr>
                <w:rFonts w:ascii="Arial" w:cs="Arial" w:eastAsia="Arial" w:hAnsi="Arial"/>
                <w:sz w:val="14"/>
                <w:szCs w:val="14"/>
                <w:color w:val="auto"/>
              </w:rPr>
              <w:t>Deborah L. Guerra</w:t>
            </w:r>
          </w:p>
        </w:tc>
        <w:tc>
          <w:tcPr>
            <w:tcW w:w="166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191"/>
              <w:spacing w:after="0"/>
              <w:rPr>
                <w:sz w:val="20"/>
                <w:szCs w:val="20"/>
                <w:color w:val="auto"/>
              </w:rPr>
            </w:pPr>
            <w:r>
              <w:rPr>
                <w:rFonts w:ascii="Arial" w:cs="Arial" w:eastAsia="Arial" w:hAnsi="Arial"/>
                <w:sz w:val="14"/>
                <w:szCs w:val="14"/>
                <w:color w:val="auto"/>
              </w:rPr>
              <w:t>8,590</w:t>
            </w:r>
          </w:p>
        </w:tc>
        <w:tc>
          <w:tcPr>
            <w:tcW w:w="1680" w:type="dxa"/>
            <w:vAlign w:val="bottom"/>
          </w:tcPr>
          <w:p>
            <w:pPr>
              <w:jc w:val="right"/>
              <w:ind w:right="191"/>
              <w:spacing w:after="0"/>
              <w:rPr>
                <w:sz w:val="20"/>
                <w:szCs w:val="20"/>
                <w:color w:val="auto"/>
              </w:rPr>
            </w:pPr>
            <w:r>
              <w:rPr>
                <w:rFonts w:ascii="Arial" w:cs="Arial" w:eastAsia="Arial" w:hAnsi="Arial"/>
                <w:sz w:val="14"/>
                <w:szCs w:val="14"/>
                <w:color w:val="auto"/>
              </w:rPr>
              <w:t>239,440</w:t>
            </w:r>
          </w:p>
        </w:tc>
      </w:tr>
      <w:tr>
        <w:trPr>
          <w:trHeight w:val="168"/>
        </w:trPr>
        <w:tc>
          <w:tcPr>
            <w:tcW w:w="2460" w:type="dxa"/>
            <w:vAlign w:val="bottom"/>
            <w:shd w:val="clear" w:color="auto" w:fill="9DBDE4"/>
          </w:tcPr>
          <w:p>
            <w:pPr>
              <w:ind w:left="200"/>
              <w:spacing w:after="0"/>
              <w:rPr>
                <w:sz w:val="20"/>
                <w:szCs w:val="20"/>
                <w:color w:val="auto"/>
              </w:rPr>
            </w:pPr>
            <w:r>
              <w:rPr>
                <w:rFonts w:ascii="Arial" w:cs="Arial" w:eastAsia="Arial" w:hAnsi="Arial"/>
                <w:sz w:val="14"/>
                <w:szCs w:val="14"/>
                <w:color w:val="auto"/>
              </w:rPr>
              <w:t>Evanthia Aretakis</w:t>
            </w:r>
          </w:p>
        </w:tc>
        <w:tc>
          <w:tcPr>
            <w:tcW w:w="1660" w:type="dxa"/>
            <w:vAlign w:val="bottom"/>
            <w:shd w:val="clear" w:color="auto" w:fill="9DBDE4"/>
          </w:tcPr>
          <w:p>
            <w:pPr>
              <w:jc w:val="right"/>
              <w:ind w:right="171"/>
              <w:spacing w:after="0"/>
              <w:rPr>
                <w:sz w:val="20"/>
                <w:szCs w:val="20"/>
                <w:color w:val="auto"/>
              </w:rPr>
            </w:pPr>
            <w:r>
              <w:rPr>
                <w:rFonts w:ascii="Arial" w:cs="Arial" w:eastAsia="Arial" w:hAnsi="Arial"/>
                <w:sz w:val="14"/>
                <w:szCs w:val="14"/>
                <w:color w:val="auto"/>
              </w:rPr>
              <w:t>40,000</w:t>
            </w:r>
          </w:p>
        </w:tc>
        <w:tc>
          <w:tcPr>
            <w:tcW w:w="1680" w:type="dxa"/>
            <w:vAlign w:val="bottom"/>
            <w:shd w:val="clear" w:color="auto" w:fill="9DBDE4"/>
          </w:tcPr>
          <w:p>
            <w:pPr>
              <w:jc w:val="right"/>
              <w:ind w:right="191"/>
              <w:spacing w:after="0"/>
              <w:rPr>
                <w:sz w:val="20"/>
                <w:szCs w:val="20"/>
                <w:color w:val="auto"/>
              </w:rPr>
            </w:pPr>
            <w:r>
              <w:rPr>
                <w:rFonts w:ascii="Arial" w:cs="Arial" w:eastAsia="Arial" w:hAnsi="Arial"/>
                <w:sz w:val="14"/>
                <w:szCs w:val="14"/>
                <w:color w:val="auto"/>
              </w:rPr>
              <w:t>173,574</w:t>
            </w:r>
          </w:p>
        </w:tc>
        <w:tc>
          <w:tcPr>
            <w:tcW w:w="1840" w:type="dxa"/>
            <w:vAlign w:val="bottom"/>
            <w:shd w:val="clear" w:color="auto" w:fill="9DBDE4"/>
          </w:tcPr>
          <w:p>
            <w:pPr>
              <w:jc w:val="right"/>
              <w:ind w:right="191"/>
              <w:spacing w:after="0"/>
              <w:rPr>
                <w:sz w:val="20"/>
                <w:szCs w:val="20"/>
                <w:color w:val="auto"/>
              </w:rPr>
            </w:pPr>
            <w:r>
              <w:rPr>
                <w:rFonts w:ascii="Arial" w:cs="Arial" w:eastAsia="Arial" w:hAnsi="Arial"/>
                <w:sz w:val="14"/>
                <w:szCs w:val="14"/>
                <w:color w:val="auto"/>
              </w:rPr>
              <w:t>29,411</w:t>
            </w:r>
          </w:p>
        </w:tc>
        <w:tc>
          <w:tcPr>
            <w:tcW w:w="1680" w:type="dxa"/>
            <w:vAlign w:val="bottom"/>
            <w:shd w:val="clear" w:color="auto" w:fill="9DBDE4"/>
          </w:tcPr>
          <w:p>
            <w:pPr>
              <w:jc w:val="right"/>
              <w:ind w:right="191"/>
              <w:spacing w:after="0"/>
              <w:rPr>
                <w:sz w:val="20"/>
                <w:szCs w:val="20"/>
                <w:color w:val="auto"/>
              </w:rPr>
            </w:pPr>
            <w:r>
              <w:rPr>
                <w:rFonts w:ascii="Arial" w:cs="Arial" w:eastAsia="Arial" w:hAnsi="Arial"/>
                <w:sz w:val="14"/>
                <w:szCs w:val="14"/>
                <w:color w:val="auto"/>
              </w:rPr>
              <w:t>956,456</w:t>
            </w:r>
          </w:p>
        </w:tc>
      </w:tr>
    </w:tbl>
    <w:p>
      <w:pPr>
        <w:spacing w:after="0" w:line="117" w:lineRule="exact"/>
        <w:rPr>
          <w:sz w:val="20"/>
          <w:szCs w:val="20"/>
          <w:color w:val="auto"/>
        </w:rPr>
      </w:pPr>
    </w:p>
    <w:p>
      <w:pPr>
        <w:jc w:val="both"/>
        <w:ind w:left="360" w:right="280" w:hanging="358"/>
        <w:spacing w:after="0" w:line="215" w:lineRule="auto"/>
        <w:tabs>
          <w:tab w:leader="none" w:pos="360" w:val="left"/>
        </w:tabs>
        <w:numPr>
          <w:ilvl w:val="0"/>
          <w:numId w:val="56"/>
        </w:numPr>
        <w:rPr>
          <w:rFonts w:ascii="Arial" w:cs="Arial" w:eastAsia="Arial" w:hAnsi="Arial"/>
          <w:sz w:val="23"/>
          <w:szCs w:val="23"/>
          <w:color w:val="auto"/>
          <w:vertAlign w:val="superscript"/>
        </w:rPr>
      </w:pPr>
      <w:r>
        <w:rPr>
          <w:rFonts w:ascii="Arial" w:cs="Arial" w:eastAsia="Arial" w:hAnsi="Arial"/>
          <w:sz w:val="16"/>
          <w:szCs w:val="16"/>
          <w:color w:val="auto"/>
        </w:rPr>
        <w:t>The amounts in column (c) were calculated by determining the difference between the market price of the underlying shares at exercise and the exercise price of the options. The amounts in column (e) were calculated by multiplying the number of vested shares by the closing price per share of ACI common stock on the vesting date.</w:t>
      </w:r>
    </w:p>
    <w:p>
      <w:pPr>
        <w:spacing w:after="0" w:line="174"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2022 Nonqualified Deferred Compensation</w:t>
      </w:r>
    </w:p>
    <w:p>
      <w:pPr>
        <w:spacing w:after="0" w:line="226"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Our Named Executive Officers (other than the Interim CEO) are eligible to participate in our Amended and Restated Deferred Compensation Plan (the “DCP”). Pursuant to the DCP, participating Named Executive Officers may elect to defer a portion of their eligible compensation. The Company may, in its discretion, credit participant accounts with Company contributions. Participant contributions are always fully vested, and Company contributions may be subject to a vesting schedule of up to five years. Participants in the DCP are permitted to elect from among one or more earnings indices designated by the Compensation Committee in which to notionally invest their DCP balances. Unless otherwise elected by the participant, balances in a participant’s account under the DCP are generally distributed in a lump sum on the earliest of (1) the participant’s separation from service, (2) the participant’s death, or (3) the participant’s qualifying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142240</wp:posOffset>
            </wp:positionV>
            <wp:extent cx="8255" cy="13982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1398270"/>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142240</wp:posOffset>
            </wp:positionV>
            <wp:extent cx="8255" cy="13982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139827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142240</wp:posOffset>
            </wp:positionV>
            <wp:extent cx="8255" cy="13982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1398270"/>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142240</wp:posOffset>
            </wp:positionV>
            <wp:extent cx="8255" cy="13982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139827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142240</wp:posOffset>
            </wp:positionV>
            <wp:extent cx="8255" cy="13982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139827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shd w:val="clear" w:color="auto" w:fill="284993"/>
          </w:tcPr>
          <w:p>
            <w:pPr>
              <w:spacing w:after="0"/>
              <w:rPr>
                <w:sz w:val="14"/>
                <w:szCs w:val="14"/>
                <w:color w:val="auto"/>
              </w:rPr>
            </w:pPr>
          </w:p>
        </w:tc>
        <w:tc>
          <w:tcPr>
            <w:tcW w:w="164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7"/>
              </w:rPr>
              <w:t>Executive</w:t>
            </w:r>
          </w:p>
        </w:tc>
        <w:tc>
          <w:tcPr>
            <w:tcW w:w="170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8"/>
              </w:rPr>
              <w:t>Registrant</w:t>
            </w:r>
          </w:p>
        </w:tc>
        <w:tc>
          <w:tcPr>
            <w:tcW w:w="1740" w:type="dxa"/>
            <w:vAlign w:val="bottom"/>
            <w:shd w:val="clear" w:color="auto" w:fill="284993"/>
          </w:tcPr>
          <w:p>
            <w:pPr>
              <w:spacing w:after="0"/>
              <w:rPr>
                <w:sz w:val="14"/>
                <w:szCs w:val="14"/>
                <w:color w:val="auto"/>
              </w:rPr>
            </w:pPr>
          </w:p>
        </w:tc>
        <w:tc>
          <w:tcPr>
            <w:tcW w:w="1400" w:type="dxa"/>
            <w:vAlign w:val="bottom"/>
            <w:shd w:val="clear" w:color="auto" w:fill="284993"/>
          </w:tcPr>
          <w:p>
            <w:pPr>
              <w:jc w:val="center"/>
              <w:ind w:left="11"/>
              <w:spacing w:after="0"/>
              <w:rPr>
                <w:sz w:val="20"/>
                <w:szCs w:val="20"/>
                <w:color w:val="auto"/>
              </w:rPr>
            </w:pPr>
            <w:r>
              <w:rPr>
                <w:rFonts w:ascii="Arial" w:cs="Arial" w:eastAsia="Arial" w:hAnsi="Arial"/>
                <w:sz w:val="14"/>
                <w:szCs w:val="14"/>
                <w:b w:val="1"/>
                <w:bCs w:val="1"/>
                <w:color w:val="FFFFFF"/>
                <w:w w:val="98"/>
              </w:rPr>
              <w:t>Aggregate</w:t>
            </w:r>
          </w:p>
        </w:tc>
        <w:tc>
          <w:tcPr>
            <w:tcW w:w="138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8"/>
              </w:rPr>
              <w:t>Aggregate</w:t>
            </w:r>
          </w:p>
        </w:tc>
      </w:tr>
      <w:tr>
        <w:trPr>
          <w:trHeight w:val="155"/>
        </w:trPr>
        <w:tc>
          <w:tcPr>
            <w:tcW w:w="1460" w:type="dxa"/>
            <w:vAlign w:val="bottom"/>
            <w:shd w:val="clear" w:color="auto" w:fill="284993"/>
          </w:tcPr>
          <w:p>
            <w:pPr>
              <w:spacing w:after="0"/>
              <w:rPr>
                <w:sz w:val="13"/>
                <w:szCs w:val="13"/>
                <w:color w:val="auto"/>
              </w:rPr>
            </w:pPr>
          </w:p>
        </w:tc>
        <w:tc>
          <w:tcPr>
            <w:tcW w:w="164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8"/>
              </w:rPr>
              <w:t>Contributions in</w:t>
            </w:r>
          </w:p>
        </w:tc>
        <w:tc>
          <w:tcPr>
            <w:tcW w:w="170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8"/>
              </w:rPr>
              <w:t>Contributions in</w:t>
            </w:r>
          </w:p>
        </w:tc>
        <w:tc>
          <w:tcPr>
            <w:tcW w:w="174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8"/>
              </w:rPr>
              <w:t>Aggregate</w:t>
            </w:r>
          </w:p>
        </w:tc>
        <w:tc>
          <w:tcPr>
            <w:tcW w:w="1400" w:type="dxa"/>
            <w:vAlign w:val="bottom"/>
            <w:shd w:val="clear" w:color="auto" w:fill="284993"/>
          </w:tcPr>
          <w:p>
            <w:pPr>
              <w:jc w:val="center"/>
              <w:ind w:left="11"/>
              <w:spacing w:after="0" w:line="155" w:lineRule="exact"/>
              <w:rPr>
                <w:sz w:val="20"/>
                <w:szCs w:val="20"/>
                <w:color w:val="auto"/>
              </w:rPr>
            </w:pPr>
            <w:r>
              <w:rPr>
                <w:rFonts w:ascii="Arial" w:cs="Arial" w:eastAsia="Arial" w:hAnsi="Arial"/>
                <w:sz w:val="14"/>
                <w:szCs w:val="14"/>
                <w:b w:val="1"/>
                <w:bCs w:val="1"/>
                <w:color w:val="FFFFFF"/>
                <w:w w:val="97"/>
              </w:rPr>
              <w:t>Withdrawals/</w:t>
            </w:r>
          </w:p>
        </w:tc>
        <w:tc>
          <w:tcPr>
            <w:tcW w:w="1380" w:type="dxa"/>
            <w:vAlign w:val="bottom"/>
            <w:shd w:val="clear" w:color="auto" w:fill="284993"/>
          </w:tcPr>
          <w:p>
            <w:pPr>
              <w:jc w:val="center"/>
              <w:ind w:left="13"/>
              <w:spacing w:after="0" w:line="155" w:lineRule="exact"/>
              <w:rPr>
                <w:sz w:val="20"/>
                <w:szCs w:val="20"/>
                <w:color w:val="auto"/>
              </w:rPr>
            </w:pPr>
            <w:r>
              <w:rPr>
                <w:rFonts w:ascii="Arial" w:cs="Arial" w:eastAsia="Arial" w:hAnsi="Arial"/>
                <w:sz w:val="14"/>
                <w:szCs w:val="14"/>
                <w:b w:val="1"/>
                <w:bCs w:val="1"/>
                <w:color w:val="FFFFFF"/>
                <w:w w:val="99"/>
              </w:rPr>
              <w:t>Balance at Last</w:t>
            </w:r>
          </w:p>
        </w:tc>
      </w:tr>
      <w:tr>
        <w:trPr>
          <w:trHeight w:val="155"/>
        </w:trPr>
        <w:tc>
          <w:tcPr>
            <w:tcW w:w="1460" w:type="dxa"/>
            <w:vAlign w:val="bottom"/>
            <w:shd w:val="clear" w:color="auto" w:fill="284993"/>
          </w:tcPr>
          <w:p>
            <w:pPr>
              <w:spacing w:after="0"/>
              <w:rPr>
                <w:sz w:val="13"/>
                <w:szCs w:val="13"/>
                <w:color w:val="auto"/>
              </w:rPr>
            </w:pPr>
          </w:p>
        </w:tc>
        <w:tc>
          <w:tcPr>
            <w:tcW w:w="164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6"/>
              </w:rPr>
              <w:t>2022</w:t>
            </w:r>
          </w:p>
        </w:tc>
        <w:tc>
          <w:tcPr>
            <w:tcW w:w="170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6"/>
              </w:rPr>
              <w:t>2022</w:t>
            </w:r>
          </w:p>
        </w:tc>
        <w:tc>
          <w:tcPr>
            <w:tcW w:w="174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8"/>
              </w:rPr>
              <w:t>Earnings in 2022</w:t>
            </w:r>
          </w:p>
        </w:tc>
        <w:tc>
          <w:tcPr>
            <w:tcW w:w="1400" w:type="dxa"/>
            <w:vAlign w:val="bottom"/>
            <w:shd w:val="clear" w:color="auto" w:fill="284993"/>
          </w:tcPr>
          <w:p>
            <w:pPr>
              <w:jc w:val="center"/>
              <w:ind w:left="11"/>
              <w:spacing w:after="0" w:line="155" w:lineRule="exact"/>
              <w:rPr>
                <w:sz w:val="20"/>
                <w:szCs w:val="20"/>
                <w:color w:val="auto"/>
              </w:rPr>
            </w:pPr>
            <w:r>
              <w:rPr>
                <w:rFonts w:ascii="Arial" w:cs="Arial" w:eastAsia="Arial" w:hAnsi="Arial"/>
                <w:sz w:val="14"/>
                <w:szCs w:val="14"/>
                <w:b w:val="1"/>
                <w:bCs w:val="1"/>
                <w:color w:val="FFFFFF"/>
                <w:w w:val="97"/>
              </w:rPr>
              <w:t>Distributions</w:t>
            </w:r>
          </w:p>
        </w:tc>
        <w:tc>
          <w:tcPr>
            <w:tcW w:w="1380" w:type="dxa"/>
            <w:vAlign w:val="bottom"/>
            <w:shd w:val="clear" w:color="auto" w:fill="284993"/>
          </w:tcPr>
          <w:p>
            <w:pPr>
              <w:jc w:val="center"/>
              <w:ind w:left="13"/>
              <w:spacing w:after="0" w:line="155" w:lineRule="exact"/>
              <w:rPr>
                <w:sz w:val="20"/>
                <w:szCs w:val="20"/>
                <w:color w:val="auto"/>
              </w:rPr>
            </w:pPr>
            <w:r>
              <w:rPr>
                <w:rFonts w:ascii="Arial" w:cs="Arial" w:eastAsia="Arial" w:hAnsi="Arial"/>
                <w:sz w:val="14"/>
                <w:szCs w:val="14"/>
                <w:b w:val="1"/>
                <w:bCs w:val="1"/>
                <w:color w:val="FFFFFF"/>
                <w:w w:val="95"/>
              </w:rPr>
              <w:t>FYE</w:t>
            </w:r>
          </w:p>
        </w:tc>
      </w:tr>
      <w:tr>
        <w:trPr>
          <w:trHeight w:val="152"/>
        </w:trPr>
        <w:tc>
          <w:tcPr>
            <w:tcW w:w="1460" w:type="dxa"/>
            <w:vAlign w:val="bottom"/>
            <w:shd w:val="clear" w:color="auto" w:fill="284993"/>
          </w:tcPr>
          <w:p>
            <w:pPr>
              <w:spacing w:after="0"/>
              <w:rPr>
                <w:sz w:val="13"/>
                <w:szCs w:val="13"/>
                <w:color w:val="auto"/>
              </w:rPr>
            </w:pPr>
          </w:p>
        </w:tc>
        <w:tc>
          <w:tcPr>
            <w:tcW w:w="164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w w:val="93"/>
              </w:rPr>
              <w:t>($)</w:t>
            </w:r>
          </w:p>
        </w:tc>
        <w:tc>
          <w:tcPr>
            <w:tcW w:w="170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rPr>
              <w:t>($)</w:t>
            </w:r>
          </w:p>
        </w:tc>
        <w:tc>
          <w:tcPr>
            <w:tcW w:w="1740" w:type="dxa"/>
            <w:vAlign w:val="bottom"/>
            <w:shd w:val="clear" w:color="auto" w:fill="284993"/>
          </w:tcPr>
          <w:p>
            <w:pPr>
              <w:jc w:val="center"/>
              <w:spacing w:after="0" w:line="152" w:lineRule="exact"/>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284993"/>
          </w:tcPr>
          <w:p>
            <w:pPr>
              <w:jc w:val="center"/>
              <w:ind w:left="11"/>
              <w:spacing w:after="0" w:line="152" w:lineRule="exact"/>
              <w:rPr>
                <w:sz w:val="20"/>
                <w:szCs w:val="20"/>
                <w:color w:val="auto"/>
              </w:rPr>
            </w:pPr>
            <w:r>
              <w:rPr>
                <w:rFonts w:ascii="Arial" w:cs="Arial" w:eastAsia="Arial" w:hAnsi="Arial"/>
                <w:sz w:val="14"/>
                <w:szCs w:val="14"/>
                <w:b w:val="1"/>
                <w:bCs w:val="1"/>
                <w:color w:val="FFFFFF"/>
                <w:w w:val="93"/>
              </w:rPr>
              <w:t>($)</w:t>
            </w:r>
          </w:p>
        </w:tc>
        <w:tc>
          <w:tcPr>
            <w:tcW w:w="1380" w:type="dxa"/>
            <w:vAlign w:val="bottom"/>
            <w:shd w:val="clear" w:color="auto" w:fill="284993"/>
          </w:tcPr>
          <w:p>
            <w:pPr>
              <w:jc w:val="center"/>
              <w:ind w:left="13"/>
              <w:spacing w:after="0" w:line="152" w:lineRule="exact"/>
              <w:rPr>
                <w:sz w:val="20"/>
                <w:szCs w:val="20"/>
                <w:color w:val="auto"/>
              </w:rPr>
            </w:pPr>
            <w:r>
              <w:rPr>
                <w:rFonts w:ascii="Arial" w:cs="Arial" w:eastAsia="Arial" w:hAnsi="Arial"/>
                <w:sz w:val="14"/>
                <w:szCs w:val="14"/>
                <w:b w:val="1"/>
                <w:bCs w:val="1"/>
                <w:color w:val="FFFFFF"/>
              </w:rPr>
              <w:t>($)</w:t>
            </w:r>
          </w:p>
        </w:tc>
      </w:tr>
      <w:tr>
        <w:trPr>
          <w:trHeight w:val="181"/>
        </w:trPr>
        <w:tc>
          <w:tcPr>
            <w:tcW w:w="1460" w:type="dxa"/>
            <w:vAlign w:val="bottom"/>
            <w:shd w:val="clear" w:color="auto" w:fill="284993"/>
          </w:tcPr>
          <w:p>
            <w:pPr>
              <w:ind w:left="80"/>
              <w:spacing w:after="0"/>
              <w:rPr>
                <w:sz w:val="20"/>
                <w:szCs w:val="20"/>
                <w:color w:val="auto"/>
              </w:rPr>
            </w:pPr>
            <w:r>
              <w:rPr>
                <w:rFonts w:ascii="Arial" w:cs="Arial" w:eastAsia="Arial" w:hAnsi="Arial"/>
                <w:sz w:val="14"/>
                <w:szCs w:val="14"/>
                <w:b w:val="1"/>
                <w:bCs w:val="1"/>
                <w:color w:val="FFFFFF"/>
              </w:rPr>
              <w:t>Name</w:t>
            </w:r>
          </w:p>
        </w:tc>
        <w:tc>
          <w:tcPr>
            <w:tcW w:w="1640" w:type="dxa"/>
            <w:vAlign w:val="bottom"/>
            <w:shd w:val="clear" w:color="auto" w:fill="284993"/>
          </w:tcPr>
          <w:p>
            <w:pPr>
              <w:jc w:val="center"/>
              <w:spacing w:after="0" w:line="182" w:lineRule="exact"/>
              <w:rPr>
                <w:sz w:val="20"/>
                <w:szCs w:val="20"/>
                <w:color w:val="auto"/>
              </w:rPr>
            </w:pPr>
            <w:r>
              <w:rPr>
                <w:rFonts w:ascii="Arial" w:cs="Arial" w:eastAsia="Arial" w:hAnsi="Arial"/>
                <w:sz w:val="21"/>
                <w:szCs w:val="21"/>
                <w:b w:val="1"/>
                <w:bCs w:val="1"/>
                <w:color w:val="FFFFFF"/>
                <w:vertAlign w:val="subscript"/>
              </w:rPr>
              <w:t>(b)</w:t>
            </w:r>
            <w:r>
              <w:rPr>
                <w:rFonts w:ascii="Arial" w:cs="Arial" w:eastAsia="Arial" w:hAnsi="Arial"/>
                <w:sz w:val="9"/>
                <w:szCs w:val="9"/>
                <w:b w:val="1"/>
                <w:bCs w:val="1"/>
                <w:color w:val="FFFFFF"/>
              </w:rPr>
              <w:t>(1)</w:t>
            </w:r>
          </w:p>
        </w:tc>
        <w:tc>
          <w:tcPr>
            <w:tcW w:w="170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rPr>
              <w:t>(c)</w:t>
            </w:r>
          </w:p>
        </w:tc>
        <w:tc>
          <w:tcPr>
            <w:tcW w:w="1740" w:type="dxa"/>
            <w:vAlign w:val="bottom"/>
            <w:shd w:val="clear" w:color="auto" w:fill="284993"/>
          </w:tcPr>
          <w:p>
            <w:pPr>
              <w:jc w:val="center"/>
              <w:spacing w:after="0" w:line="182" w:lineRule="exact"/>
              <w:rPr>
                <w:sz w:val="20"/>
                <w:szCs w:val="20"/>
                <w:color w:val="auto"/>
              </w:rPr>
            </w:pPr>
            <w:r>
              <w:rPr>
                <w:rFonts w:ascii="Arial" w:cs="Arial" w:eastAsia="Arial" w:hAnsi="Arial"/>
                <w:sz w:val="21"/>
                <w:szCs w:val="21"/>
                <w:b w:val="1"/>
                <w:bCs w:val="1"/>
                <w:color w:val="FFFFFF"/>
                <w:vertAlign w:val="subscript"/>
              </w:rPr>
              <w:t>(d)</w:t>
            </w:r>
            <w:r>
              <w:rPr>
                <w:rFonts w:ascii="Arial" w:cs="Arial" w:eastAsia="Arial" w:hAnsi="Arial"/>
                <w:sz w:val="9"/>
                <w:szCs w:val="9"/>
                <w:b w:val="1"/>
                <w:bCs w:val="1"/>
                <w:color w:val="FFFFFF"/>
              </w:rPr>
              <w:t>(2)</w:t>
            </w:r>
          </w:p>
        </w:tc>
        <w:tc>
          <w:tcPr>
            <w:tcW w:w="1400" w:type="dxa"/>
            <w:vAlign w:val="bottom"/>
            <w:shd w:val="clear" w:color="auto" w:fill="284993"/>
          </w:tcPr>
          <w:p>
            <w:pPr>
              <w:jc w:val="center"/>
              <w:ind w:left="11"/>
              <w:spacing w:after="0"/>
              <w:rPr>
                <w:sz w:val="20"/>
                <w:szCs w:val="20"/>
                <w:color w:val="auto"/>
              </w:rPr>
            </w:pPr>
            <w:r>
              <w:rPr>
                <w:rFonts w:ascii="Arial" w:cs="Arial" w:eastAsia="Arial" w:hAnsi="Arial"/>
                <w:sz w:val="14"/>
                <w:szCs w:val="14"/>
                <w:b w:val="1"/>
                <w:bCs w:val="1"/>
                <w:color w:val="FFFFFF"/>
                <w:w w:val="93"/>
              </w:rPr>
              <w:t>(e)</w:t>
            </w:r>
          </w:p>
        </w:tc>
        <w:tc>
          <w:tcPr>
            <w:tcW w:w="1380" w:type="dxa"/>
            <w:vAlign w:val="bottom"/>
            <w:shd w:val="clear" w:color="auto" w:fill="284993"/>
          </w:tcPr>
          <w:p>
            <w:pPr>
              <w:jc w:val="center"/>
              <w:ind w:left="13"/>
              <w:spacing w:after="0" w:line="182" w:lineRule="exact"/>
              <w:rPr>
                <w:sz w:val="20"/>
                <w:szCs w:val="20"/>
                <w:color w:val="auto"/>
              </w:rPr>
            </w:pPr>
            <w:r>
              <w:rPr>
                <w:rFonts w:ascii="Arial" w:cs="Arial" w:eastAsia="Arial" w:hAnsi="Arial"/>
                <w:sz w:val="21"/>
                <w:szCs w:val="21"/>
                <w:b w:val="1"/>
                <w:bCs w:val="1"/>
                <w:color w:val="FFFFFF"/>
                <w:vertAlign w:val="subscript"/>
              </w:rPr>
              <w:t>(f)</w:t>
            </w:r>
            <w:r>
              <w:rPr>
                <w:rFonts w:ascii="Arial" w:cs="Arial" w:eastAsia="Arial" w:hAnsi="Arial"/>
                <w:sz w:val="9"/>
                <w:szCs w:val="9"/>
                <w:b w:val="1"/>
                <w:bCs w:val="1"/>
                <w:color w:val="FFFFFF"/>
              </w:rPr>
              <w:t>(3)</w:t>
            </w:r>
          </w:p>
        </w:tc>
      </w:tr>
      <w:tr>
        <w:trPr>
          <w:trHeight w:val="155"/>
        </w:trPr>
        <w:tc>
          <w:tcPr>
            <w:tcW w:w="1460" w:type="dxa"/>
            <w:vAlign w:val="bottom"/>
          </w:tcPr>
          <w:p>
            <w:pPr>
              <w:ind w:left="60"/>
              <w:spacing w:after="0" w:line="155" w:lineRule="exact"/>
              <w:rPr>
                <w:sz w:val="20"/>
                <w:szCs w:val="20"/>
                <w:color w:val="auto"/>
              </w:rPr>
            </w:pPr>
            <w:r>
              <w:rPr>
                <w:rFonts w:ascii="Arial" w:cs="Arial" w:eastAsia="Arial" w:hAnsi="Arial"/>
                <w:sz w:val="14"/>
                <w:szCs w:val="14"/>
                <w:color w:val="auto"/>
              </w:rPr>
              <w:t>Odilon Almeida</w:t>
            </w:r>
          </w:p>
        </w:tc>
        <w:tc>
          <w:tcPr>
            <w:tcW w:w="1640" w:type="dxa"/>
            <w:vAlign w:val="bottom"/>
          </w:tcPr>
          <w:p>
            <w:pPr>
              <w:jc w:val="center"/>
              <w:spacing w:after="0" w:line="155" w:lineRule="exact"/>
              <w:rPr>
                <w:sz w:val="20"/>
                <w:szCs w:val="20"/>
                <w:color w:val="auto"/>
              </w:rPr>
            </w:pPr>
            <w:r>
              <w:rPr>
                <w:rFonts w:ascii="Arial" w:cs="Arial" w:eastAsia="Arial" w:hAnsi="Arial"/>
                <w:sz w:val="14"/>
                <w:szCs w:val="14"/>
                <w:color w:val="auto"/>
                <w:w w:val="84"/>
              </w:rPr>
              <w:t>-</w:t>
            </w:r>
          </w:p>
        </w:tc>
        <w:tc>
          <w:tcPr>
            <w:tcW w:w="170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174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1400" w:type="dxa"/>
            <w:vAlign w:val="bottom"/>
          </w:tcPr>
          <w:p>
            <w:pPr>
              <w:jc w:val="center"/>
              <w:ind w:left="11"/>
              <w:spacing w:after="0" w:line="155" w:lineRule="exact"/>
              <w:rPr>
                <w:sz w:val="20"/>
                <w:szCs w:val="20"/>
                <w:color w:val="auto"/>
              </w:rPr>
            </w:pPr>
            <w:r>
              <w:rPr>
                <w:rFonts w:ascii="Arial" w:cs="Arial" w:eastAsia="Arial" w:hAnsi="Arial"/>
                <w:sz w:val="14"/>
                <w:szCs w:val="14"/>
                <w:color w:val="auto"/>
                <w:w w:val="84"/>
              </w:rPr>
              <w:t>-</w:t>
            </w:r>
          </w:p>
        </w:tc>
        <w:tc>
          <w:tcPr>
            <w:tcW w:w="1380" w:type="dxa"/>
            <w:vAlign w:val="bottom"/>
          </w:tcPr>
          <w:p>
            <w:pPr>
              <w:jc w:val="center"/>
              <w:spacing w:after="0" w:line="155" w:lineRule="exact"/>
              <w:rPr>
                <w:sz w:val="20"/>
                <w:szCs w:val="20"/>
                <w:color w:val="auto"/>
              </w:rPr>
            </w:pPr>
            <w:r>
              <w:rPr>
                <w:rFonts w:ascii="Arial" w:cs="Arial" w:eastAsia="Arial" w:hAnsi="Arial"/>
                <w:sz w:val="14"/>
                <w:szCs w:val="14"/>
                <w:color w:val="auto"/>
                <w:w w:val="84"/>
              </w:rPr>
              <w:t>-</w:t>
            </w:r>
          </w:p>
        </w:tc>
      </w:tr>
      <w:tr>
        <w:trPr>
          <w:trHeight w:val="148"/>
        </w:trPr>
        <w:tc>
          <w:tcPr>
            <w:tcW w:w="1460" w:type="dxa"/>
            <w:vAlign w:val="bottom"/>
            <w:shd w:val="clear" w:color="auto" w:fill="9DBDE4"/>
          </w:tcPr>
          <w:p>
            <w:pPr>
              <w:ind w:left="60"/>
              <w:spacing w:after="0" w:line="148" w:lineRule="exact"/>
              <w:rPr>
                <w:sz w:val="20"/>
                <w:szCs w:val="20"/>
                <w:color w:val="auto"/>
              </w:rPr>
            </w:pPr>
            <w:r>
              <w:rPr>
                <w:rFonts w:ascii="Arial" w:cs="Arial" w:eastAsia="Arial" w:hAnsi="Arial"/>
                <w:sz w:val="14"/>
                <w:szCs w:val="14"/>
                <w:color w:val="auto"/>
              </w:rPr>
              <w:t>Thomas W.</w:t>
            </w:r>
          </w:p>
        </w:tc>
        <w:tc>
          <w:tcPr>
            <w:tcW w:w="1640" w:type="dxa"/>
            <w:vAlign w:val="bottom"/>
            <w:shd w:val="clear" w:color="auto" w:fill="9DBDE4"/>
          </w:tcPr>
          <w:p>
            <w:pPr>
              <w:spacing w:after="0"/>
              <w:rPr>
                <w:sz w:val="12"/>
                <w:szCs w:val="12"/>
                <w:color w:val="auto"/>
              </w:rPr>
            </w:pPr>
          </w:p>
        </w:tc>
        <w:tc>
          <w:tcPr>
            <w:tcW w:w="1700" w:type="dxa"/>
            <w:vAlign w:val="bottom"/>
            <w:shd w:val="clear" w:color="auto" w:fill="9DBDE4"/>
          </w:tcPr>
          <w:p>
            <w:pPr>
              <w:spacing w:after="0"/>
              <w:rPr>
                <w:sz w:val="12"/>
                <w:szCs w:val="12"/>
                <w:color w:val="auto"/>
              </w:rPr>
            </w:pPr>
          </w:p>
        </w:tc>
        <w:tc>
          <w:tcPr>
            <w:tcW w:w="1740" w:type="dxa"/>
            <w:vAlign w:val="bottom"/>
            <w:shd w:val="clear" w:color="auto" w:fill="9DBDE4"/>
          </w:tcPr>
          <w:p>
            <w:pPr>
              <w:spacing w:after="0"/>
              <w:rPr>
                <w:sz w:val="12"/>
                <w:szCs w:val="12"/>
                <w:color w:val="auto"/>
              </w:rPr>
            </w:pPr>
          </w:p>
        </w:tc>
        <w:tc>
          <w:tcPr>
            <w:tcW w:w="1400" w:type="dxa"/>
            <w:vAlign w:val="bottom"/>
            <w:shd w:val="clear" w:color="auto" w:fill="9DBDE4"/>
          </w:tcPr>
          <w:p>
            <w:pPr>
              <w:spacing w:after="0"/>
              <w:rPr>
                <w:sz w:val="12"/>
                <w:szCs w:val="12"/>
                <w:color w:val="auto"/>
              </w:rPr>
            </w:pPr>
          </w:p>
        </w:tc>
        <w:tc>
          <w:tcPr>
            <w:tcW w:w="1380" w:type="dxa"/>
            <w:vAlign w:val="bottom"/>
            <w:shd w:val="clear" w:color="auto" w:fill="9DBDE4"/>
          </w:tcPr>
          <w:p>
            <w:pPr>
              <w:spacing w:after="0"/>
              <w:rPr>
                <w:sz w:val="12"/>
                <w:szCs w:val="12"/>
                <w:color w:val="auto"/>
              </w:rPr>
            </w:pPr>
          </w:p>
        </w:tc>
      </w:tr>
      <w:tr>
        <w:trPr>
          <w:trHeight w:val="163"/>
        </w:trPr>
        <w:tc>
          <w:tcPr>
            <w:tcW w:w="1460" w:type="dxa"/>
            <w:vAlign w:val="bottom"/>
            <w:shd w:val="clear" w:color="auto" w:fill="9DBDE4"/>
          </w:tcPr>
          <w:p>
            <w:pPr>
              <w:ind w:left="60"/>
              <w:spacing w:after="0"/>
              <w:rPr>
                <w:sz w:val="20"/>
                <w:szCs w:val="20"/>
                <w:color w:val="auto"/>
              </w:rPr>
            </w:pPr>
            <w:r>
              <w:rPr>
                <w:rFonts w:ascii="Arial" w:cs="Arial" w:eastAsia="Arial" w:hAnsi="Arial"/>
                <w:sz w:val="14"/>
                <w:szCs w:val="14"/>
                <w:color w:val="auto"/>
              </w:rPr>
              <w:t>Warsop, III</w:t>
            </w:r>
          </w:p>
        </w:tc>
        <w:tc>
          <w:tcPr>
            <w:tcW w:w="1640" w:type="dxa"/>
            <w:vAlign w:val="bottom"/>
            <w:shd w:val="clear" w:color="auto" w:fill="9DBDE4"/>
          </w:tcPr>
          <w:p>
            <w:pPr>
              <w:jc w:val="center"/>
              <w:spacing w:after="0"/>
              <w:rPr>
                <w:sz w:val="20"/>
                <w:szCs w:val="20"/>
                <w:color w:val="auto"/>
              </w:rPr>
            </w:pPr>
            <w:r>
              <w:rPr>
                <w:rFonts w:ascii="Arial" w:cs="Arial" w:eastAsia="Arial" w:hAnsi="Arial"/>
                <w:sz w:val="14"/>
                <w:szCs w:val="14"/>
                <w:color w:val="auto"/>
                <w:w w:val="84"/>
              </w:rPr>
              <w:t>-</w:t>
            </w:r>
          </w:p>
        </w:tc>
        <w:tc>
          <w:tcPr>
            <w:tcW w:w="1700" w:type="dxa"/>
            <w:vAlign w:val="bottom"/>
            <w:shd w:val="clear" w:color="auto" w:fill="9DBDE4"/>
          </w:tcPr>
          <w:p>
            <w:pPr>
              <w:jc w:val="center"/>
              <w:spacing w:after="0"/>
              <w:rPr>
                <w:sz w:val="20"/>
                <w:szCs w:val="20"/>
                <w:color w:val="auto"/>
              </w:rPr>
            </w:pPr>
            <w:r>
              <w:rPr>
                <w:rFonts w:ascii="Arial" w:cs="Arial" w:eastAsia="Arial" w:hAnsi="Arial"/>
                <w:sz w:val="14"/>
                <w:szCs w:val="14"/>
                <w:color w:val="auto"/>
              </w:rPr>
              <w:t>-</w:t>
            </w:r>
          </w:p>
        </w:tc>
        <w:tc>
          <w:tcPr>
            <w:tcW w:w="1740" w:type="dxa"/>
            <w:vAlign w:val="bottom"/>
            <w:shd w:val="clear" w:color="auto" w:fill="9DBDE4"/>
          </w:tcPr>
          <w:p>
            <w:pPr>
              <w:jc w:val="center"/>
              <w:spacing w:after="0"/>
              <w:rPr>
                <w:sz w:val="20"/>
                <w:szCs w:val="20"/>
                <w:color w:val="auto"/>
              </w:rPr>
            </w:pPr>
            <w:r>
              <w:rPr>
                <w:rFonts w:ascii="Arial" w:cs="Arial" w:eastAsia="Arial" w:hAnsi="Arial"/>
                <w:sz w:val="14"/>
                <w:szCs w:val="14"/>
                <w:color w:val="auto"/>
              </w:rPr>
              <w:t>-</w:t>
            </w:r>
          </w:p>
        </w:tc>
        <w:tc>
          <w:tcPr>
            <w:tcW w:w="1400" w:type="dxa"/>
            <w:vAlign w:val="bottom"/>
            <w:shd w:val="clear" w:color="auto" w:fill="9DBDE4"/>
          </w:tcPr>
          <w:p>
            <w:pPr>
              <w:jc w:val="center"/>
              <w:ind w:left="11"/>
              <w:spacing w:after="0"/>
              <w:rPr>
                <w:sz w:val="20"/>
                <w:szCs w:val="20"/>
                <w:color w:val="auto"/>
              </w:rPr>
            </w:pPr>
            <w:r>
              <w:rPr>
                <w:rFonts w:ascii="Arial" w:cs="Arial" w:eastAsia="Arial" w:hAnsi="Arial"/>
                <w:sz w:val="14"/>
                <w:szCs w:val="14"/>
                <w:color w:val="auto"/>
                <w:w w:val="84"/>
              </w:rPr>
              <w:t>-</w:t>
            </w:r>
          </w:p>
        </w:tc>
        <w:tc>
          <w:tcPr>
            <w:tcW w:w="1380" w:type="dxa"/>
            <w:vAlign w:val="bottom"/>
            <w:shd w:val="clear" w:color="auto" w:fill="9DBDE4"/>
          </w:tcPr>
          <w:p>
            <w:pPr>
              <w:jc w:val="center"/>
              <w:spacing w:after="0"/>
              <w:rPr>
                <w:sz w:val="20"/>
                <w:szCs w:val="20"/>
                <w:color w:val="auto"/>
              </w:rPr>
            </w:pPr>
            <w:r>
              <w:rPr>
                <w:rFonts w:ascii="Arial" w:cs="Arial" w:eastAsia="Arial" w:hAnsi="Arial"/>
                <w:sz w:val="14"/>
                <w:szCs w:val="14"/>
                <w:color w:val="auto"/>
                <w:w w:val="84"/>
              </w:rPr>
              <w:t>-</w:t>
            </w:r>
          </w:p>
        </w:tc>
      </w:tr>
      <w:tr>
        <w:trPr>
          <w:trHeight w:val="155"/>
        </w:trPr>
        <w:tc>
          <w:tcPr>
            <w:tcW w:w="1460" w:type="dxa"/>
            <w:vAlign w:val="bottom"/>
          </w:tcPr>
          <w:p>
            <w:pPr>
              <w:ind w:left="60"/>
              <w:spacing w:after="0" w:line="155" w:lineRule="exact"/>
              <w:rPr>
                <w:sz w:val="20"/>
                <w:szCs w:val="20"/>
                <w:color w:val="auto"/>
              </w:rPr>
            </w:pPr>
            <w:r>
              <w:rPr>
                <w:rFonts w:ascii="Arial" w:cs="Arial" w:eastAsia="Arial" w:hAnsi="Arial"/>
                <w:sz w:val="14"/>
                <w:szCs w:val="14"/>
                <w:color w:val="auto"/>
              </w:rPr>
              <w:t>Scott W. Behrens</w:t>
            </w:r>
          </w:p>
        </w:tc>
        <w:tc>
          <w:tcPr>
            <w:tcW w:w="1640" w:type="dxa"/>
            <w:vAlign w:val="bottom"/>
          </w:tcPr>
          <w:p>
            <w:pPr>
              <w:jc w:val="center"/>
              <w:spacing w:after="0" w:line="155" w:lineRule="exact"/>
              <w:rPr>
                <w:sz w:val="20"/>
                <w:szCs w:val="20"/>
                <w:color w:val="auto"/>
              </w:rPr>
            </w:pPr>
            <w:r>
              <w:rPr>
                <w:rFonts w:ascii="Arial" w:cs="Arial" w:eastAsia="Arial" w:hAnsi="Arial"/>
                <w:sz w:val="14"/>
                <w:szCs w:val="14"/>
                <w:color w:val="auto"/>
                <w:w w:val="84"/>
              </w:rPr>
              <w:t>-</w:t>
            </w:r>
          </w:p>
        </w:tc>
        <w:tc>
          <w:tcPr>
            <w:tcW w:w="170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174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1400" w:type="dxa"/>
            <w:vAlign w:val="bottom"/>
          </w:tcPr>
          <w:p>
            <w:pPr>
              <w:jc w:val="center"/>
              <w:ind w:left="11"/>
              <w:spacing w:after="0" w:line="155" w:lineRule="exact"/>
              <w:rPr>
                <w:sz w:val="20"/>
                <w:szCs w:val="20"/>
                <w:color w:val="auto"/>
              </w:rPr>
            </w:pPr>
            <w:r>
              <w:rPr>
                <w:rFonts w:ascii="Arial" w:cs="Arial" w:eastAsia="Arial" w:hAnsi="Arial"/>
                <w:sz w:val="14"/>
                <w:szCs w:val="14"/>
                <w:color w:val="auto"/>
                <w:w w:val="84"/>
              </w:rPr>
              <w:t>-</w:t>
            </w:r>
          </w:p>
        </w:tc>
        <w:tc>
          <w:tcPr>
            <w:tcW w:w="1380" w:type="dxa"/>
            <w:vAlign w:val="bottom"/>
          </w:tcPr>
          <w:p>
            <w:pPr>
              <w:jc w:val="center"/>
              <w:spacing w:after="0" w:line="155" w:lineRule="exact"/>
              <w:rPr>
                <w:sz w:val="20"/>
                <w:szCs w:val="20"/>
                <w:color w:val="auto"/>
              </w:rPr>
            </w:pPr>
            <w:r>
              <w:rPr>
                <w:rFonts w:ascii="Arial" w:cs="Arial" w:eastAsia="Arial" w:hAnsi="Arial"/>
                <w:sz w:val="14"/>
                <w:szCs w:val="14"/>
                <w:color w:val="auto"/>
                <w:w w:val="84"/>
              </w:rPr>
              <w:t>-</w:t>
            </w:r>
          </w:p>
        </w:tc>
      </w:tr>
      <w:tr>
        <w:trPr>
          <w:trHeight w:val="155"/>
        </w:trPr>
        <w:tc>
          <w:tcPr>
            <w:tcW w:w="1460" w:type="dxa"/>
            <w:vAlign w:val="bottom"/>
            <w:shd w:val="clear" w:color="auto" w:fill="9DBDE4"/>
          </w:tcPr>
          <w:p>
            <w:pPr>
              <w:ind w:left="60"/>
              <w:spacing w:after="0" w:line="155" w:lineRule="exact"/>
              <w:rPr>
                <w:sz w:val="20"/>
                <w:szCs w:val="20"/>
                <w:color w:val="auto"/>
              </w:rPr>
            </w:pPr>
            <w:r>
              <w:rPr>
                <w:rFonts w:ascii="Arial" w:cs="Arial" w:eastAsia="Arial" w:hAnsi="Arial"/>
                <w:sz w:val="14"/>
                <w:szCs w:val="14"/>
                <w:color w:val="auto"/>
              </w:rPr>
              <w:t>Ram K. Puppala</w:t>
            </w:r>
          </w:p>
        </w:tc>
        <w:tc>
          <w:tcPr>
            <w:tcW w:w="1640" w:type="dxa"/>
            <w:vAlign w:val="bottom"/>
            <w:shd w:val="clear" w:color="auto" w:fill="9DBDE4"/>
          </w:tcPr>
          <w:p>
            <w:pPr>
              <w:jc w:val="center"/>
              <w:spacing w:after="0" w:line="155" w:lineRule="exact"/>
              <w:rPr>
                <w:sz w:val="20"/>
                <w:szCs w:val="20"/>
                <w:color w:val="auto"/>
              </w:rPr>
            </w:pPr>
            <w:r>
              <w:rPr>
                <w:rFonts w:ascii="Arial" w:cs="Arial" w:eastAsia="Arial" w:hAnsi="Arial"/>
                <w:sz w:val="14"/>
                <w:szCs w:val="14"/>
                <w:color w:val="auto"/>
                <w:w w:val="98"/>
              </w:rPr>
              <w:t>$82,000</w:t>
            </w:r>
          </w:p>
        </w:tc>
        <w:tc>
          <w:tcPr>
            <w:tcW w:w="1700" w:type="dxa"/>
            <w:vAlign w:val="bottom"/>
            <w:shd w:val="clear" w:color="auto" w:fill="9DBDE4"/>
          </w:tcPr>
          <w:p>
            <w:pPr>
              <w:jc w:val="center"/>
              <w:spacing w:after="0" w:line="155" w:lineRule="exact"/>
              <w:rPr>
                <w:sz w:val="20"/>
                <w:szCs w:val="20"/>
                <w:color w:val="auto"/>
              </w:rPr>
            </w:pPr>
            <w:r>
              <w:rPr>
                <w:rFonts w:ascii="Arial" w:cs="Arial" w:eastAsia="Arial" w:hAnsi="Arial"/>
                <w:sz w:val="14"/>
                <w:szCs w:val="14"/>
                <w:color w:val="auto"/>
              </w:rPr>
              <w:t>-</w:t>
            </w:r>
          </w:p>
        </w:tc>
        <w:tc>
          <w:tcPr>
            <w:tcW w:w="1740" w:type="dxa"/>
            <w:vAlign w:val="bottom"/>
            <w:shd w:val="clear" w:color="auto" w:fill="9DBDE4"/>
          </w:tcPr>
          <w:p>
            <w:pPr>
              <w:jc w:val="center"/>
              <w:spacing w:after="0" w:line="155" w:lineRule="exact"/>
              <w:rPr>
                <w:sz w:val="20"/>
                <w:szCs w:val="20"/>
                <w:color w:val="auto"/>
              </w:rPr>
            </w:pPr>
            <w:r>
              <w:rPr>
                <w:rFonts w:ascii="Arial" w:cs="Arial" w:eastAsia="Arial" w:hAnsi="Arial"/>
                <w:sz w:val="14"/>
                <w:szCs w:val="14"/>
                <w:color w:val="auto"/>
                <w:w w:val="95"/>
              </w:rPr>
              <w:t>($5,108)</w:t>
            </w:r>
          </w:p>
        </w:tc>
        <w:tc>
          <w:tcPr>
            <w:tcW w:w="1400" w:type="dxa"/>
            <w:vAlign w:val="bottom"/>
            <w:shd w:val="clear" w:color="auto" w:fill="9DBDE4"/>
          </w:tcPr>
          <w:p>
            <w:pPr>
              <w:jc w:val="center"/>
              <w:ind w:left="11"/>
              <w:spacing w:after="0" w:line="155" w:lineRule="exact"/>
              <w:rPr>
                <w:sz w:val="20"/>
                <w:szCs w:val="20"/>
                <w:color w:val="auto"/>
              </w:rPr>
            </w:pPr>
            <w:r>
              <w:rPr>
                <w:rFonts w:ascii="Arial" w:cs="Arial" w:eastAsia="Arial" w:hAnsi="Arial"/>
                <w:sz w:val="14"/>
                <w:szCs w:val="14"/>
                <w:color w:val="auto"/>
                <w:w w:val="84"/>
              </w:rPr>
              <w:t>-</w:t>
            </w:r>
          </w:p>
        </w:tc>
        <w:tc>
          <w:tcPr>
            <w:tcW w:w="1380" w:type="dxa"/>
            <w:vAlign w:val="bottom"/>
            <w:shd w:val="clear" w:color="auto" w:fill="9DBDE4"/>
          </w:tcPr>
          <w:p>
            <w:pPr>
              <w:jc w:val="center"/>
              <w:ind w:left="13"/>
              <w:spacing w:after="0" w:line="155" w:lineRule="exact"/>
              <w:rPr>
                <w:sz w:val="20"/>
                <w:szCs w:val="20"/>
                <w:color w:val="auto"/>
              </w:rPr>
            </w:pPr>
            <w:r>
              <w:rPr>
                <w:rFonts w:ascii="Arial" w:cs="Arial" w:eastAsia="Arial" w:hAnsi="Arial"/>
                <w:sz w:val="14"/>
                <w:szCs w:val="14"/>
                <w:color w:val="auto"/>
                <w:w w:val="98"/>
              </w:rPr>
              <w:t>$76,892</w:t>
            </w:r>
          </w:p>
        </w:tc>
      </w:tr>
      <w:tr>
        <w:trPr>
          <w:trHeight w:val="155"/>
        </w:trPr>
        <w:tc>
          <w:tcPr>
            <w:tcW w:w="1460" w:type="dxa"/>
            <w:vAlign w:val="bottom"/>
          </w:tcPr>
          <w:p>
            <w:pPr>
              <w:ind w:left="60"/>
              <w:spacing w:after="0" w:line="155" w:lineRule="exact"/>
              <w:rPr>
                <w:sz w:val="20"/>
                <w:szCs w:val="20"/>
                <w:color w:val="auto"/>
              </w:rPr>
            </w:pPr>
            <w:r>
              <w:rPr>
                <w:rFonts w:ascii="Arial" w:cs="Arial" w:eastAsia="Arial" w:hAnsi="Arial"/>
                <w:sz w:val="14"/>
                <w:szCs w:val="14"/>
                <w:color w:val="auto"/>
              </w:rPr>
              <w:t>Alessandro Silva</w:t>
            </w:r>
          </w:p>
        </w:tc>
        <w:tc>
          <w:tcPr>
            <w:tcW w:w="1640" w:type="dxa"/>
            <w:vAlign w:val="bottom"/>
          </w:tcPr>
          <w:p>
            <w:pPr>
              <w:jc w:val="center"/>
              <w:spacing w:after="0" w:line="155" w:lineRule="exact"/>
              <w:rPr>
                <w:sz w:val="20"/>
                <w:szCs w:val="20"/>
                <w:color w:val="auto"/>
              </w:rPr>
            </w:pPr>
            <w:r>
              <w:rPr>
                <w:rFonts w:ascii="Arial" w:cs="Arial" w:eastAsia="Arial" w:hAnsi="Arial"/>
                <w:sz w:val="14"/>
                <w:szCs w:val="14"/>
                <w:color w:val="auto"/>
                <w:w w:val="84"/>
              </w:rPr>
              <w:t>-</w:t>
            </w:r>
          </w:p>
        </w:tc>
        <w:tc>
          <w:tcPr>
            <w:tcW w:w="170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174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1400" w:type="dxa"/>
            <w:vAlign w:val="bottom"/>
          </w:tcPr>
          <w:p>
            <w:pPr>
              <w:jc w:val="center"/>
              <w:ind w:left="11"/>
              <w:spacing w:after="0" w:line="155" w:lineRule="exact"/>
              <w:rPr>
                <w:sz w:val="20"/>
                <w:szCs w:val="20"/>
                <w:color w:val="auto"/>
              </w:rPr>
            </w:pPr>
            <w:r>
              <w:rPr>
                <w:rFonts w:ascii="Arial" w:cs="Arial" w:eastAsia="Arial" w:hAnsi="Arial"/>
                <w:sz w:val="14"/>
                <w:szCs w:val="14"/>
                <w:color w:val="auto"/>
                <w:w w:val="84"/>
              </w:rPr>
              <w:t>-</w:t>
            </w:r>
          </w:p>
        </w:tc>
        <w:tc>
          <w:tcPr>
            <w:tcW w:w="1380" w:type="dxa"/>
            <w:vAlign w:val="bottom"/>
          </w:tcPr>
          <w:p>
            <w:pPr>
              <w:jc w:val="center"/>
              <w:spacing w:after="0" w:line="155" w:lineRule="exact"/>
              <w:rPr>
                <w:sz w:val="20"/>
                <w:szCs w:val="20"/>
                <w:color w:val="auto"/>
              </w:rPr>
            </w:pPr>
            <w:r>
              <w:rPr>
                <w:rFonts w:ascii="Arial" w:cs="Arial" w:eastAsia="Arial" w:hAnsi="Arial"/>
                <w:sz w:val="14"/>
                <w:szCs w:val="14"/>
                <w:color w:val="auto"/>
                <w:w w:val="84"/>
              </w:rPr>
              <w:t>-</w:t>
            </w:r>
          </w:p>
        </w:tc>
      </w:tr>
      <w:tr>
        <w:trPr>
          <w:trHeight w:val="155"/>
        </w:trPr>
        <w:tc>
          <w:tcPr>
            <w:tcW w:w="1460" w:type="dxa"/>
            <w:vAlign w:val="bottom"/>
            <w:shd w:val="clear" w:color="auto" w:fill="9DBDE4"/>
          </w:tcPr>
          <w:p>
            <w:pPr>
              <w:ind w:left="60"/>
              <w:spacing w:after="0" w:line="155" w:lineRule="exact"/>
              <w:rPr>
                <w:sz w:val="20"/>
                <w:szCs w:val="20"/>
                <w:color w:val="auto"/>
              </w:rPr>
            </w:pPr>
            <w:r>
              <w:rPr>
                <w:rFonts w:ascii="Arial" w:cs="Arial" w:eastAsia="Arial" w:hAnsi="Arial"/>
                <w:sz w:val="14"/>
                <w:szCs w:val="14"/>
                <w:color w:val="auto"/>
              </w:rPr>
              <w:t>Jeremy M. Wilmot</w:t>
            </w:r>
          </w:p>
        </w:tc>
        <w:tc>
          <w:tcPr>
            <w:tcW w:w="1640" w:type="dxa"/>
            <w:vAlign w:val="bottom"/>
            <w:shd w:val="clear" w:color="auto" w:fill="9DBDE4"/>
          </w:tcPr>
          <w:p>
            <w:pPr>
              <w:jc w:val="center"/>
              <w:spacing w:after="0" w:line="155" w:lineRule="exact"/>
              <w:rPr>
                <w:sz w:val="20"/>
                <w:szCs w:val="20"/>
                <w:color w:val="auto"/>
              </w:rPr>
            </w:pPr>
            <w:r>
              <w:rPr>
                <w:rFonts w:ascii="Arial" w:cs="Arial" w:eastAsia="Arial" w:hAnsi="Arial"/>
                <w:sz w:val="14"/>
                <w:szCs w:val="14"/>
                <w:color w:val="auto"/>
                <w:w w:val="84"/>
              </w:rPr>
              <w:t>-</w:t>
            </w:r>
          </w:p>
        </w:tc>
        <w:tc>
          <w:tcPr>
            <w:tcW w:w="1700" w:type="dxa"/>
            <w:vAlign w:val="bottom"/>
            <w:shd w:val="clear" w:color="auto" w:fill="9DBDE4"/>
          </w:tcPr>
          <w:p>
            <w:pPr>
              <w:jc w:val="center"/>
              <w:spacing w:after="0" w:line="155" w:lineRule="exact"/>
              <w:rPr>
                <w:sz w:val="20"/>
                <w:szCs w:val="20"/>
                <w:color w:val="auto"/>
              </w:rPr>
            </w:pPr>
            <w:r>
              <w:rPr>
                <w:rFonts w:ascii="Arial" w:cs="Arial" w:eastAsia="Arial" w:hAnsi="Arial"/>
                <w:sz w:val="14"/>
                <w:szCs w:val="14"/>
                <w:color w:val="auto"/>
              </w:rPr>
              <w:t>-</w:t>
            </w:r>
          </w:p>
        </w:tc>
        <w:tc>
          <w:tcPr>
            <w:tcW w:w="1740" w:type="dxa"/>
            <w:vAlign w:val="bottom"/>
            <w:shd w:val="clear" w:color="auto" w:fill="9DBDE4"/>
          </w:tcPr>
          <w:p>
            <w:pPr>
              <w:jc w:val="center"/>
              <w:spacing w:after="0" w:line="155" w:lineRule="exact"/>
              <w:rPr>
                <w:sz w:val="20"/>
                <w:szCs w:val="20"/>
                <w:color w:val="auto"/>
              </w:rPr>
            </w:pPr>
            <w:r>
              <w:rPr>
                <w:rFonts w:ascii="Arial" w:cs="Arial" w:eastAsia="Arial" w:hAnsi="Arial"/>
                <w:sz w:val="14"/>
                <w:szCs w:val="14"/>
                <w:color w:val="auto"/>
              </w:rPr>
              <w:t>-</w:t>
            </w:r>
          </w:p>
        </w:tc>
        <w:tc>
          <w:tcPr>
            <w:tcW w:w="1400" w:type="dxa"/>
            <w:vAlign w:val="bottom"/>
            <w:shd w:val="clear" w:color="auto" w:fill="9DBDE4"/>
          </w:tcPr>
          <w:p>
            <w:pPr>
              <w:jc w:val="center"/>
              <w:ind w:left="11"/>
              <w:spacing w:after="0" w:line="155" w:lineRule="exact"/>
              <w:rPr>
                <w:sz w:val="20"/>
                <w:szCs w:val="20"/>
                <w:color w:val="auto"/>
              </w:rPr>
            </w:pPr>
            <w:r>
              <w:rPr>
                <w:rFonts w:ascii="Arial" w:cs="Arial" w:eastAsia="Arial" w:hAnsi="Arial"/>
                <w:sz w:val="14"/>
                <w:szCs w:val="14"/>
                <w:color w:val="auto"/>
                <w:w w:val="84"/>
              </w:rPr>
              <w:t>-</w:t>
            </w:r>
          </w:p>
        </w:tc>
        <w:tc>
          <w:tcPr>
            <w:tcW w:w="1380" w:type="dxa"/>
            <w:vAlign w:val="bottom"/>
            <w:shd w:val="clear" w:color="auto" w:fill="9DBDE4"/>
          </w:tcPr>
          <w:p>
            <w:pPr>
              <w:jc w:val="center"/>
              <w:spacing w:after="0" w:line="155" w:lineRule="exact"/>
              <w:rPr>
                <w:sz w:val="20"/>
                <w:szCs w:val="20"/>
                <w:color w:val="auto"/>
              </w:rPr>
            </w:pPr>
            <w:r>
              <w:rPr>
                <w:rFonts w:ascii="Arial" w:cs="Arial" w:eastAsia="Arial" w:hAnsi="Arial"/>
                <w:sz w:val="14"/>
                <w:szCs w:val="14"/>
                <w:color w:val="auto"/>
                <w:w w:val="84"/>
              </w:rPr>
              <w:t>-</w:t>
            </w:r>
          </w:p>
        </w:tc>
      </w:tr>
      <w:tr>
        <w:trPr>
          <w:trHeight w:val="155"/>
        </w:trPr>
        <w:tc>
          <w:tcPr>
            <w:tcW w:w="1460" w:type="dxa"/>
            <w:vAlign w:val="bottom"/>
          </w:tcPr>
          <w:p>
            <w:pPr>
              <w:ind w:left="60"/>
              <w:spacing w:after="0" w:line="155" w:lineRule="exact"/>
              <w:rPr>
                <w:sz w:val="20"/>
                <w:szCs w:val="20"/>
                <w:color w:val="auto"/>
              </w:rPr>
            </w:pPr>
            <w:r>
              <w:rPr>
                <w:rFonts w:ascii="Arial" w:cs="Arial" w:eastAsia="Arial" w:hAnsi="Arial"/>
                <w:sz w:val="14"/>
                <w:szCs w:val="14"/>
                <w:color w:val="auto"/>
              </w:rPr>
              <w:t>Deborah L. Guerra</w:t>
            </w:r>
          </w:p>
        </w:tc>
        <w:tc>
          <w:tcPr>
            <w:tcW w:w="1640" w:type="dxa"/>
            <w:vAlign w:val="bottom"/>
          </w:tcPr>
          <w:p>
            <w:pPr>
              <w:jc w:val="center"/>
              <w:spacing w:after="0" w:line="155" w:lineRule="exact"/>
              <w:rPr>
                <w:sz w:val="20"/>
                <w:szCs w:val="20"/>
                <w:color w:val="auto"/>
              </w:rPr>
            </w:pPr>
            <w:r>
              <w:rPr>
                <w:rFonts w:ascii="Arial" w:cs="Arial" w:eastAsia="Arial" w:hAnsi="Arial"/>
                <w:sz w:val="14"/>
                <w:szCs w:val="14"/>
                <w:color w:val="auto"/>
                <w:w w:val="98"/>
              </w:rPr>
              <w:t>$37,383</w:t>
            </w:r>
          </w:p>
        </w:tc>
        <w:tc>
          <w:tcPr>
            <w:tcW w:w="170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1740" w:type="dxa"/>
            <w:vAlign w:val="bottom"/>
          </w:tcPr>
          <w:p>
            <w:pPr>
              <w:jc w:val="center"/>
              <w:spacing w:after="0" w:line="155" w:lineRule="exact"/>
              <w:rPr>
                <w:sz w:val="20"/>
                <w:szCs w:val="20"/>
                <w:color w:val="auto"/>
              </w:rPr>
            </w:pPr>
            <w:r>
              <w:rPr>
                <w:rFonts w:ascii="Arial" w:cs="Arial" w:eastAsia="Arial" w:hAnsi="Arial"/>
                <w:sz w:val="14"/>
                <w:szCs w:val="14"/>
                <w:color w:val="auto"/>
                <w:w w:val="95"/>
              </w:rPr>
              <w:t>($1,058)</w:t>
            </w:r>
          </w:p>
        </w:tc>
        <w:tc>
          <w:tcPr>
            <w:tcW w:w="1400" w:type="dxa"/>
            <w:vAlign w:val="bottom"/>
          </w:tcPr>
          <w:p>
            <w:pPr>
              <w:jc w:val="center"/>
              <w:ind w:left="11"/>
              <w:spacing w:after="0" w:line="155" w:lineRule="exact"/>
              <w:rPr>
                <w:sz w:val="20"/>
                <w:szCs w:val="20"/>
                <w:color w:val="auto"/>
              </w:rPr>
            </w:pPr>
            <w:r>
              <w:rPr>
                <w:rFonts w:ascii="Arial" w:cs="Arial" w:eastAsia="Arial" w:hAnsi="Arial"/>
                <w:sz w:val="14"/>
                <w:szCs w:val="14"/>
                <w:color w:val="auto"/>
                <w:w w:val="84"/>
              </w:rPr>
              <w:t>-</w:t>
            </w:r>
          </w:p>
        </w:tc>
        <w:tc>
          <w:tcPr>
            <w:tcW w:w="1380" w:type="dxa"/>
            <w:vAlign w:val="bottom"/>
          </w:tcPr>
          <w:p>
            <w:pPr>
              <w:jc w:val="center"/>
              <w:ind w:left="13"/>
              <w:spacing w:after="0" w:line="155" w:lineRule="exact"/>
              <w:rPr>
                <w:sz w:val="20"/>
                <w:szCs w:val="20"/>
                <w:color w:val="auto"/>
              </w:rPr>
            </w:pPr>
            <w:r>
              <w:rPr>
                <w:rFonts w:ascii="Arial" w:cs="Arial" w:eastAsia="Arial" w:hAnsi="Arial"/>
                <w:sz w:val="14"/>
                <w:szCs w:val="14"/>
                <w:color w:val="auto"/>
                <w:w w:val="98"/>
              </w:rPr>
              <w:t>$36,325</w:t>
            </w:r>
          </w:p>
        </w:tc>
      </w:tr>
      <w:tr>
        <w:trPr>
          <w:trHeight w:val="155"/>
        </w:trPr>
        <w:tc>
          <w:tcPr>
            <w:tcW w:w="1460" w:type="dxa"/>
            <w:vAlign w:val="bottom"/>
            <w:tcBorders>
              <w:bottom w:val="single" w:sz="8" w:color="284993"/>
            </w:tcBorders>
            <w:shd w:val="clear" w:color="auto" w:fill="9DBDE4"/>
          </w:tcPr>
          <w:p>
            <w:pPr>
              <w:ind w:left="60"/>
              <w:spacing w:after="0" w:line="155" w:lineRule="exact"/>
              <w:rPr>
                <w:sz w:val="20"/>
                <w:szCs w:val="20"/>
                <w:color w:val="auto"/>
              </w:rPr>
            </w:pPr>
            <w:r>
              <w:rPr>
                <w:rFonts w:ascii="Arial" w:cs="Arial" w:eastAsia="Arial" w:hAnsi="Arial"/>
                <w:sz w:val="14"/>
                <w:szCs w:val="14"/>
                <w:color w:val="auto"/>
              </w:rPr>
              <w:t>Evanthia Aretakis</w:t>
            </w:r>
          </w:p>
        </w:tc>
        <w:tc>
          <w:tcPr>
            <w:tcW w:w="1640" w:type="dxa"/>
            <w:vAlign w:val="bottom"/>
            <w:tcBorders>
              <w:bottom w:val="single" w:sz="8" w:color="284993"/>
            </w:tcBorders>
            <w:shd w:val="clear" w:color="auto" w:fill="9DBDE4"/>
          </w:tcPr>
          <w:p>
            <w:pPr>
              <w:jc w:val="center"/>
              <w:spacing w:after="0" w:line="155" w:lineRule="exact"/>
              <w:rPr>
                <w:sz w:val="20"/>
                <w:szCs w:val="20"/>
                <w:color w:val="auto"/>
              </w:rPr>
            </w:pPr>
            <w:r>
              <w:rPr>
                <w:rFonts w:ascii="Arial" w:cs="Arial" w:eastAsia="Arial" w:hAnsi="Arial"/>
                <w:sz w:val="14"/>
                <w:szCs w:val="14"/>
                <w:color w:val="auto"/>
                <w:w w:val="84"/>
              </w:rPr>
              <w:t>-</w:t>
            </w:r>
          </w:p>
        </w:tc>
        <w:tc>
          <w:tcPr>
            <w:tcW w:w="1700" w:type="dxa"/>
            <w:vAlign w:val="bottom"/>
            <w:tcBorders>
              <w:bottom w:val="single" w:sz="8" w:color="284993"/>
            </w:tcBorders>
            <w:shd w:val="clear" w:color="auto" w:fill="9DBDE4"/>
          </w:tcPr>
          <w:p>
            <w:pPr>
              <w:jc w:val="center"/>
              <w:spacing w:after="0" w:line="155"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284993"/>
            </w:tcBorders>
            <w:shd w:val="clear" w:color="auto" w:fill="9DBDE4"/>
          </w:tcPr>
          <w:p>
            <w:pPr>
              <w:jc w:val="center"/>
              <w:spacing w:after="0" w:line="155"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284993"/>
            </w:tcBorders>
            <w:shd w:val="clear" w:color="auto" w:fill="9DBDE4"/>
          </w:tcPr>
          <w:p>
            <w:pPr>
              <w:jc w:val="center"/>
              <w:ind w:left="11"/>
              <w:spacing w:after="0" w:line="155" w:lineRule="exact"/>
              <w:rPr>
                <w:sz w:val="20"/>
                <w:szCs w:val="20"/>
                <w:color w:val="auto"/>
              </w:rPr>
            </w:pPr>
            <w:r>
              <w:rPr>
                <w:rFonts w:ascii="Arial" w:cs="Arial" w:eastAsia="Arial" w:hAnsi="Arial"/>
                <w:sz w:val="14"/>
                <w:szCs w:val="14"/>
                <w:color w:val="auto"/>
                <w:w w:val="84"/>
              </w:rPr>
              <w:t>-</w:t>
            </w:r>
          </w:p>
        </w:tc>
        <w:tc>
          <w:tcPr>
            <w:tcW w:w="1380" w:type="dxa"/>
            <w:vAlign w:val="bottom"/>
            <w:tcBorders>
              <w:bottom w:val="single" w:sz="8" w:color="284993"/>
            </w:tcBorders>
            <w:shd w:val="clear" w:color="auto" w:fill="9DBDE4"/>
          </w:tcPr>
          <w:p>
            <w:pPr>
              <w:jc w:val="center"/>
              <w:spacing w:after="0" w:line="155" w:lineRule="exact"/>
              <w:rPr>
                <w:sz w:val="20"/>
                <w:szCs w:val="20"/>
                <w:color w:val="auto"/>
              </w:rPr>
            </w:pPr>
            <w:r>
              <w:rPr>
                <w:rFonts w:ascii="Arial" w:cs="Arial" w:eastAsia="Arial" w:hAnsi="Arial"/>
                <w:sz w:val="14"/>
                <w:szCs w:val="14"/>
                <w:color w:val="auto"/>
                <w:w w:val="84"/>
              </w:rPr>
              <w:t>-</w:t>
            </w:r>
          </w:p>
        </w:tc>
      </w:tr>
    </w:tbl>
    <w:p>
      <w:pPr>
        <w:ind w:left="280" w:hanging="278"/>
        <w:spacing w:after="0" w:line="233" w:lineRule="auto"/>
        <w:tabs>
          <w:tab w:leader="none" w:pos="280" w:val="left"/>
        </w:tabs>
        <w:numPr>
          <w:ilvl w:val="0"/>
          <w:numId w:val="57"/>
        </w:numPr>
        <w:rPr>
          <w:rFonts w:ascii="Arial" w:cs="Arial" w:eastAsia="Arial" w:hAnsi="Arial"/>
          <w:sz w:val="18"/>
          <w:szCs w:val="18"/>
          <w:color w:val="auto"/>
          <w:vertAlign w:val="superscript"/>
        </w:rPr>
      </w:pPr>
      <w:r>
        <w:rPr>
          <w:rFonts w:ascii="Arial" w:cs="Arial" w:eastAsia="Arial" w:hAnsi="Arial"/>
          <w:sz w:val="12"/>
          <w:szCs w:val="12"/>
          <w:color w:val="auto"/>
        </w:rPr>
        <w:t>The amount reported in this column is reported as “Salary” in the 2022 Summary Compensation Table.</w:t>
      </w:r>
    </w:p>
    <w:p>
      <w:pPr>
        <w:ind w:left="280" w:hanging="278"/>
        <w:spacing w:after="0" w:line="180" w:lineRule="auto"/>
        <w:tabs>
          <w:tab w:leader="none" w:pos="280" w:val="left"/>
        </w:tabs>
        <w:numPr>
          <w:ilvl w:val="0"/>
          <w:numId w:val="57"/>
        </w:numPr>
        <w:rPr>
          <w:rFonts w:ascii="Arial" w:cs="Arial" w:eastAsia="Arial" w:hAnsi="Arial"/>
          <w:sz w:val="15"/>
          <w:szCs w:val="15"/>
          <w:color w:val="auto"/>
          <w:vertAlign w:val="superscript"/>
        </w:rPr>
      </w:pPr>
      <w:r>
        <w:rPr>
          <w:rFonts w:ascii="Arial" w:cs="Arial" w:eastAsia="Arial" w:hAnsi="Arial"/>
          <w:sz w:val="10"/>
          <w:szCs w:val="10"/>
          <w:color w:val="auto"/>
        </w:rPr>
        <w:t>The amount reported in this column is not reported in the 2022 Summary Compensation Table because the earnings are not above-market or preferential.</w:t>
      </w:r>
    </w:p>
    <w:p>
      <w:pPr>
        <w:ind w:left="280" w:hanging="278"/>
        <w:spacing w:after="0" w:line="180" w:lineRule="auto"/>
        <w:tabs>
          <w:tab w:leader="none" w:pos="280" w:val="left"/>
        </w:tabs>
        <w:numPr>
          <w:ilvl w:val="0"/>
          <w:numId w:val="57"/>
        </w:numPr>
        <w:rPr>
          <w:rFonts w:ascii="Arial" w:cs="Arial" w:eastAsia="Arial" w:hAnsi="Arial"/>
          <w:sz w:val="17"/>
          <w:szCs w:val="17"/>
          <w:color w:val="auto"/>
          <w:vertAlign w:val="superscript"/>
        </w:rPr>
      </w:pPr>
      <w:r>
        <w:rPr>
          <w:rFonts w:ascii="Arial" w:cs="Arial" w:eastAsia="Arial" w:hAnsi="Arial"/>
          <w:sz w:val="12"/>
          <w:szCs w:val="12"/>
          <w:color w:val="auto"/>
        </w:rPr>
        <w:t>None of the amounts reported in this column were reported as compensation in our Summary Compensation Tables for prior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83185</wp:posOffset>
            </wp:positionV>
            <wp:extent cx="699135" cy="1314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74</w:t>
      </w:r>
    </w:p>
    <w:p>
      <w:pPr>
        <w:sectPr>
          <w:pgSz w:w="11900" w:h="16838" w:orient="portrait"/>
          <w:cols w:equalWidth="0" w:num="1">
            <w:col w:w="9320"/>
          </w:cols>
          <w:pgMar w:left="1280" w:top="285" w:right="1299" w:bottom="1440" w:gutter="0" w:footer="0" w:header="0"/>
        </w:sectPr>
      </w:pPr>
    </w:p>
    <w:bookmarkStart w:id="80" w:name="page81"/>
    <w:bookmarkEnd w:id="80"/>
    <w:p>
      <w:pPr>
        <w:jc w:val="center"/>
        <w:spacing w:after="0" w:line="269" w:lineRule="auto"/>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59207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Severance Policy</w:t>
      </w:r>
    </w:p>
    <w:p>
      <w:pPr>
        <w:spacing w:after="0" w:line="123"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For Named Executive Officers, we adopted a severance policy which we refer to as our Severance Pay Plan. That policy provides severance, medical and dental continuation benefits to eligible employees. Under the Plan, all members of the Executive Leadership Team participated during 2022 (except for the Interim CEO, and as described below with respect to the Former CEO). Participating Named Executive Officers are eligible to receive one year’s worth of base salary, target bonus, and a one-year continuation of benefits and outplacement services effective from July 1, 2022</w:t>
      </w:r>
      <w:r>
        <w:rPr>
          <w:rFonts w:ascii="Arial" w:cs="Arial" w:eastAsia="Arial" w:hAnsi="Arial"/>
          <w:sz w:val="16"/>
          <w:szCs w:val="16"/>
          <w:i w:val="1"/>
          <w:iCs w:val="1"/>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CEO Severance Agreement</w:t>
      </w:r>
    </w:p>
    <w:p>
      <w:pPr>
        <w:spacing w:after="0" w:line="123" w:lineRule="exact"/>
        <w:rPr>
          <w:sz w:val="20"/>
          <w:szCs w:val="20"/>
          <w:color w:val="auto"/>
        </w:rPr>
      </w:pPr>
    </w:p>
    <w:p>
      <w:pPr>
        <w:ind w:right="20"/>
        <w:spacing w:after="0"/>
        <w:rPr>
          <w:sz w:val="20"/>
          <w:szCs w:val="20"/>
          <w:color w:val="auto"/>
        </w:rPr>
      </w:pPr>
      <w:r>
        <w:rPr>
          <w:rFonts w:ascii="Arial" w:cs="Arial" w:eastAsia="Arial" w:hAnsi="Arial"/>
          <w:sz w:val="16"/>
          <w:szCs w:val="16"/>
          <w:color w:val="auto"/>
        </w:rPr>
        <w:t>In connection with the commencement of his employment on March 8, 2020, we entered into a severance agreement with our Former CEO (the “Prior CEO Severance Agreement”). That severance agreement expired on its second anniversary, March 8, 2022, and our Former CEO did not participate in our severance policy while it was in effect. The Prior CEO Severance Agreement provided for certain post-employment payments and benefits in the event of termination of employment under certain circumstances. After the expiration of the Prior CEO Severance Agreement, our Former CEO temporarily became a participant in our severance policy. On April 15, 2022, we entered into a new severance agreement with the Former CEO (the “2022 CEO Severance Agreement”), which was in effect upon his separation from employment in November 2022; he did not participate in our severance policy while the 2022 CEO Severance Agreement was in effect.</w:t>
      </w:r>
    </w:p>
    <w:p>
      <w:pPr>
        <w:spacing w:after="0" w:line="186" w:lineRule="exact"/>
        <w:rPr>
          <w:sz w:val="20"/>
          <w:szCs w:val="20"/>
          <w:color w:val="auto"/>
        </w:rPr>
      </w:pPr>
    </w:p>
    <w:p>
      <w:pPr>
        <w:ind w:right="420"/>
        <w:spacing w:after="0" w:line="280" w:lineRule="auto"/>
        <w:rPr>
          <w:sz w:val="20"/>
          <w:szCs w:val="20"/>
          <w:color w:val="auto"/>
        </w:rPr>
      </w:pPr>
      <w:r>
        <w:rPr>
          <w:rFonts w:ascii="Arial" w:cs="Arial" w:eastAsia="Arial" w:hAnsi="Arial"/>
          <w:sz w:val="14"/>
          <w:szCs w:val="14"/>
          <w:color w:val="auto"/>
        </w:rPr>
        <w:t>The 2022 CEO Severance Agreement provided that if the Company terminated Mr. Almeida’s employment other than for “Cause,” death or “Disability,” or Mr. Almeida terminated his employment for “Good Reason,” other than in circumstances covered by</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Mr. Almeida’s CIC Agreement (defined below), Mr. Almeida would be entitled to the following benefits: (1) a lump sum cash amount equal to 1.5 times the sum of his annual base salary plus his target annual bonus; (2) generally, at least 18 months of continued benefits to him and his family at the same after-tax cost to him as would have applied prior to the termination (or certain economically equivalent benefits); (3) pro-rata vesting of his then-outstanding restricted stock units; and (4) pro-rata vesting of his then-outstanding performance stock units based on actual performance for the full performance period. Pro-rata vesting of equity awards as described above is based on Mr. Almeida’s completed months of service during the vesting or performance period, as applicable. The terms “Cause,” “Disability,” and “Good Reason” have the meanings assigned thereto in Mr. Almeida’s Change in Control Employment Agreement. The separation benefits described above are generally subject to Mr. Almeida’s execution and non-revocation of a customary release of claims in favor of the Company, as well as his compliance with certain customary confidentiality, non-competition, and employee and customer non-solicitation restrictive covenants.</w:t>
      </w:r>
    </w:p>
    <w:p>
      <w:pPr>
        <w:spacing w:after="0" w:line="179"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Change in Control Agreements</w:t>
      </w:r>
    </w:p>
    <w:p>
      <w:pPr>
        <w:spacing w:after="0" w:line="123" w:lineRule="exact"/>
        <w:rPr>
          <w:sz w:val="20"/>
          <w:szCs w:val="20"/>
          <w:color w:val="auto"/>
        </w:rPr>
      </w:pPr>
    </w:p>
    <w:p>
      <w:pPr>
        <w:jc w:val="both"/>
        <w:ind w:right="60"/>
        <w:spacing w:after="0" w:line="249" w:lineRule="auto"/>
        <w:rPr>
          <w:sz w:val="20"/>
          <w:szCs w:val="20"/>
          <w:color w:val="auto"/>
        </w:rPr>
      </w:pPr>
      <w:r>
        <w:rPr>
          <w:rFonts w:ascii="Arial" w:cs="Arial" w:eastAsia="Arial" w:hAnsi="Arial"/>
          <w:sz w:val="16"/>
          <w:szCs w:val="16"/>
          <w:color w:val="auto"/>
        </w:rPr>
        <w:t>We have entered into a Change in Control Agreement (the “CIC Agreement”) with each of our Named Executive Officers other than the Interim CEO (each an “Executive” for purposes of this section). The CIC Agreement has an initial term of two years and is extended by two years on each anniversary of the effective date unless proper notice is provided to the Executive.</w:t>
      </w:r>
    </w:p>
    <w:p>
      <w:pPr>
        <w:spacing w:after="0" w:line="178"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The CIC Agreement provides that ACI will employ the Executive for a two-year period following a change in control (as defined in the CIC Agreement) (the “Employment Period”). During the Employment Period, ACI will (i) pay the Executive a base salary equal to the highest annual rate of base salary paid or payable to the executive for the 12-month period prior to the change in control, (ii) award the Executive for each fiscal period during the Employment Period total annual and quarterly bonus opportunities equal to at least the executive’s target annual and quarterly bonus opportunities for the year in which the change in control occurs, and (iii) allow the Executive opportunities to participate in ACI’s incentive, savings and retirement plans to an extent no less favorable than opportunities provided for by ACI in the 120-day period prior to the effective date of any change in control.</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75</w:t>
      </w:r>
    </w:p>
    <w:p>
      <w:pPr>
        <w:sectPr>
          <w:pgSz w:w="11900" w:h="16838" w:orient="portrait"/>
          <w:cols w:equalWidth="0" w:num="1">
            <w:col w:w="9320"/>
          </w:cols>
          <w:pgMar w:left="1280" w:top="253" w:right="1299"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The CIC Agreement also sets forth our obligations in the event the Executive’s employment terminates during the Employment Period.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such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Termination of Employment by the Company Other Than for Cause or by the Executive for Good Reason</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CIC Agreement provides that if the Executive’s employment is terminated during the Employment Period other than for cause or the Executive’s death or disability, or the Executive terminates employment for good reason, the Executive will be entitled to receive from ACI certain payments and benefits, contingent upon the receipt of a release of claims as set forth in the CIC Agreement. These payments and benefits include (i) the lump sum of (a) the Executive’s unpaid current-year annual base salary through the date of termination, a portion of current-year bonus based on the current-year target annual bonus, prorated through the date of termination, and any accrued and unpaid vacation pay (together, the “Accrued Obligations”), plus (b) two times, the sum of the annual base salary and target annual bonus; (ii) continued participation at ACI’s cost in welfare benefits plans in which the Executive would have been participating for two years, from the date of termination or until the Executive receives equivalent benefits from a subsequent employer, in which case, welfare benefits plans provided pursuant to the CIC Agreement shall be secondary to those provided under such other plans during the applicable period of eligibility; (iii) outplacement services at ACI’s sole expense, not to exceed $50,000; (iv) any unpaid amounts that are vested benefits or that the Executive is otherwise entitled to receive under any plan, policy, practice, program, or any other contract or agreement with ACI or the affiliated companies at or subsequent to the date of termination (the “Other Benefits”); and</w:t>
      </w:r>
    </w:p>
    <w:p>
      <w:pPr>
        <w:spacing w:after="0" w:line="160" w:lineRule="exact"/>
        <w:rPr>
          <w:sz w:val="20"/>
          <w:szCs w:val="20"/>
          <w:color w:val="auto"/>
        </w:rPr>
      </w:pPr>
    </w:p>
    <w:p>
      <w:pPr>
        <w:ind w:right="140" w:firstLine="2"/>
        <w:spacing w:after="0" w:line="245" w:lineRule="auto"/>
        <w:tabs>
          <w:tab w:leader="none" w:pos="224"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Executive shall become fully vested and entitled to immediately exercise (if applicable), all stock-based awards, granted to the Executive under any plans or agreement of ACI.</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Death</w:t>
      </w:r>
    </w:p>
    <w:p>
      <w:pPr>
        <w:spacing w:after="0" w:line="10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If the Executive’s employment is terminated by reason of the Executive’s death, we must provide the Executive’s estate or beneficiaries with the Accrued Obligations and the timely payment or delivery of the Other Benefits and will have no other severance obligations under the CIC Agreement.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Disability</w:t>
      </w:r>
    </w:p>
    <w:p>
      <w:pPr>
        <w:spacing w:after="0" w:line="107"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If the Executive’s employment is terminated by reason of the Executive’s disability, we must provide the Executive with the Accrued Obligations and the timely payment or delivery of the Other Benefits and shall have no other severance obligations under the CIC Agreement.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Termination of Employment for Cause or by Executive Other Than for Good Reason</w:t>
      </w:r>
    </w:p>
    <w:p>
      <w:pPr>
        <w:spacing w:after="0" w:line="107"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The CIC Agreement provides that if the Executive’s employment is terminated for cause, ACI shall provide the Executive with the executive’s annual base salary through the date of termination, and the timely payment or delivery of the Other Benefits and shall have no other severance obligations under the CIC Agreement. If the Executive voluntarily terminates employment, excluding a termination for good reason, ACI shall provide to the Executive the Accrued Obligations and the timely payment or delivery of the Other Benefits, and shall have no other severance obligations under the CIC Agreement.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No Tax Gross-Up</w:t>
      </w:r>
    </w:p>
    <w:p>
      <w:pPr>
        <w:spacing w:after="0" w:line="10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CIC Agreement does not require ACI to pay the Executive any gross-up payments for excise taxes that may be imposed upon the Executive as a result of any payments made pursuant to the CIC Agreement. Instead, the CIC Agreements provide for a “best results” provision, which can, in certain circumstances, reduce the amount of payments to an Executive contingent on a change in control, if such reduction would provide the Executive a higher payment net of taxes, including the “Golden Parachute” tax under Section 280G of the Internal Revenue Code.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Acceleration of Equity Awards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No awards accelerate upon a “single trigger” Change in Control.</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Non-solicitation and Non-Competition Provisions</w:t>
      </w:r>
    </w:p>
    <w:p>
      <w:pPr>
        <w:spacing w:after="0" w:line="107"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During the Employment Period and for a period of one year following termination of employment, each Executive agrees not to (i) enter into or engage in any business that competes with ACI’s business within a specified restricted territory; (ii) solicit customers with whom the Executive had any contact or for which such Executive had any responsibility (either direct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80010</wp:posOffset>
            </wp:positionV>
            <wp:extent cx="699135" cy="1314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76</w:t>
      </w:r>
    </w:p>
    <w:p>
      <w:pPr>
        <w:sectPr>
          <w:pgSz w:w="11900" w:h="16838" w:orient="portrait"/>
          <w:cols w:equalWidth="0" w:num="1">
            <w:col w:w="9280"/>
          </w:cols>
          <w:pgMar w:left="1280" w:top="296" w:right="1339" w:bottom="1440" w:gutter="0" w:footer="0" w:header="0"/>
        </w:sectPr>
      </w:pPr>
    </w:p>
    <w:bookmarkStart w:id="82" w:name="page83"/>
    <w:bookmarkEnd w:id="82"/>
    <w:p>
      <w:pPr>
        <w:spacing w:after="0" w:line="2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supervisory) at the date of termination or at any time during the one year prior to such date of termination, whether within or outside of the restricted territory, or solicit business, patronage or orders for, or sell, any products and services in competition with, or for any business that competes with ACI’s business within the restricted territory; (iii) divert, entice or otherwise take away any customers, business, patronage or orders of ACI within the restricted territory, or attempt to do so; (iv) promote or assist, financially or otherwise, any person, firm, association, partnership, corporation or other entity engaged in any business that competes with ACI’s business within the restricted territory; or (v) solicit, induce or attempt to solicit or induce any employee(s), sales representative(s), agent(s) or consultant(s) of ACI and/or its affiliated companies to terminate their employment, representation or other association with ACI and/or its affiliated companies, provided that the foregoing shall not apply to general advertising not specifically targeted at employees, sales representatives, agents or consultants of ACI and/or its affiliated companies.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Release</w:t>
      </w:r>
    </w:p>
    <w:p>
      <w:pPr>
        <w:spacing w:after="0" w:line="107"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As a condition to receiving any of the severance benefits under the CIC Agreements, the Executive is required to release ACI and its employees from all claims that the Executive may have against them.</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Post-Termination Benefits Under Incentive Plans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Short-Term Incentive Plan Terms</w:t>
      </w:r>
    </w:p>
    <w:p>
      <w:pPr>
        <w:spacing w:after="0" w:line="107"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Under the 2022 STIP, to be entitled to a payment, the executive, including our Named Executive Officers, must be employed by ACI on the date of payment. If employment with ACI is terminated for any reason prior to the payment date, the executive will not be eligible for a bonus under the 2022 STIP and the executive forfeits all rights to such payment except to the extent otherwise provided by ACI (including under the CIC Agreements).</w:t>
      </w:r>
    </w:p>
    <w:p>
      <w:pPr>
        <w:spacing w:after="0" w:line="181"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The individual award agreements with each executive officer, including our Named Executive Officers, related to the 2022 STIP program, grant ACI the right to require an executive officer to forfeit his or her right to payment or to reimburse ACI for any payments previously paid, along with any other action ACI deems necessary or appropriate, in the event it is determined that the executive officer engaged in misconduct in the course of his or her employment.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Equity Incentive Plan Terms</w:t>
      </w:r>
    </w:p>
    <w:p>
      <w:pPr>
        <w:spacing w:after="0" w:line="107" w:lineRule="exact"/>
        <w:rPr>
          <w:sz w:val="20"/>
          <w:szCs w:val="20"/>
          <w:color w:val="auto"/>
        </w:rPr>
      </w:pPr>
    </w:p>
    <w:p>
      <w:pPr>
        <w:spacing w:after="0" w:line="277" w:lineRule="auto"/>
        <w:rPr>
          <w:sz w:val="20"/>
          <w:szCs w:val="20"/>
          <w:color w:val="auto"/>
        </w:rPr>
      </w:pPr>
      <w:r>
        <w:rPr>
          <w:rFonts w:ascii="Arial" w:cs="Arial" w:eastAsia="Arial" w:hAnsi="Arial"/>
          <w:sz w:val="14"/>
          <w:szCs w:val="14"/>
          <w:i w:val="1"/>
          <w:iCs w:val="1"/>
          <w:color w:val="auto"/>
        </w:rPr>
        <w:t>Performance Shares</w:t>
      </w:r>
      <w:r>
        <w:rPr>
          <w:rFonts w:ascii="Arial" w:cs="Arial" w:eastAsia="Arial" w:hAnsi="Arial"/>
          <w:sz w:val="14"/>
          <w:szCs w:val="14"/>
          <w:color w:val="auto"/>
        </w:rPr>
        <w:t>. The award agreements for performance shares generally provide that if an employee, including a Named</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 voluntarily terminates employment with ACI prior to payment of the performance shares, all performance shares are forfeited. In the event of death, disability, or termination of employment by the Company without cause, the award agreements generally provide that ACI will provide the employee a pro-rata portion of the performance shares during the full fiscal quarters completed during the applicable performance period until the date of termination based on the shares earned through the end of the full performance period. Such amounts will be paid as soon as practicable after determination of the number of shares earned under the rTSR Performance Share Awards (“PSA”). Upon the close of a change in control, the performance period for our PSAs will be truncated and the actual performance will be measured. The earned awards will then convert to RSUs with a vesting schedule equal to the PSAs. A copy of the form of LTIP Performance Shares Agreement used to grant performance shares to employees, including our Named Executive Officers, under the 2020 Equity Plan was filed as Exhibits 10.10 and 10.18 to our Annual Report filed February 24, 2022.</w:t>
      </w:r>
    </w:p>
    <w:p>
      <w:pPr>
        <w:spacing w:after="0" w:line="58"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i w:val="1"/>
          <w:iCs w:val="1"/>
          <w:color w:val="auto"/>
        </w:rPr>
        <w:t>RSUs</w:t>
      </w:r>
      <w:r>
        <w:rPr>
          <w:rFonts w:ascii="Arial" w:cs="Arial" w:eastAsia="Arial" w:hAnsi="Arial"/>
          <w:sz w:val="14"/>
          <w:szCs w:val="14"/>
          <w:color w:val="auto"/>
        </w:rPr>
        <w:t>. The award agreements for RSUs generally provide that if any employee, including a Named Executive Officer, voluntarily</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terminates employment with ACI, the employee forfeits all unvested RSUs. However, the award agreements also generally provide that if the employee’s employment terminates due to death or disability, all RSUs will immediately vest upon the employee’s termination due to death or disability. A copy of the form of RSU Award Agreement used to grant RSUs to employees, including our Named Executive Officers, under the 2020 Equity Plan was filed as Exhibits 10.09 and 10.17 to our Annual Report filed February 24, 2022.</w:t>
      </w:r>
    </w:p>
    <w:p>
      <w:pPr>
        <w:spacing w:after="0" w:line="144"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Forfeiture and Right of Recoupment</w:t>
      </w:r>
    </w:p>
    <w:p>
      <w:pPr>
        <w:spacing w:after="0" w:line="123"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Our recoupment policy, which applies to all award recipients, including Named Executive Officers, provides that (a) if ACI is required to restate its consolidated financial statements because of material noncompliance due to irregularities with the federal securities laws, which restatement is due, in whole or in part, to the misconduct of the employee, or (b) it is determined that the employee has otherwise engaged in misconduct (whether or not such misconduct is discovered prior to the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77</w:t>
      </w:r>
    </w:p>
    <w:p>
      <w:pPr>
        <w:sectPr>
          <w:pgSz w:w="11900" w:h="16838" w:orient="portrait"/>
          <w:cols w:equalWidth="0" w:num="1">
            <w:col w:w="9320"/>
          </w:cols>
          <w:pgMar w:left="1280" w:top="296" w:right="129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termination of the employee’s employment), ACI has the right to (a) cause the forfeiture or cancellation of any unvested and/or vested portion of an option, any unvested restricted shares or RSUs, or any unearned performance shares; (b) cause the transfer of ownership back to ACI of any vested shares not subject to transfer restrictions, common shares issued as payment for earned performance shares or RSUs, or cash received as payment for earned performance shares or RSUs; (c) recoup any proceeds from (i) the exercise or vesting of an option, (ii) the vesting of the restricted shares, (iii) the sale of shares of our common stock issued pursuant to the exercise of the option or as payment for earned performance shares or RSUs and (iv) the sale of any unrestricted shares, along with any other action ACI determines is necessary or appropriate and in the best interest of ACI and its stockholders; and (d) recoup any annual incentive cash-based payouts.</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Potential Post-Termination Benefits Table</w:t>
      </w:r>
    </w:p>
    <w:p>
      <w:pPr>
        <w:spacing w:after="0" w:line="123"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The table below quantifies certain compensation and benefits that would have become payable to our Named Executive Officers who remained with the Company through the end of 2022 (other than Mr. Wilmot, who transitioned to part-time employment during 2022) in the event such executive officer’s employment had terminated on December 30, 2022 under various circumstances. For Mr. Almeida, Ms. Aretakis, and Mr. Wilmot, their actual separation arrangements are discussed below this table.</w:t>
      </w:r>
    </w:p>
    <w:p>
      <w:pPr>
        <w:spacing w:after="0" w:line="181"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estimates set forth in the table below are based on our Named Executive Officers’ compensation and service levels as of such date and, if applicable, the closing stock price of our common stock on December 30, 2022, the last trading day of 2022, which was $23.00. These benefits are in addition to benefits generally available to salaried employees such as distributions under our 401(k) Plan, disability benefits and accrued vacation pay.</w:t>
      </w:r>
    </w:p>
    <w:p>
      <w:pPr>
        <w:spacing w:after="0" w:line="181"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Due to the number of factors that affect the nature and amount of any benefits provided upon the events discussed below, any actual amounts paid or distributed to our Named Executive Officers may be different. Factors that could affect these amounts include the timing of any such event and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80010</wp:posOffset>
            </wp:positionV>
            <wp:extent cx="699135" cy="1314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78</w:t>
      </w:r>
    </w:p>
    <w:p>
      <w:pPr>
        <w:sectPr>
          <w:pgSz w:w="11900" w:h="16838" w:orient="portrait"/>
          <w:cols w:equalWidth="0" w:num="1">
            <w:col w:w="9320"/>
          </w:cols>
          <w:pgMar w:left="1280" w:top="296" w:right="12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220" w:type="dxa"/>
            <w:vAlign w:val="bottom"/>
            <w:shd w:val="clear" w:color="auto" w:fill="284993"/>
          </w:tcPr>
          <w:p>
            <w:pPr>
              <w:spacing w:after="0"/>
              <w:rPr>
                <w:sz w:val="14"/>
                <w:szCs w:val="14"/>
                <w:color w:val="auto"/>
              </w:rPr>
            </w:pPr>
          </w:p>
        </w:tc>
        <w:tc>
          <w:tcPr>
            <w:tcW w:w="420" w:type="dxa"/>
            <w:vAlign w:val="bottom"/>
            <w:shd w:val="clear" w:color="auto" w:fill="284993"/>
          </w:tcPr>
          <w:p>
            <w:pPr>
              <w:spacing w:after="0"/>
              <w:rPr>
                <w:sz w:val="14"/>
                <w:szCs w:val="14"/>
                <w:color w:val="auto"/>
              </w:rPr>
            </w:pPr>
          </w:p>
        </w:tc>
        <w:tc>
          <w:tcPr>
            <w:tcW w:w="20" w:type="dxa"/>
            <w:vAlign w:val="bottom"/>
            <w:shd w:val="clear" w:color="auto" w:fill="284993"/>
          </w:tcPr>
          <w:p>
            <w:pPr>
              <w:spacing w:after="0"/>
              <w:rPr>
                <w:sz w:val="14"/>
                <w:szCs w:val="14"/>
                <w:color w:val="auto"/>
              </w:rPr>
            </w:pPr>
          </w:p>
        </w:tc>
        <w:tc>
          <w:tcPr>
            <w:tcW w:w="600" w:type="dxa"/>
            <w:vAlign w:val="bottom"/>
            <w:shd w:val="clear" w:color="auto" w:fill="284993"/>
          </w:tcPr>
          <w:p>
            <w:pPr>
              <w:spacing w:after="0"/>
              <w:rPr>
                <w:sz w:val="14"/>
                <w:szCs w:val="14"/>
                <w:color w:val="auto"/>
              </w:rPr>
            </w:pPr>
          </w:p>
        </w:tc>
        <w:tc>
          <w:tcPr>
            <w:tcW w:w="20" w:type="dxa"/>
            <w:vAlign w:val="bottom"/>
            <w:shd w:val="clear" w:color="auto" w:fill="284993"/>
          </w:tcPr>
          <w:p>
            <w:pPr>
              <w:spacing w:after="0"/>
              <w:rPr>
                <w:sz w:val="14"/>
                <w:szCs w:val="14"/>
                <w:color w:val="auto"/>
              </w:rPr>
            </w:pPr>
          </w:p>
        </w:tc>
        <w:tc>
          <w:tcPr>
            <w:tcW w:w="60" w:type="dxa"/>
            <w:vAlign w:val="bottom"/>
            <w:shd w:val="clear" w:color="auto" w:fill="284993"/>
          </w:tcPr>
          <w:p>
            <w:pPr>
              <w:spacing w:after="0"/>
              <w:rPr>
                <w:sz w:val="14"/>
                <w:szCs w:val="14"/>
                <w:color w:val="auto"/>
              </w:rPr>
            </w:pPr>
          </w:p>
        </w:tc>
        <w:tc>
          <w:tcPr>
            <w:tcW w:w="60" w:type="dxa"/>
            <w:vAlign w:val="bottom"/>
            <w:shd w:val="clear" w:color="auto" w:fill="284993"/>
          </w:tcPr>
          <w:p>
            <w:pPr>
              <w:spacing w:after="0"/>
              <w:rPr>
                <w:sz w:val="14"/>
                <w:szCs w:val="14"/>
                <w:color w:val="auto"/>
              </w:rPr>
            </w:pPr>
          </w:p>
        </w:tc>
        <w:tc>
          <w:tcPr>
            <w:tcW w:w="160" w:type="dxa"/>
            <w:vAlign w:val="bottom"/>
            <w:shd w:val="clear" w:color="auto" w:fill="284993"/>
          </w:tcPr>
          <w:p>
            <w:pPr>
              <w:spacing w:after="0"/>
              <w:rPr>
                <w:sz w:val="14"/>
                <w:szCs w:val="14"/>
                <w:color w:val="auto"/>
              </w:rPr>
            </w:pPr>
          </w:p>
        </w:tc>
        <w:tc>
          <w:tcPr>
            <w:tcW w:w="140" w:type="dxa"/>
            <w:vAlign w:val="bottom"/>
            <w:shd w:val="clear" w:color="auto" w:fill="284993"/>
          </w:tcPr>
          <w:p>
            <w:pPr>
              <w:spacing w:after="0"/>
              <w:rPr>
                <w:sz w:val="14"/>
                <w:szCs w:val="14"/>
                <w:color w:val="auto"/>
              </w:rPr>
            </w:pPr>
          </w:p>
        </w:tc>
        <w:tc>
          <w:tcPr>
            <w:tcW w:w="20" w:type="dxa"/>
            <w:vAlign w:val="bottom"/>
            <w:shd w:val="clear" w:color="auto" w:fill="284993"/>
          </w:tcPr>
          <w:p>
            <w:pPr>
              <w:spacing w:after="0"/>
              <w:rPr>
                <w:sz w:val="14"/>
                <w:szCs w:val="14"/>
                <w:color w:val="auto"/>
              </w:rPr>
            </w:pPr>
          </w:p>
        </w:tc>
        <w:tc>
          <w:tcPr>
            <w:tcW w:w="80" w:type="dxa"/>
            <w:vAlign w:val="bottom"/>
            <w:shd w:val="clear" w:color="auto" w:fill="284993"/>
          </w:tcPr>
          <w:p>
            <w:pPr>
              <w:spacing w:after="0"/>
              <w:rPr>
                <w:sz w:val="14"/>
                <w:szCs w:val="14"/>
                <w:color w:val="auto"/>
              </w:rPr>
            </w:pPr>
          </w:p>
        </w:tc>
        <w:tc>
          <w:tcPr>
            <w:tcW w:w="1380" w:type="dxa"/>
            <w:vAlign w:val="bottom"/>
            <w:shd w:val="clear" w:color="auto" w:fill="284993"/>
          </w:tcPr>
          <w:p>
            <w:pPr>
              <w:spacing w:after="0"/>
              <w:rPr>
                <w:sz w:val="14"/>
                <w:szCs w:val="14"/>
                <w:color w:val="auto"/>
              </w:rPr>
            </w:pPr>
          </w:p>
        </w:tc>
        <w:tc>
          <w:tcPr>
            <w:tcW w:w="1720" w:type="dxa"/>
            <w:vAlign w:val="bottom"/>
            <w:gridSpan w:val="2"/>
            <w:shd w:val="clear" w:color="auto" w:fill="284993"/>
          </w:tcPr>
          <w:p>
            <w:pPr>
              <w:jc w:val="right"/>
              <w:ind w:right="371"/>
              <w:spacing w:after="0"/>
              <w:rPr>
                <w:sz w:val="20"/>
                <w:szCs w:val="20"/>
                <w:color w:val="auto"/>
              </w:rPr>
            </w:pPr>
            <w:r>
              <w:rPr>
                <w:rFonts w:ascii="Arial" w:cs="Arial" w:eastAsia="Arial" w:hAnsi="Arial"/>
                <w:sz w:val="14"/>
                <w:szCs w:val="14"/>
                <w:b w:val="1"/>
                <w:bCs w:val="1"/>
                <w:color w:val="FFFFFF"/>
              </w:rPr>
              <w:t>By Executive</w:t>
            </w:r>
          </w:p>
        </w:tc>
        <w:tc>
          <w:tcPr>
            <w:tcW w:w="1400" w:type="dxa"/>
            <w:vAlign w:val="bottom"/>
            <w:gridSpan w:val="2"/>
            <w:shd w:val="clear" w:color="auto" w:fill="284993"/>
          </w:tcPr>
          <w:p>
            <w:pPr>
              <w:jc w:val="right"/>
              <w:ind w:right="411"/>
              <w:spacing w:after="0"/>
              <w:rPr>
                <w:sz w:val="20"/>
                <w:szCs w:val="20"/>
                <w:color w:val="auto"/>
              </w:rPr>
            </w:pPr>
            <w:r>
              <w:rPr>
                <w:rFonts w:ascii="Arial" w:cs="Arial" w:eastAsia="Arial" w:hAnsi="Arial"/>
                <w:sz w:val="14"/>
                <w:szCs w:val="14"/>
                <w:b w:val="1"/>
                <w:bCs w:val="1"/>
                <w:color w:val="FFFFFF"/>
              </w:rPr>
              <w:t>By ACI</w:t>
            </w:r>
          </w:p>
        </w:tc>
        <w:tc>
          <w:tcPr>
            <w:tcW w:w="820" w:type="dxa"/>
            <w:vAlign w:val="bottom"/>
            <w:shd w:val="clear" w:color="auto" w:fill="284993"/>
          </w:tcPr>
          <w:p>
            <w:pPr>
              <w:spacing w:after="0"/>
              <w:rPr>
                <w:sz w:val="14"/>
                <w:szCs w:val="14"/>
                <w:color w:val="auto"/>
              </w:rPr>
            </w:pPr>
          </w:p>
        </w:tc>
        <w:tc>
          <w:tcPr>
            <w:tcW w:w="800" w:type="dxa"/>
            <w:vAlign w:val="bottom"/>
            <w:shd w:val="clear" w:color="auto" w:fill="284993"/>
          </w:tcPr>
          <w:p>
            <w:pPr>
              <w:spacing w:after="0"/>
              <w:rPr>
                <w:sz w:val="14"/>
                <w:szCs w:val="14"/>
                <w:color w:val="auto"/>
              </w:rPr>
            </w:pPr>
          </w:p>
        </w:tc>
        <w:tc>
          <w:tcPr>
            <w:tcW w:w="1400" w:type="dxa"/>
            <w:vAlign w:val="bottom"/>
            <w:shd w:val="clear" w:color="auto" w:fill="284993"/>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0" w:type="dxa"/>
            <w:vAlign w:val="bottom"/>
            <w:shd w:val="clear" w:color="auto" w:fill="284993"/>
          </w:tcPr>
          <w:p>
            <w:pPr>
              <w:spacing w:after="0"/>
              <w:rPr>
                <w:sz w:val="13"/>
                <w:szCs w:val="13"/>
                <w:color w:val="auto"/>
              </w:rPr>
            </w:pPr>
          </w:p>
        </w:tc>
        <w:tc>
          <w:tcPr>
            <w:tcW w:w="420" w:type="dxa"/>
            <w:vAlign w:val="bottom"/>
            <w:shd w:val="clear" w:color="auto" w:fill="284993"/>
          </w:tcPr>
          <w:p>
            <w:pPr>
              <w:spacing w:after="0"/>
              <w:rPr>
                <w:sz w:val="13"/>
                <w:szCs w:val="13"/>
                <w:color w:val="auto"/>
              </w:rPr>
            </w:pPr>
          </w:p>
        </w:tc>
        <w:tc>
          <w:tcPr>
            <w:tcW w:w="20" w:type="dxa"/>
            <w:vAlign w:val="bottom"/>
            <w:shd w:val="clear" w:color="auto" w:fill="284993"/>
          </w:tcPr>
          <w:p>
            <w:pPr>
              <w:spacing w:after="0"/>
              <w:rPr>
                <w:sz w:val="13"/>
                <w:szCs w:val="13"/>
                <w:color w:val="auto"/>
              </w:rPr>
            </w:pPr>
          </w:p>
        </w:tc>
        <w:tc>
          <w:tcPr>
            <w:tcW w:w="600" w:type="dxa"/>
            <w:vAlign w:val="bottom"/>
            <w:shd w:val="clear" w:color="auto" w:fill="284993"/>
          </w:tcPr>
          <w:p>
            <w:pPr>
              <w:spacing w:after="0"/>
              <w:rPr>
                <w:sz w:val="13"/>
                <w:szCs w:val="13"/>
                <w:color w:val="auto"/>
              </w:rPr>
            </w:pPr>
          </w:p>
        </w:tc>
        <w:tc>
          <w:tcPr>
            <w:tcW w:w="20" w:type="dxa"/>
            <w:vAlign w:val="bottom"/>
            <w:shd w:val="clear" w:color="auto" w:fill="284993"/>
          </w:tcPr>
          <w:p>
            <w:pPr>
              <w:spacing w:after="0"/>
              <w:rPr>
                <w:sz w:val="13"/>
                <w:szCs w:val="13"/>
                <w:color w:val="auto"/>
              </w:rPr>
            </w:pPr>
          </w:p>
        </w:tc>
        <w:tc>
          <w:tcPr>
            <w:tcW w:w="60" w:type="dxa"/>
            <w:vAlign w:val="bottom"/>
            <w:shd w:val="clear" w:color="auto" w:fill="284993"/>
          </w:tcPr>
          <w:p>
            <w:pPr>
              <w:spacing w:after="0"/>
              <w:rPr>
                <w:sz w:val="13"/>
                <w:szCs w:val="13"/>
                <w:color w:val="auto"/>
              </w:rPr>
            </w:pPr>
          </w:p>
        </w:tc>
        <w:tc>
          <w:tcPr>
            <w:tcW w:w="60" w:type="dxa"/>
            <w:vAlign w:val="bottom"/>
            <w:shd w:val="clear" w:color="auto" w:fill="284993"/>
          </w:tcPr>
          <w:p>
            <w:pPr>
              <w:spacing w:after="0"/>
              <w:rPr>
                <w:sz w:val="13"/>
                <w:szCs w:val="13"/>
                <w:color w:val="auto"/>
              </w:rPr>
            </w:pPr>
          </w:p>
        </w:tc>
        <w:tc>
          <w:tcPr>
            <w:tcW w:w="160" w:type="dxa"/>
            <w:vAlign w:val="bottom"/>
            <w:shd w:val="clear" w:color="auto" w:fill="284993"/>
          </w:tcPr>
          <w:p>
            <w:pPr>
              <w:spacing w:after="0"/>
              <w:rPr>
                <w:sz w:val="13"/>
                <w:szCs w:val="13"/>
                <w:color w:val="auto"/>
              </w:rPr>
            </w:pPr>
          </w:p>
        </w:tc>
        <w:tc>
          <w:tcPr>
            <w:tcW w:w="140" w:type="dxa"/>
            <w:vAlign w:val="bottom"/>
            <w:shd w:val="clear" w:color="auto" w:fill="284993"/>
          </w:tcPr>
          <w:p>
            <w:pPr>
              <w:spacing w:after="0"/>
              <w:rPr>
                <w:sz w:val="13"/>
                <w:szCs w:val="13"/>
                <w:color w:val="auto"/>
              </w:rPr>
            </w:pPr>
          </w:p>
        </w:tc>
        <w:tc>
          <w:tcPr>
            <w:tcW w:w="20" w:type="dxa"/>
            <w:vAlign w:val="bottom"/>
            <w:shd w:val="clear" w:color="auto" w:fill="284993"/>
          </w:tcPr>
          <w:p>
            <w:pPr>
              <w:spacing w:after="0"/>
              <w:rPr>
                <w:sz w:val="13"/>
                <w:szCs w:val="13"/>
                <w:color w:val="auto"/>
              </w:rPr>
            </w:pPr>
          </w:p>
        </w:tc>
        <w:tc>
          <w:tcPr>
            <w:tcW w:w="80" w:type="dxa"/>
            <w:vAlign w:val="bottom"/>
            <w:shd w:val="clear" w:color="auto" w:fill="284993"/>
          </w:tcPr>
          <w:p>
            <w:pPr>
              <w:spacing w:after="0"/>
              <w:rPr>
                <w:sz w:val="13"/>
                <w:szCs w:val="13"/>
                <w:color w:val="auto"/>
              </w:rPr>
            </w:pPr>
          </w:p>
        </w:tc>
        <w:tc>
          <w:tcPr>
            <w:tcW w:w="1380" w:type="dxa"/>
            <w:vAlign w:val="bottom"/>
            <w:shd w:val="clear" w:color="auto" w:fill="284993"/>
          </w:tcPr>
          <w:p>
            <w:pPr>
              <w:spacing w:after="0"/>
              <w:rPr>
                <w:sz w:val="13"/>
                <w:szCs w:val="13"/>
                <w:color w:val="auto"/>
              </w:rPr>
            </w:pPr>
          </w:p>
        </w:tc>
        <w:tc>
          <w:tcPr>
            <w:tcW w:w="660" w:type="dxa"/>
            <w:vAlign w:val="bottom"/>
            <w:shd w:val="clear" w:color="auto" w:fill="284993"/>
          </w:tcPr>
          <w:p>
            <w:pPr>
              <w:jc w:val="center"/>
              <w:spacing w:after="0" w:line="159" w:lineRule="exact"/>
              <w:rPr>
                <w:sz w:val="20"/>
                <w:szCs w:val="20"/>
                <w:color w:val="auto"/>
              </w:rPr>
            </w:pPr>
            <w:r>
              <w:rPr>
                <w:rFonts w:ascii="Arial" w:cs="Arial" w:eastAsia="Arial" w:hAnsi="Arial"/>
                <w:sz w:val="14"/>
                <w:szCs w:val="14"/>
                <w:b w:val="1"/>
                <w:bCs w:val="1"/>
                <w:color w:val="FFFFFF"/>
                <w:w w:val="97"/>
              </w:rPr>
              <w:t>For</w:t>
            </w:r>
          </w:p>
        </w:tc>
        <w:tc>
          <w:tcPr>
            <w:tcW w:w="1060" w:type="dxa"/>
            <w:vAlign w:val="bottom"/>
            <w:shd w:val="clear" w:color="auto" w:fill="284993"/>
          </w:tcPr>
          <w:p>
            <w:pPr>
              <w:spacing w:after="0"/>
              <w:rPr>
                <w:sz w:val="13"/>
                <w:szCs w:val="13"/>
                <w:color w:val="auto"/>
              </w:rPr>
            </w:pPr>
          </w:p>
        </w:tc>
        <w:tc>
          <w:tcPr>
            <w:tcW w:w="600" w:type="dxa"/>
            <w:vAlign w:val="bottom"/>
            <w:shd w:val="clear" w:color="auto" w:fill="284993"/>
          </w:tcPr>
          <w:p>
            <w:pPr>
              <w:spacing w:after="0"/>
              <w:rPr>
                <w:sz w:val="13"/>
                <w:szCs w:val="13"/>
                <w:color w:val="auto"/>
              </w:rPr>
            </w:pPr>
          </w:p>
        </w:tc>
        <w:tc>
          <w:tcPr>
            <w:tcW w:w="800" w:type="dxa"/>
            <w:vAlign w:val="bottom"/>
            <w:shd w:val="clear" w:color="auto" w:fill="284993"/>
          </w:tcPr>
          <w:p>
            <w:pPr>
              <w:spacing w:after="0"/>
              <w:rPr>
                <w:sz w:val="13"/>
                <w:szCs w:val="13"/>
                <w:color w:val="auto"/>
              </w:rPr>
            </w:pPr>
          </w:p>
        </w:tc>
        <w:tc>
          <w:tcPr>
            <w:tcW w:w="820" w:type="dxa"/>
            <w:vAlign w:val="bottom"/>
            <w:shd w:val="clear" w:color="auto" w:fill="284993"/>
          </w:tcPr>
          <w:p>
            <w:pPr>
              <w:spacing w:after="0"/>
              <w:rPr>
                <w:sz w:val="13"/>
                <w:szCs w:val="13"/>
                <w:color w:val="auto"/>
              </w:rPr>
            </w:pPr>
          </w:p>
        </w:tc>
        <w:tc>
          <w:tcPr>
            <w:tcW w:w="800" w:type="dxa"/>
            <w:vAlign w:val="bottom"/>
            <w:shd w:val="clear" w:color="auto" w:fill="284993"/>
          </w:tcPr>
          <w:p>
            <w:pPr>
              <w:spacing w:after="0"/>
              <w:rPr>
                <w:sz w:val="13"/>
                <w:szCs w:val="13"/>
                <w:color w:val="auto"/>
              </w:rPr>
            </w:pPr>
          </w:p>
        </w:tc>
        <w:tc>
          <w:tcPr>
            <w:tcW w:w="1400" w:type="dxa"/>
            <w:vAlign w:val="bottom"/>
            <w:shd w:val="clear" w:color="auto" w:fill="284993"/>
          </w:tcPr>
          <w:p>
            <w:pPr>
              <w:jc w:val="center"/>
              <w:spacing w:after="0" w:line="159" w:lineRule="exact"/>
              <w:rPr>
                <w:sz w:val="20"/>
                <w:szCs w:val="20"/>
                <w:color w:val="auto"/>
              </w:rPr>
            </w:pPr>
            <w:r>
              <w:rPr>
                <w:rFonts w:ascii="Arial" w:cs="Arial" w:eastAsia="Arial" w:hAnsi="Arial"/>
                <w:sz w:val="14"/>
                <w:szCs w:val="14"/>
                <w:b w:val="1"/>
                <w:bCs w:val="1"/>
                <w:color w:val="FFFFFF"/>
              </w:rPr>
              <w:t>Involuntary or For</w:t>
            </w:r>
          </w:p>
        </w:tc>
        <w:tc>
          <w:tcPr>
            <w:tcW w:w="0" w:type="dxa"/>
            <w:vAlign w:val="bottom"/>
          </w:tcPr>
          <w:p>
            <w:pPr>
              <w:spacing w:after="0"/>
              <w:rPr>
                <w:sz w:val="1"/>
                <w:szCs w:val="1"/>
                <w:color w:val="auto"/>
              </w:rPr>
            </w:pPr>
          </w:p>
        </w:tc>
      </w:tr>
      <w:tr>
        <w:trPr>
          <w:trHeight w:val="155"/>
        </w:trPr>
        <w:tc>
          <w:tcPr>
            <w:tcW w:w="220" w:type="dxa"/>
            <w:vAlign w:val="bottom"/>
            <w:shd w:val="clear" w:color="auto" w:fill="284993"/>
          </w:tcPr>
          <w:p>
            <w:pPr>
              <w:spacing w:after="0"/>
              <w:rPr>
                <w:sz w:val="13"/>
                <w:szCs w:val="13"/>
                <w:color w:val="auto"/>
              </w:rPr>
            </w:pPr>
          </w:p>
        </w:tc>
        <w:tc>
          <w:tcPr>
            <w:tcW w:w="420" w:type="dxa"/>
            <w:vAlign w:val="bottom"/>
            <w:shd w:val="clear" w:color="auto" w:fill="284993"/>
          </w:tcPr>
          <w:p>
            <w:pPr>
              <w:spacing w:after="0"/>
              <w:rPr>
                <w:sz w:val="13"/>
                <w:szCs w:val="13"/>
                <w:color w:val="auto"/>
              </w:rPr>
            </w:pPr>
          </w:p>
        </w:tc>
        <w:tc>
          <w:tcPr>
            <w:tcW w:w="20" w:type="dxa"/>
            <w:vAlign w:val="bottom"/>
            <w:shd w:val="clear" w:color="auto" w:fill="284993"/>
          </w:tcPr>
          <w:p>
            <w:pPr>
              <w:spacing w:after="0"/>
              <w:rPr>
                <w:sz w:val="13"/>
                <w:szCs w:val="13"/>
                <w:color w:val="auto"/>
              </w:rPr>
            </w:pPr>
          </w:p>
        </w:tc>
        <w:tc>
          <w:tcPr>
            <w:tcW w:w="600" w:type="dxa"/>
            <w:vAlign w:val="bottom"/>
            <w:shd w:val="clear" w:color="auto" w:fill="284993"/>
          </w:tcPr>
          <w:p>
            <w:pPr>
              <w:spacing w:after="0"/>
              <w:rPr>
                <w:sz w:val="13"/>
                <w:szCs w:val="13"/>
                <w:color w:val="auto"/>
              </w:rPr>
            </w:pPr>
          </w:p>
        </w:tc>
        <w:tc>
          <w:tcPr>
            <w:tcW w:w="20" w:type="dxa"/>
            <w:vAlign w:val="bottom"/>
            <w:shd w:val="clear" w:color="auto" w:fill="284993"/>
          </w:tcPr>
          <w:p>
            <w:pPr>
              <w:spacing w:after="0"/>
              <w:rPr>
                <w:sz w:val="13"/>
                <w:szCs w:val="13"/>
                <w:color w:val="auto"/>
              </w:rPr>
            </w:pPr>
          </w:p>
        </w:tc>
        <w:tc>
          <w:tcPr>
            <w:tcW w:w="60" w:type="dxa"/>
            <w:vAlign w:val="bottom"/>
            <w:shd w:val="clear" w:color="auto" w:fill="284993"/>
          </w:tcPr>
          <w:p>
            <w:pPr>
              <w:spacing w:after="0"/>
              <w:rPr>
                <w:sz w:val="13"/>
                <w:szCs w:val="13"/>
                <w:color w:val="auto"/>
              </w:rPr>
            </w:pPr>
          </w:p>
        </w:tc>
        <w:tc>
          <w:tcPr>
            <w:tcW w:w="60" w:type="dxa"/>
            <w:vAlign w:val="bottom"/>
            <w:shd w:val="clear" w:color="auto" w:fill="284993"/>
          </w:tcPr>
          <w:p>
            <w:pPr>
              <w:spacing w:after="0"/>
              <w:rPr>
                <w:sz w:val="13"/>
                <w:szCs w:val="13"/>
                <w:color w:val="auto"/>
              </w:rPr>
            </w:pPr>
          </w:p>
        </w:tc>
        <w:tc>
          <w:tcPr>
            <w:tcW w:w="160" w:type="dxa"/>
            <w:vAlign w:val="bottom"/>
            <w:shd w:val="clear" w:color="auto" w:fill="284993"/>
          </w:tcPr>
          <w:p>
            <w:pPr>
              <w:spacing w:after="0"/>
              <w:rPr>
                <w:sz w:val="13"/>
                <w:szCs w:val="13"/>
                <w:color w:val="auto"/>
              </w:rPr>
            </w:pPr>
          </w:p>
        </w:tc>
        <w:tc>
          <w:tcPr>
            <w:tcW w:w="140" w:type="dxa"/>
            <w:vAlign w:val="bottom"/>
            <w:shd w:val="clear" w:color="auto" w:fill="284993"/>
          </w:tcPr>
          <w:p>
            <w:pPr>
              <w:spacing w:after="0"/>
              <w:rPr>
                <w:sz w:val="13"/>
                <w:szCs w:val="13"/>
                <w:color w:val="auto"/>
              </w:rPr>
            </w:pPr>
          </w:p>
        </w:tc>
        <w:tc>
          <w:tcPr>
            <w:tcW w:w="20" w:type="dxa"/>
            <w:vAlign w:val="bottom"/>
            <w:shd w:val="clear" w:color="auto" w:fill="284993"/>
          </w:tcPr>
          <w:p>
            <w:pPr>
              <w:spacing w:after="0"/>
              <w:rPr>
                <w:sz w:val="13"/>
                <w:szCs w:val="13"/>
                <w:color w:val="auto"/>
              </w:rPr>
            </w:pPr>
          </w:p>
        </w:tc>
        <w:tc>
          <w:tcPr>
            <w:tcW w:w="80" w:type="dxa"/>
            <w:vAlign w:val="bottom"/>
            <w:shd w:val="clear" w:color="auto" w:fill="284993"/>
          </w:tcPr>
          <w:p>
            <w:pPr>
              <w:spacing w:after="0"/>
              <w:rPr>
                <w:sz w:val="13"/>
                <w:szCs w:val="13"/>
                <w:color w:val="auto"/>
              </w:rPr>
            </w:pPr>
          </w:p>
        </w:tc>
        <w:tc>
          <w:tcPr>
            <w:tcW w:w="1380" w:type="dxa"/>
            <w:vAlign w:val="bottom"/>
            <w:shd w:val="clear" w:color="auto" w:fill="284993"/>
          </w:tcPr>
          <w:p>
            <w:pPr>
              <w:spacing w:after="0"/>
              <w:rPr>
                <w:sz w:val="13"/>
                <w:szCs w:val="13"/>
                <w:color w:val="auto"/>
              </w:rPr>
            </w:pPr>
          </w:p>
        </w:tc>
        <w:tc>
          <w:tcPr>
            <w:tcW w:w="66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8"/>
              </w:rPr>
              <w:t>Good</w:t>
            </w:r>
          </w:p>
        </w:tc>
        <w:tc>
          <w:tcPr>
            <w:tcW w:w="1060" w:type="dxa"/>
            <w:vAlign w:val="bottom"/>
            <w:shd w:val="clear" w:color="auto" w:fill="284993"/>
          </w:tcPr>
          <w:p>
            <w:pPr>
              <w:jc w:val="right"/>
              <w:ind w:right="91"/>
              <w:spacing w:after="0" w:line="155" w:lineRule="exact"/>
              <w:rPr>
                <w:sz w:val="20"/>
                <w:szCs w:val="20"/>
                <w:color w:val="auto"/>
              </w:rPr>
            </w:pPr>
            <w:r>
              <w:rPr>
                <w:rFonts w:ascii="Arial" w:cs="Arial" w:eastAsia="Arial" w:hAnsi="Arial"/>
                <w:sz w:val="14"/>
                <w:szCs w:val="14"/>
                <w:b w:val="1"/>
                <w:bCs w:val="1"/>
                <w:color w:val="FFFFFF"/>
              </w:rPr>
              <w:t>Other Than</w:t>
            </w:r>
          </w:p>
        </w:tc>
        <w:tc>
          <w:tcPr>
            <w:tcW w:w="600" w:type="dxa"/>
            <w:vAlign w:val="bottom"/>
            <w:shd w:val="clear" w:color="auto" w:fill="284993"/>
          </w:tcPr>
          <w:p>
            <w:pPr>
              <w:jc w:val="right"/>
              <w:ind w:right="131"/>
              <w:spacing w:after="0" w:line="155" w:lineRule="exact"/>
              <w:rPr>
                <w:sz w:val="20"/>
                <w:szCs w:val="20"/>
                <w:color w:val="auto"/>
              </w:rPr>
            </w:pPr>
            <w:r>
              <w:rPr>
                <w:rFonts w:ascii="Arial" w:cs="Arial" w:eastAsia="Arial" w:hAnsi="Arial"/>
                <w:sz w:val="14"/>
                <w:szCs w:val="14"/>
                <w:b w:val="1"/>
                <w:bCs w:val="1"/>
                <w:color w:val="FFFFFF"/>
              </w:rPr>
              <w:t>For</w:t>
            </w:r>
          </w:p>
        </w:tc>
        <w:tc>
          <w:tcPr>
            <w:tcW w:w="80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9"/>
              </w:rPr>
              <w:t>Without</w:t>
            </w:r>
          </w:p>
        </w:tc>
        <w:tc>
          <w:tcPr>
            <w:tcW w:w="820" w:type="dxa"/>
            <w:vAlign w:val="bottom"/>
            <w:shd w:val="clear" w:color="auto" w:fill="284993"/>
          </w:tcPr>
          <w:p>
            <w:pPr>
              <w:spacing w:after="0"/>
              <w:rPr>
                <w:sz w:val="13"/>
                <w:szCs w:val="13"/>
                <w:color w:val="auto"/>
              </w:rPr>
            </w:pPr>
          </w:p>
        </w:tc>
        <w:tc>
          <w:tcPr>
            <w:tcW w:w="800" w:type="dxa"/>
            <w:vAlign w:val="bottom"/>
            <w:shd w:val="clear" w:color="auto" w:fill="284993"/>
          </w:tcPr>
          <w:p>
            <w:pPr>
              <w:spacing w:after="0"/>
              <w:rPr>
                <w:sz w:val="13"/>
                <w:szCs w:val="13"/>
                <w:color w:val="auto"/>
              </w:rPr>
            </w:pPr>
          </w:p>
        </w:tc>
        <w:tc>
          <w:tcPr>
            <w:tcW w:w="140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7"/>
              </w:rPr>
              <w:t>Good Reason After</w:t>
            </w:r>
          </w:p>
        </w:tc>
        <w:tc>
          <w:tcPr>
            <w:tcW w:w="0" w:type="dxa"/>
            <w:vAlign w:val="bottom"/>
          </w:tcPr>
          <w:p>
            <w:pPr>
              <w:spacing w:after="0"/>
              <w:rPr>
                <w:sz w:val="1"/>
                <w:szCs w:val="1"/>
                <w:color w:val="auto"/>
              </w:rPr>
            </w:pPr>
          </w:p>
        </w:tc>
      </w:tr>
      <w:tr>
        <w:trPr>
          <w:trHeight w:val="155"/>
        </w:trPr>
        <w:tc>
          <w:tcPr>
            <w:tcW w:w="220" w:type="dxa"/>
            <w:vAlign w:val="bottom"/>
            <w:shd w:val="clear" w:color="auto" w:fill="284993"/>
          </w:tcPr>
          <w:p>
            <w:pPr>
              <w:spacing w:after="0"/>
              <w:rPr>
                <w:sz w:val="13"/>
                <w:szCs w:val="13"/>
                <w:color w:val="auto"/>
              </w:rPr>
            </w:pPr>
          </w:p>
        </w:tc>
        <w:tc>
          <w:tcPr>
            <w:tcW w:w="420" w:type="dxa"/>
            <w:vAlign w:val="bottom"/>
            <w:shd w:val="clear" w:color="auto" w:fill="284993"/>
          </w:tcPr>
          <w:p>
            <w:pPr>
              <w:spacing w:after="0"/>
              <w:rPr>
                <w:sz w:val="13"/>
                <w:szCs w:val="13"/>
                <w:color w:val="auto"/>
              </w:rPr>
            </w:pPr>
          </w:p>
        </w:tc>
        <w:tc>
          <w:tcPr>
            <w:tcW w:w="20" w:type="dxa"/>
            <w:vAlign w:val="bottom"/>
            <w:shd w:val="clear" w:color="auto" w:fill="284993"/>
          </w:tcPr>
          <w:p>
            <w:pPr>
              <w:spacing w:after="0"/>
              <w:rPr>
                <w:sz w:val="13"/>
                <w:szCs w:val="13"/>
                <w:color w:val="auto"/>
              </w:rPr>
            </w:pPr>
          </w:p>
        </w:tc>
        <w:tc>
          <w:tcPr>
            <w:tcW w:w="600" w:type="dxa"/>
            <w:vAlign w:val="bottom"/>
            <w:shd w:val="clear" w:color="auto" w:fill="284993"/>
          </w:tcPr>
          <w:p>
            <w:pPr>
              <w:spacing w:after="0"/>
              <w:rPr>
                <w:sz w:val="13"/>
                <w:szCs w:val="13"/>
                <w:color w:val="auto"/>
              </w:rPr>
            </w:pPr>
          </w:p>
        </w:tc>
        <w:tc>
          <w:tcPr>
            <w:tcW w:w="20" w:type="dxa"/>
            <w:vAlign w:val="bottom"/>
            <w:shd w:val="clear" w:color="auto" w:fill="284993"/>
          </w:tcPr>
          <w:p>
            <w:pPr>
              <w:spacing w:after="0"/>
              <w:rPr>
                <w:sz w:val="13"/>
                <w:szCs w:val="13"/>
                <w:color w:val="auto"/>
              </w:rPr>
            </w:pPr>
          </w:p>
        </w:tc>
        <w:tc>
          <w:tcPr>
            <w:tcW w:w="60" w:type="dxa"/>
            <w:vAlign w:val="bottom"/>
            <w:shd w:val="clear" w:color="auto" w:fill="284993"/>
          </w:tcPr>
          <w:p>
            <w:pPr>
              <w:spacing w:after="0"/>
              <w:rPr>
                <w:sz w:val="13"/>
                <w:szCs w:val="13"/>
                <w:color w:val="auto"/>
              </w:rPr>
            </w:pPr>
          </w:p>
        </w:tc>
        <w:tc>
          <w:tcPr>
            <w:tcW w:w="60" w:type="dxa"/>
            <w:vAlign w:val="bottom"/>
            <w:shd w:val="clear" w:color="auto" w:fill="284993"/>
          </w:tcPr>
          <w:p>
            <w:pPr>
              <w:spacing w:after="0"/>
              <w:rPr>
                <w:sz w:val="13"/>
                <w:szCs w:val="13"/>
                <w:color w:val="auto"/>
              </w:rPr>
            </w:pPr>
          </w:p>
        </w:tc>
        <w:tc>
          <w:tcPr>
            <w:tcW w:w="160" w:type="dxa"/>
            <w:vAlign w:val="bottom"/>
            <w:shd w:val="clear" w:color="auto" w:fill="284993"/>
          </w:tcPr>
          <w:p>
            <w:pPr>
              <w:spacing w:after="0"/>
              <w:rPr>
                <w:sz w:val="13"/>
                <w:szCs w:val="13"/>
                <w:color w:val="auto"/>
              </w:rPr>
            </w:pPr>
          </w:p>
        </w:tc>
        <w:tc>
          <w:tcPr>
            <w:tcW w:w="140" w:type="dxa"/>
            <w:vAlign w:val="bottom"/>
            <w:shd w:val="clear" w:color="auto" w:fill="284993"/>
          </w:tcPr>
          <w:p>
            <w:pPr>
              <w:spacing w:after="0"/>
              <w:rPr>
                <w:sz w:val="13"/>
                <w:szCs w:val="13"/>
                <w:color w:val="auto"/>
              </w:rPr>
            </w:pPr>
          </w:p>
        </w:tc>
        <w:tc>
          <w:tcPr>
            <w:tcW w:w="20" w:type="dxa"/>
            <w:vAlign w:val="bottom"/>
            <w:shd w:val="clear" w:color="auto" w:fill="284993"/>
          </w:tcPr>
          <w:p>
            <w:pPr>
              <w:spacing w:after="0"/>
              <w:rPr>
                <w:sz w:val="13"/>
                <w:szCs w:val="13"/>
                <w:color w:val="auto"/>
              </w:rPr>
            </w:pPr>
          </w:p>
        </w:tc>
        <w:tc>
          <w:tcPr>
            <w:tcW w:w="80" w:type="dxa"/>
            <w:vAlign w:val="bottom"/>
            <w:shd w:val="clear" w:color="auto" w:fill="284993"/>
          </w:tcPr>
          <w:p>
            <w:pPr>
              <w:spacing w:after="0"/>
              <w:rPr>
                <w:sz w:val="13"/>
                <w:szCs w:val="13"/>
                <w:color w:val="auto"/>
              </w:rPr>
            </w:pPr>
          </w:p>
        </w:tc>
        <w:tc>
          <w:tcPr>
            <w:tcW w:w="1380" w:type="dxa"/>
            <w:vAlign w:val="bottom"/>
            <w:shd w:val="clear" w:color="auto" w:fill="284993"/>
          </w:tcPr>
          <w:p>
            <w:pPr>
              <w:spacing w:after="0"/>
              <w:rPr>
                <w:sz w:val="13"/>
                <w:szCs w:val="13"/>
                <w:color w:val="auto"/>
              </w:rPr>
            </w:pPr>
          </w:p>
        </w:tc>
        <w:tc>
          <w:tcPr>
            <w:tcW w:w="660" w:type="dxa"/>
            <w:vAlign w:val="bottom"/>
            <w:shd w:val="clear" w:color="auto" w:fill="284993"/>
          </w:tcPr>
          <w:p>
            <w:pPr>
              <w:jc w:val="right"/>
              <w:ind w:right="11"/>
              <w:spacing w:after="0" w:line="155" w:lineRule="exact"/>
              <w:rPr>
                <w:sz w:val="20"/>
                <w:szCs w:val="20"/>
                <w:color w:val="auto"/>
              </w:rPr>
            </w:pPr>
            <w:r>
              <w:rPr>
                <w:rFonts w:ascii="Arial" w:cs="Arial" w:eastAsia="Arial" w:hAnsi="Arial"/>
                <w:sz w:val="14"/>
                <w:szCs w:val="14"/>
                <w:b w:val="1"/>
                <w:bCs w:val="1"/>
                <w:color w:val="FFFFFF"/>
              </w:rPr>
              <w:t>Reason</w:t>
            </w:r>
          </w:p>
        </w:tc>
        <w:tc>
          <w:tcPr>
            <w:tcW w:w="1060" w:type="dxa"/>
            <w:vAlign w:val="bottom"/>
            <w:shd w:val="clear" w:color="auto" w:fill="284993"/>
          </w:tcPr>
          <w:p>
            <w:pPr>
              <w:jc w:val="right"/>
              <w:ind w:right="11"/>
              <w:spacing w:after="0" w:line="155" w:lineRule="exact"/>
              <w:rPr>
                <w:sz w:val="20"/>
                <w:szCs w:val="20"/>
                <w:color w:val="auto"/>
              </w:rPr>
            </w:pPr>
            <w:r>
              <w:rPr>
                <w:rFonts w:ascii="Arial" w:cs="Arial" w:eastAsia="Arial" w:hAnsi="Arial"/>
                <w:sz w:val="14"/>
                <w:szCs w:val="14"/>
                <w:b w:val="1"/>
                <w:bCs w:val="1"/>
                <w:color w:val="FFFFFF"/>
              </w:rPr>
              <w:t>Good Reason</w:t>
            </w:r>
          </w:p>
        </w:tc>
        <w:tc>
          <w:tcPr>
            <w:tcW w:w="600" w:type="dxa"/>
            <w:vAlign w:val="bottom"/>
            <w:shd w:val="clear" w:color="auto" w:fill="284993"/>
          </w:tcPr>
          <w:p>
            <w:pPr>
              <w:jc w:val="right"/>
              <w:ind w:right="51"/>
              <w:spacing w:after="0" w:line="155" w:lineRule="exact"/>
              <w:rPr>
                <w:sz w:val="20"/>
                <w:szCs w:val="20"/>
                <w:color w:val="auto"/>
              </w:rPr>
            </w:pPr>
            <w:r>
              <w:rPr>
                <w:rFonts w:ascii="Arial" w:cs="Arial" w:eastAsia="Arial" w:hAnsi="Arial"/>
                <w:sz w:val="14"/>
                <w:szCs w:val="14"/>
                <w:b w:val="1"/>
                <w:bCs w:val="1"/>
                <w:color w:val="FFFFFF"/>
              </w:rPr>
              <w:t>Cause</w:t>
            </w:r>
          </w:p>
        </w:tc>
        <w:tc>
          <w:tcPr>
            <w:tcW w:w="80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9"/>
              </w:rPr>
              <w:t>Cause</w:t>
            </w:r>
          </w:p>
        </w:tc>
        <w:tc>
          <w:tcPr>
            <w:tcW w:w="820" w:type="dxa"/>
            <w:vAlign w:val="bottom"/>
            <w:shd w:val="clear" w:color="auto" w:fill="284993"/>
          </w:tcPr>
          <w:p>
            <w:pPr>
              <w:jc w:val="right"/>
              <w:ind w:right="171"/>
              <w:spacing w:after="0" w:line="155" w:lineRule="exact"/>
              <w:rPr>
                <w:sz w:val="20"/>
                <w:szCs w:val="20"/>
                <w:color w:val="auto"/>
              </w:rPr>
            </w:pPr>
            <w:r>
              <w:rPr>
                <w:rFonts w:ascii="Arial" w:cs="Arial" w:eastAsia="Arial" w:hAnsi="Arial"/>
                <w:sz w:val="14"/>
                <w:szCs w:val="14"/>
                <w:b w:val="1"/>
                <w:bCs w:val="1"/>
                <w:color w:val="FFFFFF"/>
              </w:rPr>
              <w:t>Death</w:t>
            </w:r>
          </w:p>
        </w:tc>
        <w:tc>
          <w:tcPr>
            <w:tcW w:w="800" w:type="dxa"/>
            <w:vAlign w:val="bottom"/>
            <w:shd w:val="clear" w:color="auto" w:fill="284993"/>
          </w:tcPr>
          <w:p>
            <w:pPr>
              <w:jc w:val="right"/>
              <w:ind w:right="31"/>
              <w:spacing w:after="0" w:line="155" w:lineRule="exact"/>
              <w:rPr>
                <w:sz w:val="20"/>
                <w:szCs w:val="20"/>
                <w:color w:val="auto"/>
              </w:rPr>
            </w:pPr>
            <w:r>
              <w:rPr>
                <w:rFonts w:ascii="Arial" w:cs="Arial" w:eastAsia="Arial" w:hAnsi="Arial"/>
                <w:sz w:val="14"/>
                <w:szCs w:val="14"/>
                <w:b w:val="1"/>
                <w:bCs w:val="1"/>
                <w:color w:val="FFFFFF"/>
              </w:rPr>
              <w:t>Disability</w:t>
            </w:r>
          </w:p>
        </w:tc>
        <w:tc>
          <w:tcPr>
            <w:tcW w:w="1400" w:type="dxa"/>
            <w:vAlign w:val="bottom"/>
            <w:shd w:val="clear" w:color="auto" w:fill="284993"/>
          </w:tcPr>
          <w:p>
            <w:pPr>
              <w:jc w:val="center"/>
              <w:spacing w:after="0" w:line="155" w:lineRule="exact"/>
              <w:rPr>
                <w:sz w:val="20"/>
                <w:szCs w:val="20"/>
                <w:color w:val="auto"/>
              </w:rPr>
            </w:pPr>
            <w:r>
              <w:rPr>
                <w:rFonts w:ascii="Arial" w:cs="Arial" w:eastAsia="Arial" w:hAnsi="Arial"/>
                <w:sz w:val="14"/>
                <w:szCs w:val="14"/>
                <w:b w:val="1"/>
                <w:bCs w:val="1"/>
                <w:color w:val="FFFFFF"/>
                <w:w w:val="98"/>
              </w:rPr>
              <w:t>Change in Control</w:t>
            </w:r>
          </w:p>
        </w:tc>
        <w:tc>
          <w:tcPr>
            <w:tcW w:w="0" w:type="dxa"/>
            <w:vAlign w:val="bottom"/>
          </w:tcPr>
          <w:p>
            <w:pPr>
              <w:spacing w:after="0"/>
              <w:rPr>
                <w:sz w:val="1"/>
                <w:szCs w:val="1"/>
                <w:color w:val="auto"/>
              </w:rPr>
            </w:pPr>
          </w:p>
        </w:tc>
      </w:tr>
      <w:tr>
        <w:trPr>
          <w:trHeight w:val="165"/>
        </w:trPr>
        <w:tc>
          <w:tcPr>
            <w:tcW w:w="3180" w:type="dxa"/>
            <w:vAlign w:val="bottom"/>
            <w:gridSpan w:val="12"/>
            <w:shd w:val="clear" w:color="auto" w:fill="284993"/>
          </w:tcPr>
          <w:p>
            <w:pPr>
              <w:ind w:left="140"/>
              <w:spacing w:after="0"/>
              <w:rPr>
                <w:sz w:val="20"/>
                <w:szCs w:val="20"/>
                <w:color w:val="auto"/>
              </w:rPr>
            </w:pPr>
            <w:r>
              <w:rPr>
                <w:rFonts w:ascii="Arial" w:cs="Arial" w:eastAsia="Arial" w:hAnsi="Arial"/>
                <w:sz w:val="14"/>
                <w:szCs w:val="14"/>
                <w:b w:val="1"/>
                <w:bCs w:val="1"/>
                <w:color w:val="FFFFFF"/>
              </w:rPr>
              <w:t>Compensation Program</w:t>
            </w:r>
          </w:p>
        </w:tc>
        <w:tc>
          <w:tcPr>
            <w:tcW w:w="66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3"/>
              </w:rPr>
              <w:t>($)</w:t>
            </w:r>
          </w:p>
        </w:tc>
        <w:tc>
          <w:tcPr>
            <w:tcW w:w="1060" w:type="dxa"/>
            <w:vAlign w:val="bottom"/>
            <w:shd w:val="clear" w:color="auto" w:fill="284993"/>
          </w:tcPr>
          <w:p>
            <w:pPr>
              <w:jc w:val="right"/>
              <w:ind w:right="371"/>
              <w:spacing w:after="0"/>
              <w:rPr>
                <w:sz w:val="20"/>
                <w:szCs w:val="20"/>
                <w:color w:val="auto"/>
              </w:rPr>
            </w:pPr>
            <w:r>
              <w:rPr>
                <w:rFonts w:ascii="Arial" w:cs="Arial" w:eastAsia="Arial" w:hAnsi="Arial"/>
                <w:sz w:val="14"/>
                <w:szCs w:val="14"/>
                <w:b w:val="1"/>
                <w:bCs w:val="1"/>
                <w:color w:val="FFFFFF"/>
              </w:rPr>
              <w:t>($)</w:t>
            </w:r>
          </w:p>
        </w:tc>
        <w:tc>
          <w:tcPr>
            <w:tcW w:w="600" w:type="dxa"/>
            <w:vAlign w:val="bottom"/>
            <w:shd w:val="clear" w:color="auto" w:fill="284993"/>
          </w:tcPr>
          <w:p>
            <w:pPr>
              <w:jc w:val="right"/>
              <w:ind w:right="171"/>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3"/>
              </w:rPr>
              <w:t>($)</w:t>
            </w:r>
          </w:p>
        </w:tc>
        <w:tc>
          <w:tcPr>
            <w:tcW w:w="820" w:type="dxa"/>
            <w:vAlign w:val="bottom"/>
            <w:shd w:val="clear" w:color="auto" w:fill="284993"/>
          </w:tcPr>
          <w:p>
            <w:pPr>
              <w:jc w:val="right"/>
              <w:ind w:right="271"/>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284993"/>
          </w:tcPr>
          <w:p>
            <w:pPr>
              <w:jc w:val="right"/>
              <w:ind w:right="251"/>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284993"/>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120" w:type="dxa"/>
            <w:vAlign w:val="bottom"/>
            <w:tcBorders>
              <w:bottom w:val="single" w:sz="8" w:color="auto"/>
            </w:tcBorders>
            <w:gridSpan w:val="5"/>
          </w:tcPr>
          <w:p>
            <w:pPr>
              <w:spacing w:after="0" w:line="143" w:lineRule="exact"/>
              <w:rPr>
                <w:sz w:val="20"/>
                <w:szCs w:val="20"/>
                <w:color w:val="auto"/>
              </w:rPr>
            </w:pPr>
            <w:r>
              <w:rPr>
                <w:rFonts w:ascii="Arial" w:cs="Arial" w:eastAsia="Arial" w:hAnsi="Arial"/>
                <w:sz w:val="14"/>
                <w:szCs w:val="14"/>
                <w:b w:val="1"/>
                <w:bCs w:val="1"/>
                <w:color w:val="auto"/>
                <w:w w:val="97"/>
              </w:rPr>
              <w:t>Cash Severance:</w:t>
            </w:r>
          </w:p>
        </w:tc>
        <w:tc>
          <w:tcPr>
            <w:tcW w:w="1840" w:type="dxa"/>
            <w:vAlign w:val="bottom"/>
            <w:gridSpan w:val="6"/>
          </w:tcPr>
          <w:p>
            <w:pPr>
              <w:spacing w:after="0"/>
              <w:rPr>
                <w:sz w:val="12"/>
                <w:szCs w:val="12"/>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600" w:type="dxa"/>
            <w:vAlign w:val="bottom"/>
            <w:vMerge w:val="restart"/>
          </w:tcPr>
          <w:p>
            <w:pPr>
              <w:jc w:val="right"/>
              <w:ind w:right="51"/>
              <w:spacing w:after="0"/>
              <w:rPr>
                <w:sz w:val="20"/>
                <w:szCs w:val="20"/>
                <w:color w:val="auto"/>
              </w:rPr>
            </w:pPr>
            <w:r>
              <w:rPr>
                <w:rFonts w:ascii="Arial" w:cs="Arial" w:eastAsia="Arial" w:hAnsi="Arial"/>
                <w:sz w:val="14"/>
                <w:szCs w:val="14"/>
                <w:color w:val="auto"/>
              </w:rPr>
              <w:t>0</w:t>
            </w:r>
          </w:p>
        </w:tc>
        <w:tc>
          <w:tcPr>
            <w:tcW w:w="800" w:type="dxa"/>
            <w:vAlign w:val="bottom"/>
            <w:vMerge w:val="restart"/>
          </w:tcPr>
          <w:p>
            <w:pPr>
              <w:jc w:val="right"/>
              <w:ind w:right="31"/>
              <w:spacing w:after="0"/>
              <w:rPr>
                <w:sz w:val="20"/>
                <w:szCs w:val="20"/>
                <w:color w:val="auto"/>
              </w:rPr>
            </w:pPr>
            <w:r>
              <w:rPr>
                <w:rFonts w:ascii="Arial" w:cs="Arial" w:eastAsia="Arial" w:hAnsi="Arial"/>
                <w:sz w:val="14"/>
                <w:szCs w:val="14"/>
                <w:color w:val="auto"/>
              </w:rPr>
              <w:t>0</w:t>
            </w: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0</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140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960" w:type="dxa"/>
            <w:vAlign w:val="bottom"/>
            <w:gridSpan w:val="11"/>
          </w:tcPr>
          <w:p>
            <w:pPr>
              <w:spacing w:after="0" w:line="149" w:lineRule="exact"/>
              <w:rPr>
                <w:sz w:val="20"/>
                <w:szCs w:val="20"/>
                <w:color w:val="auto"/>
              </w:rPr>
            </w:pPr>
            <w:r>
              <w:rPr>
                <w:rFonts w:ascii="Arial" w:cs="Arial" w:eastAsia="Arial" w:hAnsi="Arial"/>
                <w:sz w:val="14"/>
                <w:szCs w:val="14"/>
                <w:color w:val="auto"/>
              </w:rPr>
              <w:t>Thomas W. Warsop, III</w:t>
            </w:r>
          </w:p>
        </w:tc>
        <w:tc>
          <w:tcPr>
            <w:tcW w:w="6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Scott W. Behrens</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950,000</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1,900,000</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960" w:type="dxa"/>
            <w:vAlign w:val="bottom"/>
            <w:gridSpan w:val="11"/>
          </w:tcPr>
          <w:p>
            <w:pPr>
              <w:spacing w:after="0" w:line="155" w:lineRule="exact"/>
              <w:rPr>
                <w:sz w:val="20"/>
                <w:szCs w:val="20"/>
                <w:color w:val="auto"/>
              </w:rPr>
            </w:pPr>
            <w:r>
              <w:rPr>
                <w:rFonts w:ascii="Arial" w:cs="Arial" w:eastAsia="Arial" w:hAnsi="Arial"/>
                <w:sz w:val="14"/>
                <w:szCs w:val="14"/>
                <w:color w:val="auto"/>
              </w:rPr>
              <w:t>Ram K. Puppala</w:t>
            </w:r>
          </w:p>
        </w:tc>
        <w:tc>
          <w:tcPr>
            <w:tcW w:w="6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820,000</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1,640,000</w:t>
            </w: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Alessandro Silva</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840,000</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1,680,000</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960" w:type="dxa"/>
            <w:vAlign w:val="bottom"/>
            <w:gridSpan w:val="11"/>
          </w:tcPr>
          <w:p>
            <w:pPr>
              <w:spacing w:after="0" w:line="143" w:lineRule="exact"/>
              <w:rPr>
                <w:sz w:val="20"/>
                <w:szCs w:val="20"/>
                <w:color w:val="auto"/>
              </w:rPr>
            </w:pPr>
            <w:r>
              <w:rPr>
                <w:rFonts w:ascii="Arial" w:cs="Arial" w:eastAsia="Arial" w:hAnsi="Arial"/>
                <w:sz w:val="14"/>
                <w:szCs w:val="14"/>
                <w:color w:val="auto"/>
              </w:rPr>
              <w:t>Deborah L. Guerra</w:t>
            </w:r>
          </w:p>
        </w:tc>
        <w:tc>
          <w:tcPr>
            <w:tcW w:w="6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31"/>
              <w:spacing w:after="0" w:line="143" w:lineRule="exact"/>
              <w:rPr>
                <w:sz w:val="20"/>
                <w:szCs w:val="20"/>
                <w:color w:val="auto"/>
              </w:rPr>
            </w:pPr>
            <w:r>
              <w:rPr>
                <w:rFonts w:ascii="Arial" w:cs="Arial" w:eastAsia="Arial" w:hAnsi="Arial"/>
                <w:sz w:val="14"/>
                <w:szCs w:val="14"/>
                <w:color w:val="auto"/>
              </w:rPr>
              <w:t>766,000</w:t>
            </w:r>
          </w:p>
        </w:tc>
        <w:tc>
          <w:tcPr>
            <w:tcW w:w="8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w:t>
            </w:r>
          </w:p>
        </w:tc>
        <w:tc>
          <w:tcPr>
            <w:tcW w:w="1400" w:type="dxa"/>
            <w:vAlign w:val="bottom"/>
          </w:tcPr>
          <w:p>
            <w:pPr>
              <w:jc w:val="right"/>
              <w:ind w:right="11"/>
              <w:spacing w:after="0" w:line="143" w:lineRule="exact"/>
              <w:rPr>
                <w:sz w:val="20"/>
                <w:szCs w:val="20"/>
                <w:color w:val="auto"/>
              </w:rPr>
            </w:pPr>
            <w:r>
              <w:rPr>
                <w:rFonts w:ascii="Arial" w:cs="Arial" w:eastAsia="Arial" w:hAnsi="Arial"/>
                <w:sz w:val="14"/>
                <w:szCs w:val="14"/>
                <w:color w:val="auto"/>
              </w:rPr>
              <w:t>1,532,000</w:t>
            </w:r>
          </w:p>
        </w:tc>
        <w:tc>
          <w:tcPr>
            <w:tcW w:w="0" w:type="dxa"/>
            <w:vAlign w:val="bottom"/>
          </w:tcPr>
          <w:p>
            <w:pPr>
              <w:spacing w:after="0"/>
              <w:rPr>
                <w:sz w:val="1"/>
                <w:szCs w:val="1"/>
                <w:color w:val="auto"/>
              </w:rPr>
            </w:pPr>
          </w:p>
        </w:tc>
      </w:tr>
      <w:tr>
        <w:trPr>
          <w:trHeight w:val="117"/>
        </w:trPr>
        <w:tc>
          <w:tcPr>
            <w:tcW w:w="220" w:type="dxa"/>
            <w:vAlign w:val="bottom"/>
          </w:tcPr>
          <w:p>
            <w:pPr>
              <w:spacing w:after="0"/>
              <w:rPr>
                <w:sz w:val="10"/>
                <w:szCs w:val="10"/>
                <w:color w:val="auto"/>
              </w:rPr>
            </w:pPr>
          </w:p>
        </w:tc>
        <w:tc>
          <w:tcPr>
            <w:tcW w:w="1040" w:type="dxa"/>
            <w:vAlign w:val="bottom"/>
            <w:gridSpan w:val="3"/>
            <w:vMerge w:val="restart"/>
          </w:tcPr>
          <w:p>
            <w:pPr>
              <w:spacing w:after="0" w:line="155" w:lineRule="exact"/>
              <w:rPr>
                <w:sz w:val="20"/>
                <w:szCs w:val="20"/>
                <w:color w:val="auto"/>
              </w:rPr>
            </w:pPr>
            <w:r>
              <w:rPr>
                <w:rFonts w:ascii="Arial" w:cs="Arial" w:eastAsia="Arial" w:hAnsi="Arial"/>
                <w:sz w:val="14"/>
                <w:szCs w:val="14"/>
                <w:b w:val="1"/>
                <w:bCs w:val="1"/>
                <w:color w:val="auto"/>
                <w:w w:val="96"/>
              </w:rPr>
              <w:t>Bonus Payment</w:t>
            </w:r>
          </w:p>
        </w:tc>
        <w:tc>
          <w:tcPr>
            <w:tcW w:w="140" w:type="dxa"/>
            <w:vAlign w:val="bottom"/>
            <w:tcBorders>
              <w:bottom w:val="single" w:sz="8" w:color="auto"/>
            </w:tcBorders>
            <w:gridSpan w:val="3"/>
          </w:tcPr>
          <w:p>
            <w:pPr>
              <w:jc w:val="right"/>
              <w:spacing w:after="0" w:line="97" w:lineRule="exact"/>
              <w:rPr>
                <w:sz w:val="20"/>
                <w:szCs w:val="20"/>
                <w:color w:val="auto"/>
              </w:rPr>
            </w:pPr>
            <w:r>
              <w:rPr>
                <w:rFonts w:ascii="Arial" w:cs="Arial" w:eastAsia="Arial" w:hAnsi="Arial"/>
                <w:sz w:val="10"/>
                <w:szCs w:val="10"/>
                <w:b w:val="1"/>
                <w:bCs w:val="1"/>
                <w:color w:val="auto"/>
                <w:w w:val="97"/>
              </w:rPr>
              <w:t>(1)</w:t>
            </w:r>
          </w:p>
        </w:tc>
        <w:tc>
          <w:tcPr>
            <w:tcW w:w="16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1380" w:type="dxa"/>
            <w:vAlign w:val="bottom"/>
            <w:vMerge w:val="restart"/>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3"/>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600" w:type="dxa"/>
            <w:vAlign w:val="bottom"/>
            <w:vMerge w:val="restart"/>
          </w:tcPr>
          <w:p>
            <w:pPr>
              <w:jc w:val="right"/>
              <w:ind w:right="51"/>
              <w:spacing w:after="0"/>
              <w:rPr>
                <w:sz w:val="20"/>
                <w:szCs w:val="20"/>
                <w:color w:val="auto"/>
              </w:rPr>
            </w:pPr>
            <w:r>
              <w:rPr>
                <w:rFonts w:ascii="Arial" w:cs="Arial" w:eastAsia="Arial" w:hAnsi="Arial"/>
                <w:sz w:val="14"/>
                <w:szCs w:val="14"/>
                <w:color w:val="auto"/>
              </w:rPr>
              <w:t>0</w:t>
            </w:r>
          </w:p>
        </w:tc>
        <w:tc>
          <w:tcPr>
            <w:tcW w:w="800" w:type="dxa"/>
            <w:vAlign w:val="bottom"/>
            <w:vMerge w:val="restart"/>
          </w:tcPr>
          <w:p>
            <w:pPr>
              <w:jc w:val="right"/>
              <w:ind w:right="31"/>
              <w:spacing w:after="0"/>
              <w:rPr>
                <w:sz w:val="20"/>
                <w:szCs w:val="20"/>
                <w:color w:val="auto"/>
              </w:rPr>
            </w:pPr>
            <w:r>
              <w:rPr>
                <w:rFonts w:ascii="Arial" w:cs="Arial" w:eastAsia="Arial" w:hAnsi="Arial"/>
                <w:sz w:val="14"/>
                <w:szCs w:val="14"/>
                <w:color w:val="auto"/>
              </w:rPr>
              <w:t>0</w:t>
            </w: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0</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140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0" w:type="dxa"/>
            <w:vAlign w:val="bottom"/>
          </w:tcPr>
          <w:p>
            <w:pPr>
              <w:spacing w:after="0" w:line="20" w:lineRule="exact"/>
              <w:rPr>
                <w:sz w:val="1"/>
                <w:szCs w:val="1"/>
                <w:color w:val="auto"/>
              </w:rPr>
            </w:pPr>
          </w:p>
        </w:tc>
      </w:tr>
      <w:tr>
        <w:trPr>
          <w:trHeight w:val="147"/>
        </w:trPr>
        <w:tc>
          <w:tcPr>
            <w:tcW w:w="220" w:type="dxa"/>
            <w:vAlign w:val="bottom"/>
          </w:tcPr>
          <w:p>
            <w:pPr>
              <w:spacing w:after="0"/>
              <w:rPr>
                <w:sz w:val="12"/>
                <w:szCs w:val="12"/>
                <w:color w:val="auto"/>
              </w:rPr>
            </w:pPr>
          </w:p>
        </w:tc>
        <w:tc>
          <w:tcPr>
            <w:tcW w:w="2960" w:type="dxa"/>
            <w:vAlign w:val="bottom"/>
            <w:gridSpan w:val="11"/>
          </w:tcPr>
          <w:p>
            <w:pPr>
              <w:spacing w:after="0" w:line="147" w:lineRule="exact"/>
              <w:rPr>
                <w:sz w:val="20"/>
                <w:szCs w:val="20"/>
                <w:color w:val="auto"/>
              </w:rPr>
            </w:pPr>
            <w:r>
              <w:rPr>
                <w:rFonts w:ascii="Arial" w:cs="Arial" w:eastAsia="Arial" w:hAnsi="Arial"/>
                <w:sz w:val="14"/>
                <w:szCs w:val="14"/>
                <w:color w:val="auto"/>
              </w:rPr>
              <w:t>Thomas W. Warsop, III</w:t>
            </w:r>
          </w:p>
        </w:tc>
        <w:tc>
          <w:tcPr>
            <w:tcW w:w="6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Scott W. Behrens</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475,000</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960" w:type="dxa"/>
            <w:vAlign w:val="bottom"/>
            <w:gridSpan w:val="11"/>
          </w:tcPr>
          <w:p>
            <w:pPr>
              <w:spacing w:after="0" w:line="155" w:lineRule="exact"/>
              <w:rPr>
                <w:sz w:val="20"/>
                <w:szCs w:val="20"/>
                <w:color w:val="auto"/>
              </w:rPr>
            </w:pPr>
            <w:r>
              <w:rPr>
                <w:rFonts w:ascii="Arial" w:cs="Arial" w:eastAsia="Arial" w:hAnsi="Arial"/>
                <w:sz w:val="14"/>
                <w:szCs w:val="14"/>
                <w:color w:val="auto"/>
              </w:rPr>
              <w:t>Ram K. Puppala</w:t>
            </w:r>
          </w:p>
        </w:tc>
        <w:tc>
          <w:tcPr>
            <w:tcW w:w="6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410,000</w:t>
            </w: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Alessandro Silva</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527,750</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2960" w:type="dxa"/>
            <w:vAlign w:val="bottom"/>
            <w:gridSpan w:val="11"/>
          </w:tcPr>
          <w:p>
            <w:pPr>
              <w:spacing w:after="0" w:line="146" w:lineRule="exact"/>
              <w:rPr>
                <w:sz w:val="20"/>
                <w:szCs w:val="20"/>
                <w:color w:val="auto"/>
              </w:rPr>
            </w:pPr>
            <w:r>
              <w:rPr>
                <w:rFonts w:ascii="Arial" w:cs="Arial" w:eastAsia="Arial" w:hAnsi="Arial"/>
                <w:sz w:val="14"/>
                <w:szCs w:val="14"/>
                <w:color w:val="auto"/>
              </w:rPr>
              <w:t>Deborah L. Guerra</w:t>
            </w:r>
          </w:p>
        </w:tc>
        <w:tc>
          <w:tcPr>
            <w:tcW w:w="660" w:type="dxa"/>
            <w:vAlign w:val="bottom"/>
          </w:tcPr>
          <w:p>
            <w:pPr>
              <w:jc w:val="right"/>
              <w:ind w:right="11"/>
              <w:spacing w:after="0" w:line="146"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46"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51"/>
              <w:spacing w:after="0" w:line="146"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31"/>
              <w:spacing w:after="0" w:line="146" w:lineRule="exact"/>
              <w:rPr>
                <w:sz w:val="20"/>
                <w:szCs w:val="20"/>
                <w:color w:val="auto"/>
              </w:rPr>
            </w:pPr>
            <w:r>
              <w:rPr>
                <w:rFonts w:ascii="Arial" w:cs="Arial" w:eastAsia="Arial" w:hAnsi="Arial"/>
                <w:sz w:val="14"/>
                <w:szCs w:val="14"/>
                <w:color w:val="auto"/>
              </w:rPr>
              <w:t>0</w:t>
            </w:r>
          </w:p>
        </w:tc>
        <w:tc>
          <w:tcPr>
            <w:tcW w:w="820" w:type="dxa"/>
            <w:vAlign w:val="bottom"/>
          </w:tcPr>
          <w:p>
            <w:pPr>
              <w:jc w:val="right"/>
              <w:ind w:right="31"/>
              <w:spacing w:after="0" w:line="146"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11"/>
              <w:spacing w:after="0" w:line="146" w:lineRule="exact"/>
              <w:rPr>
                <w:sz w:val="20"/>
                <w:szCs w:val="20"/>
                <w:color w:val="auto"/>
              </w:rPr>
            </w:pPr>
            <w:r>
              <w:rPr>
                <w:rFonts w:ascii="Arial" w:cs="Arial" w:eastAsia="Arial" w:hAnsi="Arial"/>
                <w:sz w:val="14"/>
                <w:szCs w:val="14"/>
                <w:color w:val="auto"/>
              </w:rPr>
              <w:t>0</w:t>
            </w:r>
          </w:p>
        </w:tc>
        <w:tc>
          <w:tcPr>
            <w:tcW w:w="1400" w:type="dxa"/>
            <w:vAlign w:val="bottom"/>
          </w:tcPr>
          <w:p>
            <w:pPr>
              <w:jc w:val="right"/>
              <w:ind w:right="11"/>
              <w:spacing w:after="0" w:line="146" w:lineRule="exact"/>
              <w:rPr>
                <w:sz w:val="20"/>
                <w:szCs w:val="20"/>
                <w:color w:val="auto"/>
              </w:rPr>
            </w:pPr>
            <w:r>
              <w:rPr>
                <w:rFonts w:ascii="Arial" w:cs="Arial" w:eastAsia="Arial" w:hAnsi="Arial"/>
                <w:sz w:val="14"/>
                <w:szCs w:val="14"/>
                <w:color w:val="auto"/>
              </w:rPr>
              <w:t>305,351</w:t>
            </w: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2960" w:type="dxa"/>
            <w:vAlign w:val="bottom"/>
            <w:gridSpan w:val="11"/>
          </w:tcPr>
          <w:p>
            <w:pPr>
              <w:spacing w:after="0" w:line="152" w:lineRule="exact"/>
              <w:rPr>
                <w:sz w:val="20"/>
                <w:szCs w:val="20"/>
                <w:color w:val="auto"/>
              </w:rPr>
            </w:pPr>
            <w:r>
              <w:rPr>
                <w:rFonts w:ascii="Arial" w:cs="Arial" w:eastAsia="Arial" w:hAnsi="Arial"/>
                <w:sz w:val="14"/>
                <w:szCs w:val="14"/>
                <w:b w:val="1"/>
                <w:bCs w:val="1"/>
                <w:color w:val="auto"/>
              </w:rPr>
              <w:t>RSUs:</w:t>
            </w: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20" w:type="dxa"/>
            <w:vAlign w:val="bottom"/>
            <w:shd w:val="clear" w:color="auto" w:fill="9DBDE4"/>
          </w:tcPr>
          <w:p>
            <w:pPr>
              <w:spacing w:after="0"/>
              <w:rPr>
                <w:sz w:val="12"/>
                <w:szCs w:val="12"/>
                <w:color w:val="auto"/>
              </w:rPr>
            </w:pPr>
          </w:p>
        </w:tc>
        <w:tc>
          <w:tcPr>
            <w:tcW w:w="2960" w:type="dxa"/>
            <w:vAlign w:val="bottom"/>
            <w:gridSpan w:val="11"/>
            <w:shd w:val="clear" w:color="auto" w:fill="9DBDE4"/>
          </w:tcPr>
          <w:p>
            <w:pPr>
              <w:spacing w:after="0" w:line="149" w:lineRule="exact"/>
              <w:rPr>
                <w:sz w:val="20"/>
                <w:szCs w:val="20"/>
                <w:color w:val="auto"/>
              </w:rPr>
            </w:pPr>
            <w:r>
              <w:rPr>
                <w:rFonts w:ascii="Arial" w:cs="Arial" w:eastAsia="Arial" w:hAnsi="Arial"/>
                <w:sz w:val="14"/>
                <w:szCs w:val="14"/>
                <w:color w:val="auto"/>
              </w:rPr>
              <w:t>Thomas W. Warsop, III</w:t>
            </w:r>
          </w:p>
        </w:tc>
        <w:tc>
          <w:tcPr>
            <w:tcW w:w="66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9DBDE4"/>
          </w:tcPr>
          <w:p>
            <w:pPr>
              <w:jc w:val="right"/>
              <w:ind w:right="31"/>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140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960" w:type="dxa"/>
            <w:vAlign w:val="bottom"/>
            <w:gridSpan w:val="11"/>
          </w:tcPr>
          <w:p>
            <w:pPr>
              <w:spacing w:after="0" w:line="155" w:lineRule="exact"/>
              <w:rPr>
                <w:sz w:val="20"/>
                <w:szCs w:val="20"/>
                <w:color w:val="auto"/>
              </w:rPr>
            </w:pPr>
            <w:r>
              <w:rPr>
                <w:rFonts w:ascii="Arial" w:cs="Arial" w:eastAsia="Arial" w:hAnsi="Arial"/>
                <w:sz w:val="14"/>
                <w:szCs w:val="14"/>
                <w:color w:val="auto"/>
              </w:rPr>
              <w:t>Scott W. Behrens</w:t>
            </w:r>
          </w:p>
        </w:tc>
        <w:tc>
          <w:tcPr>
            <w:tcW w:w="6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1,781,534</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1,781,534</w:t>
            </w:r>
          </w:p>
        </w:tc>
        <w:tc>
          <w:tcPr>
            <w:tcW w:w="14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1,781,534</w:t>
            </w: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Ram K. Puppala</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880,670</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880,670</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$880,670</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960" w:type="dxa"/>
            <w:vAlign w:val="bottom"/>
            <w:gridSpan w:val="11"/>
          </w:tcPr>
          <w:p>
            <w:pPr>
              <w:spacing w:after="0" w:line="155" w:lineRule="exact"/>
              <w:rPr>
                <w:sz w:val="20"/>
                <w:szCs w:val="20"/>
                <w:color w:val="auto"/>
              </w:rPr>
            </w:pPr>
            <w:r>
              <w:rPr>
                <w:rFonts w:ascii="Arial" w:cs="Arial" w:eastAsia="Arial" w:hAnsi="Arial"/>
                <w:sz w:val="14"/>
                <w:szCs w:val="14"/>
                <w:color w:val="auto"/>
              </w:rPr>
              <w:t>Alessandro Silva</w:t>
            </w:r>
          </w:p>
        </w:tc>
        <w:tc>
          <w:tcPr>
            <w:tcW w:w="6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1,006,940</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1,006,940</w:t>
            </w:r>
          </w:p>
        </w:tc>
        <w:tc>
          <w:tcPr>
            <w:tcW w:w="14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1,006,940</w:t>
            </w: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Deborah L. Guerra</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604,095</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604,095</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604,095</w:t>
            </w:r>
          </w:p>
        </w:tc>
        <w:tc>
          <w:tcPr>
            <w:tcW w:w="0" w:type="dxa"/>
            <w:vAlign w:val="bottom"/>
          </w:tcPr>
          <w:p>
            <w:pPr>
              <w:spacing w:after="0"/>
              <w:rPr>
                <w:sz w:val="1"/>
                <w:szCs w:val="1"/>
                <w:color w:val="auto"/>
              </w:rPr>
            </w:pPr>
          </w:p>
        </w:tc>
      </w:tr>
      <w:tr>
        <w:trPr>
          <w:trHeight w:val="104"/>
        </w:trPr>
        <w:tc>
          <w:tcPr>
            <w:tcW w:w="220" w:type="dxa"/>
            <w:vAlign w:val="bottom"/>
          </w:tcPr>
          <w:p>
            <w:pPr>
              <w:spacing w:after="0"/>
              <w:rPr>
                <w:sz w:val="9"/>
                <w:szCs w:val="9"/>
                <w:color w:val="auto"/>
              </w:rPr>
            </w:pPr>
          </w:p>
        </w:tc>
        <w:tc>
          <w:tcPr>
            <w:tcW w:w="1340" w:type="dxa"/>
            <w:vAlign w:val="bottom"/>
            <w:gridSpan w:val="7"/>
            <w:vMerge w:val="restart"/>
          </w:tcPr>
          <w:p>
            <w:pPr>
              <w:spacing w:after="0" w:line="143" w:lineRule="exact"/>
              <w:rPr>
                <w:sz w:val="20"/>
                <w:szCs w:val="20"/>
                <w:color w:val="auto"/>
              </w:rPr>
            </w:pPr>
            <w:r>
              <w:rPr>
                <w:rFonts w:ascii="Arial" w:cs="Arial" w:eastAsia="Arial" w:hAnsi="Arial"/>
                <w:sz w:val="14"/>
                <w:szCs w:val="14"/>
                <w:b w:val="1"/>
                <w:bCs w:val="1"/>
                <w:color w:val="auto"/>
                <w:w w:val="96"/>
              </w:rPr>
              <w:t>Performance Shares</w:t>
            </w:r>
          </w:p>
        </w:tc>
        <w:tc>
          <w:tcPr>
            <w:tcW w:w="140" w:type="dxa"/>
            <w:vAlign w:val="bottom"/>
            <w:tcBorders>
              <w:bottom w:val="single" w:sz="8" w:color="auto"/>
            </w:tcBorders>
          </w:tcPr>
          <w:p>
            <w:pPr>
              <w:jc w:val="right"/>
              <w:spacing w:after="0" w:line="84" w:lineRule="exact"/>
              <w:rPr>
                <w:sz w:val="20"/>
                <w:szCs w:val="20"/>
                <w:color w:val="auto"/>
              </w:rPr>
            </w:pPr>
            <w:r>
              <w:rPr>
                <w:rFonts w:ascii="Arial" w:cs="Arial" w:eastAsia="Arial" w:hAnsi="Arial"/>
                <w:sz w:val="9"/>
                <w:szCs w:val="9"/>
                <w:b w:val="1"/>
                <w:bCs w:val="1"/>
                <w:color w:val="auto"/>
              </w:rPr>
              <w:t>(2)</w:t>
            </w:r>
          </w:p>
        </w:tc>
        <w:tc>
          <w:tcPr>
            <w:tcW w:w="100" w:type="dxa"/>
            <w:vAlign w:val="bottom"/>
            <w:gridSpan w:val="2"/>
            <w:vMerge w:val="restart"/>
          </w:tcPr>
          <w:p>
            <w:pPr>
              <w:jc w:val="right"/>
              <w:ind w:right="60"/>
              <w:spacing w:after="0"/>
              <w:rPr>
                <w:sz w:val="20"/>
                <w:szCs w:val="20"/>
                <w:color w:val="auto"/>
              </w:rPr>
            </w:pPr>
            <w:r>
              <w:rPr>
                <w:rFonts w:ascii="Arial" w:cs="Arial" w:eastAsia="Arial" w:hAnsi="Arial"/>
                <w:sz w:val="8"/>
                <w:szCs w:val="8"/>
                <w:b w:val="1"/>
                <w:bCs w:val="1"/>
                <w:u w:val="single" w:color="auto"/>
                <w:color w:val="auto"/>
                <w:w w:val="73"/>
              </w:rPr>
              <w:t>:</w:t>
            </w:r>
          </w:p>
        </w:tc>
        <w:tc>
          <w:tcPr>
            <w:tcW w:w="138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20" w:type="dxa"/>
            <w:vAlign w:val="bottom"/>
          </w:tcPr>
          <w:p>
            <w:pPr>
              <w:spacing w:after="0" w:line="20" w:lineRule="exact"/>
              <w:rPr>
                <w:sz w:val="1"/>
                <w:szCs w:val="1"/>
                <w:color w:val="auto"/>
              </w:rPr>
            </w:pPr>
          </w:p>
        </w:tc>
        <w:tc>
          <w:tcPr>
            <w:tcW w:w="1340" w:type="dxa"/>
            <w:vAlign w:val="bottom"/>
            <w:tcBorders>
              <w:bottom w:val="single" w:sz="8" w:color="auto"/>
            </w:tcBorders>
            <w:gridSpan w:val="7"/>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20" w:type="dxa"/>
            <w:vAlign w:val="bottom"/>
            <w:shd w:val="clear" w:color="auto" w:fill="9DBDE4"/>
          </w:tcPr>
          <w:p>
            <w:pPr>
              <w:spacing w:after="0"/>
              <w:rPr>
                <w:sz w:val="12"/>
                <w:szCs w:val="12"/>
                <w:color w:val="auto"/>
              </w:rPr>
            </w:pPr>
          </w:p>
        </w:tc>
        <w:tc>
          <w:tcPr>
            <w:tcW w:w="2960" w:type="dxa"/>
            <w:vAlign w:val="bottom"/>
            <w:gridSpan w:val="11"/>
            <w:shd w:val="clear" w:color="auto" w:fill="9DBDE4"/>
          </w:tcPr>
          <w:p>
            <w:pPr>
              <w:spacing w:after="0" w:line="147" w:lineRule="exact"/>
              <w:rPr>
                <w:sz w:val="20"/>
                <w:szCs w:val="20"/>
                <w:color w:val="auto"/>
              </w:rPr>
            </w:pPr>
            <w:r>
              <w:rPr>
                <w:rFonts w:ascii="Arial" w:cs="Arial" w:eastAsia="Arial" w:hAnsi="Arial"/>
                <w:sz w:val="14"/>
                <w:szCs w:val="14"/>
                <w:color w:val="auto"/>
              </w:rPr>
              <w:t>Thomas W. Warsop, III</w:t>
            </w:r>
          </w:p>
        </w:tc>
        <w:tc>
          <w:tcPr>
            <w:tcW w:w="660" w:type="dxa"/>
            <w:vAlign w:val="bottom"/>
            <w:shd w:val="clear" w:color="auto" w:fill="9DBDE4"/>
          </w:tcPr>
          <w:p>
            <w:pPr>
              <w:jc w:val="right"/>
              <w:ind w:right="11"/>
              <w:spacing w:after="0" w:line="147"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47"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47"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47" w:lineRule="exact"/>
              <w:rPr>
                <w:sz w:val="20"/>
                <w:szCs w:val="20"/>
                <w:color w:val="auto"/>
              </w:rPr>
            </w:pPr>
            <w:r>
              <w:rPr>
                <w:rFonts w:ascii="Arial" w:cs="Arial" w:eastAsia="Arial" w:hAnsi="Arial"/>
                <w:sz w:val="14"/>
                <w:szCs w:val="14"/>
                <w:color w:val="auto"/>
              </w:rPr>
              <w:t>0</w:t>
            </w:r>
          </w:p>
        </w:tc>
        <w:tc>
          <w:tcPr>
            <w:tcW w:w="820" w:type="dxa"/>
            <w:vAlign w:val="bottom"/>
            <w:shd w:val="clear" w:color="auto" w:fill="9DBDE4"/>
          </w:tcPr>
          <w:p>
            <w:pPr>
              <w:jc w:val="right"/>
              <w:ind w:right="31"/>
              <w:spacing w:after="0" w:line="147"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11"/>
              <w:spacing w:after="0" w:line="147" w:lineRule="exact"/>
              <w:rPr>
                <w:sz w:val="20"/>
                <w:szCs w:val="20"/>
                <w:color w:val="auto"/>
              </w:rPr>
            </w:pPr>
            <w:r>
              <w:rPr>
                <w:rFonts w:ascii="Arial" w:cs="Arial" w:eastAsia="Arial" w:hAnsi="Arial"/>
                <w:sz w:val="14"/>
                <w:szCs w:val="14"/>
                <w:color w:val="auto"/>
              </w:rPr>
              <w:t>0</w:t>
            </w:r>
          </w:p>
        </w:tc>
        <w:tc>
          <w:tcPr>
            <w:tcW w:w="1400" w:type="dxa"/>
            <w:vAlign w:val="bottom"/>
            <w:shd w:val="clear" w:color="auto" w:fill="9DBDE4"/>
          </w:tcPr>
          <w:p>
            <w:pPr>
              <w:jc w:val="right"/>
              <w:ind w:right="11"/>
              <w:spacing w:after="0" w:line="147"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960" w:type="dxa"/>
            <w:vAlign w:val="bottom"/>
            <w:gridSpan w:val="11"/>
          </w:tcPr>
          <w:p>
            <w:pPr>
              <w:spacing w:after="0" w:line="155" w:lineRule="exact"/>
              <w:rPr>
                <w:sz w:val="20"/>
                <w:szCs w:val="20"/>
                <w:color w:val="auto"/>
              </w:rPr>
            </w:pPr>
            <w:r>
              <w:rPr>
                <w:rFonts w:ascii="Arial" w:cs="Arial" w:eastAsia="Arial" w:hAnsi="Arial"/>
                <w:sz w:val="14"/>
                <w:szCs w:val="14"/>
                <w:color w:val="auto"/>
              </w:rPr>
              <w:t>Scott W. Behrens</w:t>
            </w:r>
          </w:p>
        </w:tc>
        <w:tc>
          <w:tcPr>
            <w:tcW w:w="6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1,468,826</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1,468,826</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1,468,826</w:t>
            </w:r>
          </w:p>
        </w:tc>
        <w:tc>
          <w:tcPr>
            <w:tcW w:w="14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2,129,478</w:t>
            </w: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Ram K. Puppala</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169,418</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169,418</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169,418</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508,254</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960" w:type="dxa"/>
            <w:vAlign w:val="bottom"/>
            <w:gridSpan w:val="11"/>
          </w:tcPr>
          <w:p>
            <w:pPr>
              <w:spacing w:after="0" w:line="155" w:lineRule="exact"/>
              <w:rPr>
                <w:sz w:val="20"/>
                <w:szCs w:val="20"/>
                <w:color w:val="auto"/>
              </w:rPr>
            </w:pPr>
            <w:r>
              <w:rPr>
                <w:rFonts w:ascii="Arial" w:cs="Arial" w:eastAsia="Arial" w:hAnsi="Arial"/>
                <w:sz w:val="14"/>
                <w:szCs w:val="14"/>
                <w:color w:val="auto"/>
              </w:rPr>
              <w:t>Alessandro Silva</w:t>
            </w:r>
          </w:p>
        </w:tc>
        <w:tc>
          <w:tcPr>
            <w:tcW w:w="6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53,498</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53,498</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53,498</w:t>
            </w:r>
          </w:p>
        </w:tc>
        <w:tc>
          <w:tcPr>
            <w:tcW w:w="14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160,494</w:t>
            </w: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Deborah L. Guerra</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280,769</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280,769</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280,769</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395,117</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2960" w:type="dxa"/>
            <w:vAlign w:val="bottom"/>
            <w:gridSpan w:val="11"/>
          </w:tcPr>
          <w:p>
            <w:pPr>
              <w:spacing w:after="0" w:line="146" w:lineRule="exact"/>
              <w:rPr>
                <w:sz w:val="20"/>
                <w:szCs w:val="20"/>
                <w:color w:val="auto"/>
              </w:rPr>
            </w:pPr>
            <w:r>
              <w:rPr>
                <w:rFonts w:ascii="Arial" w:cs="Arial" w:eastAsia="Arial" w:hAnsi="Arial"/>
                <w:sz w:val="14"/>
                <w:szCs w:val="14"/>
                <w:b w:val="1"/>
                <w:bCs w:val="1"/>
                <w:color w:val="auto"/>
              </w:rPr>
              <w:t>Health &amp; Welfare</w:t>
            </w:r>
          </w:p>
        </w:tc>
        <w:tc>
          <w:tcPr>
            <w:tcW w:w="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2960" w:type="dxa"/>
            <w:vAlign w:val="bottom"/>
            <w:gridSpan w:val="11"/>
          </w:tcPr>
          <w:p>
            <w:pPr>
              <w:spacing w:after="0" w:line="152" w:lineRule="exact"/>
              <w:rPr>
                <w:sz w:val="20"/>
                <w:szCs w:val="20"/>
                <w:color w:val="auto"/>
              </w:rPr>
            </w:pPr>
            <w:r>
              <w:rPr>
                <w:rFonts w:ascii="Arial" w:cs="Arial" w:eastAsia="Arial" w:hAnsi="Arial"/>
                <w:sz w:val="14"/>
                <w:szCs w:val="14"/>
                <w:b w:val="1"/>
                <w:bCs w:val="1"/>
                <w:color w:val="auto"/>
              </w:rPr>
              <w:t>Benefits Continuation:</w:t>
            </w: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600" w:type="dxa"/>
            <w:vAlign w:val="bottom"/>
            <w:vMerge w:val="restart"/>
          </w:tcPr>
          <w:p>
            <w:pPr>
              <w:jc w:val="right"/>
              <w:ind w:right="51"/>
              <w:spacing w:after="0"/>
              <w:rPr>
                <w:sz w:val="20"/>
                <w:szCs w:val="20"/>
                <w:color w:val="auto"/>
              </w:rPr>
            </w:pPr>
            <w:r>
              <w:rPr>
                <w:rFonts w:ascii="Arial" w:cs="Arial" w:eastAsia="Arial" w:hAnsi="Arial"/>
                <w:sz w:val="14"/>
                <w:szCs w:val="14"/>
                <w:color w:val="auto"/>
              </w:rPr>
              <w:t>0</w:t>
            </w:r>
          </w:p>
        </w:tc>
        <w:tc>
          <w:tcPr>
            <w:tcW w:w="800" w:type="dxa"/>
            <w:vAlign w:val="bottom"/>
            <w:vMerge w:val="restart"/>
          </w:tcPr>
          <w:p>
            <w:pPr>
              <w:jc w:val="right"/>
              <w:ind w:right="31"/>
              <w:spacing w:after="0"/>
              <w:rPr>
                <w:sz w:val="20"/>
                <w:szCs w:val="20"/>
                <w:color w:val="auto"/>
              </w:rPr>
            </w:pPr>
            <w:r>
              <w:rPr>
                <w:rFonts w:ascii="Arial" w:cs="Arial" w:eastAsia="Arial" w:hAnsi="Arial"/>
                <w:sz w:val="14"/>
                <w:szCs w:val="14"/>
                <w:color w:val="auto"/>
              </w:rPr>
              <w:t>0</w:t>
            </w: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0</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140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500" w:type="dxa"/>
            <w:vAlign w:val="bottom"/>
            <w:tcBorders>
              <w:top w:val="single" w:sz="8" w:color="auto"/>
            </w:tcBorders>
            <w:gridSpan w:val="9"/>
          </w:tcPr>
          <w:p>
            <w:pPr>
              <w:spacing w:after="0" w:line="149" w:lineRule="exact"/>
              <w:rPr>
                <w:sz w:val="20"/>
                <w:szCs w:val="20"/>
                <w:color w:val="auto"/>
              </w:rPr>
            </w:pPr>
            <w:r>
              <w:rPr>
                <w:rFonts w:ascii="Arial" w:cs="Arial" w:eastAsia="Arial" w:hAnsi="Arial"/>
                <w:sz w:val="14"/>
                <w:szCs w:val="14"/>
                <w:color w:val="auto"/>
              </w:rPr>
              <w:t>Thomas W. Warsop, III</w:t>
            </w: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Scott W. Behrens</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28,129</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39,483</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960" w:type="dxa"/>
            <w:vAlign w:val="bottom"/>
            <w:gridSpan w:val="11"/>
          </w:tcPr>
          <w:p>
            <w:pPr>
              <w:spacing w:after="0" w:line="155" w:lineRule="exact"/>
              <w:rPr>
                <w:sz w:val="20"/>
                <w:szCs w:val="20"/>
                <w:color w:val="auto"/>
              </w:rPr>
            </w:pPr>
            <w:r>
              <w:rPr>
                <w:rFonts w:ascii="Arial" w:cs="Arial" w:eastAsia="Arial" w:hAnsi="Arial"/>
                <w:sz w:val="14"/>
                <w:szCs w:val="14"/>
                <w:color w:val="auto"/>
              </w:rPr>
              <w:t>Ram K. Puppala</w:t>
            </w:r>
          </w:p>
        </w:tc>
        <w:tc>
          <w:tcPr>
            <w:tcW w:w="6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27,163</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39,483</w:t>
            </w: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Alessandro Silva</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27,832</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48,670</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2960" w:type="dxa"/>
            <w:vAlign w:val="bottom"/>
            <w:gridSpan w:val="11"/>
          </w:tcPr>
          <w:p>
            <w:pPr>
              <w:spacing w:after="0" w:line="146" w:lineRule="exact"/>
              <w:rPr>
                <w:sz w:val="20"/>
                <w:szCs w:val="20"/>
                <w:color w:val="auto"/>
              </w:rPr>
            </w:pPr>
            <w:r>
              <w:rPr>
                <w:rFonts w:ascii="Arial" w:cs="Arial" w:eastAsia="Arial" w:hAnsi="Arial"/>
                <w:sz w:val="14"/>
                <w:szCs w:val="14"/>
                <w:color w:val="auto"/>
              </w:rPr>
              <w:t>Deborah L. Guerra</w:t>
            </w:r>
          </w:p>
        </w:tc>
        <w:tc>
          <w:tcPr>
            <w:tcW w:w="660" w:type="dxa"/>
            <w:vAlign w:val="bottom"/>
          </w:tcPr>
          <w:p>
            <w:pPr>
              <w:jc w:val="right"/>
              <w:ind w:right="11"/>
              <w:spacing w:after="0" w:line="146"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46"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51"/>
              <w:spacing w:after="0" w:line="146"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31"/>
              <w:spacing w:after="0" w:line="146" w:lineRule="exact"/>
              <w:rPr>
                <w:sz w:val="20"/>
                <w:szCs w:val="20"/>
                <w:color w:val="auto"/>
              </w:rPr>
            </w:pPr>
            <w:r>
              <w:rPr>
                <w:rFonts w:ascii="Arial" w:cs="Arial" w:eastAsia="Arial" w:hAnsi="Arial"/>
                <w:sz w:val="14"/>
                <w:szCs w:val="14"/>
                <w:color w:val="auto"/>
              </w:rPr>
              <w:t>27,163</w:t>
            </w:r>
          </w:p>
        </w:tc>
        <w:tc>
          <w:tcPr>
            <w:tcW w:w="820" w:type="dxa"/>
            <w:vAlign w:val="bottom"/>
          </w:tcPr>
          <w:p>
            <w:pPr>
              <w:jc w:val="right"/>
              <w:ind w:right="31"/>
              <w:spacing w:after="0" w:line="146"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11"/>
              <w:spacing w:after="0" w:line="146" w:lineRule="exact"/>
              <w:rPr>
                <w:sz w:val="20"/>
                <w:szCs w:val="20"/>
                <w:color w:val="auto"/>
              </w:rPr>
            </w:pPr>
            <w:r>
              <w:rPr>
                <w:rFonts w:ascii="Arial" w:cs="Arial" w:eastAsia="Arial" w:hAnsi="Arial"/>
                <w:sz w:val="14"/>
                <w:szCs w:val="14"/>
                <w:color w:val="auto"/>
              </w:rPr>
              <w:t>0</w:t>
            </w:r>
          </w:p>
        </w:tc>
        <w:tc>
          <w:tcPr>
            <w:tcW w:w="1400" w:type="dxa"/>
            <w:vAlign w:val="bottom"/>
          </w:tcPr>
          <w:p>
            <w:pPr>
              <w:jc w:val="right"/>
              <w:ind w:right="11"/>
              <w:spacing w:after="0" w:line="146" w:lineRule="exact"/>
              <w:rPr>
                <w:sz w:val="20"/>
                <w:szCs w:val="20"/>
                <w:color w:val="auto"/>
              </w:rPr>
            </w:pPr>
            <w:r>
              <w:rPr>
                <w:rFonts w:ascii="Arial" w:cs="Arial" w:eastAsia="Arial" w:hAnsi="Arial"/>
                <w:sz w:val="14"/>
                <w:szCs w:val="14"/>
                <w:color w:val="auto"/>
              </w:rPr>
              <w:t>52,096</w:t>
            </w: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1580" w:type="dxa"/>
            <w:vAlign w:val="bottom"/>
            <w:tcBorders>
              <w:bottom w:val="single" w:sz="8" w:color="auto"/>
            </w:tcBorders>
            <w:gridSpan w:val="10"/>
          </w:tcPr>
          <w:p>
            <w:pPr>
              <w:spacing w:after="0" w:line="152" w:lineRule="exact"/>
              <w:rPr>
                <w:sz w:val="20"/>
                <w:szCs w:val="20"/>
                <w:color w:val="auto"/>
              </w:rPr>
            </w:pPr>
            <w:r>
              <w:rPr>
                <w:rFonts w:ascii="Arial" w:cs="Arial" w:eastAsia="Arial" w:hAnsi="Arial"/>
                <w:sz w:val="14"/>
                <w:szCs w:val="14"/>
                <w:b w:val="1"/>
                <w:bCs w:val="1"/>
                <w:color w:val="auto"/>
                <w:w w:val="97"/>
              </w:rPr>
              <w:t>Outplacement Services:</w:t>
            </w:r>
          </w:p>
        </w:tc>
        <w:tc>
          <w:tcPr>
            <w:tcW w:w="1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9DBDE4"/>
          </w:tcPr>
          <w:p>
            <w:pPr>
              <w:spacing w:after="0"/>
              <w:rPr>
                <w:sz w:val="12"/>
                <w:szCs w:val="12"/>
                <w:color w:val="auto"/>
              </w:rPr>
            </w:pPr>
          </w:p>
        </w:tc>
        <w:tc>
          <w:tcPr>
            <w:tcW w:w="2960" w:type="dxa"/>
            <w:vAlign w:val="bottom"/>
            <w:gridSpan w:val="11"/>
            <w:shd w:val="clear" w:color="auto" w:fill="9DBDE4"/>
          </w:tcPr>
          <w:p>
            <w:pPr>
              <w:spacing w:after="0" w:line="149" w:lineRule="exact"/>
              <w:rPr>
                <w:sz w:val="20"/>
                <w:szCs w:val="20"/>
                <w:color w:val="auto"/>
              </w:rPr>
            </w:pPr>
            <w:r>
              <w:rPr>
                <w:rFonts w:ascii="Arial" w:cs="Arial" w:eastAsia="Arial" w:hAnsi="Arial"/>
                <w:sz w:val="14"/>
                <w:szCs w:val="14"/>
                <w:color w:val="auto"/>
              </w:rPr>
              <w:t>Thomas W. Warsop, III</w:t>
            </w:r>
          </w:p>
        </w:tc>
        <w:tc>
          <w:tcPr>
            <w:tcW w:w="66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9DBDE4"/>
          </w:tcPr>
          <w:p>
            <w:pPr>
              <w:jc w:val="right"/>
              <w:ind w:right="31"/>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1400" w:type="dxa"/>
            <w:vAlign w:val="bottom"/>
            <w:shd w:val="clear" w:color="auto" w:fill="9DBDE4"/>
          </w:tcPr>
          <w:p>
            <w:pPr>
              <w:jc w:val="right"/>
              <w:ind w:right="11"/>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960" w:type="dxa"/>
            <w:vAlign w:val="bottom"/>
            <w:gridSpan w:val="11"/>
          </w:tcPr>
          <w:p>
            <w:pPr>
              <w:spacing w:after="0" w:line="155" w:lineRule="exact"/>
              <w:rPr>
                <w:sz w:val="20"/>
                <w:szCs w:val="20"/>
                <w:color w:val="auto"/>
              </w:rPr>
            </w:pPr>
            <w:r>
              <w:rPr>
                <w:rFonts w:ascii="Arial" w:cs="Arial" w:eastAsia="Arial" w:hAnsi="Arial"/>
                <w:sz w:val="14"/>
                <w:szCs w:val="14"/>
                <w:color w:val="auto"/>
              </w:rPr>
              <w:t>Scott W. Behrens</w:t>
            </w:r>
          </w:p>
        </w:tc>
        <w:tc>
          <w:tcPr>
            <w:tcW w:w="6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10,275</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Ram K. Puppala</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10,275</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960" w:type="dxa"/>
            <w:vAlign w:val="bottom"/>
            <w:gridSpan w:val="11"/>
          </w:tcPr>
          <w:p>
            <w:pPr>
              <w:spacing w:after="0" w:line="155" w:lineRule="exact"/>
              <w:rPr>
                <w:sz w:val="20"/>
                <w:szCs w:val="20"/>
                <w:color w:val="auto"/>
              </w:rPr>
            </w:pPr>
            <w:r>
              <w:rPr>
                <w:rFonts w:ascii="Arial" w:cs="Arial" w:eastAsia="Arial" w:hAnsi="Arial"/>
                <w:sz w:val="14"/>
                <w:szCs w:val="14"/>
                <w:color w:val="auto"/>
              </w:rPr>
              <w:t>Alessandro Silva</w:t>
            </w:r>
          </w:p>
        </w:tc>
        <w:tc>
          <w:tcPr>
            <w:tcW w:w="6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10,275</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Deborah L. Guerra</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10,275</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960" w:type="dxa"/>
            <w:vAlign w:val="bottom"/>
            <w:gridSpan w:val="11"/>
          </w:tcPr>
          <w:p>
            <w:pPr>
              <w:spacing w:after="0" w:line="143" w:lineRule="exact"/>
              <w:rPr>
                <w:sz w:val="20"/>
                <w:szCs w:val="20"/>
                <w:color w:val="auto"/>
              </w:rPr>
            </w:pPr>
            <w:r>
              <w:rPr>
                <w:rFonts w:ascii="Arial" w:cs="Arial" w:eastAsia="Arial" w:hAnsi="Arial"/>
                <w:sz w:val="14"/>
                <w:szCs w:val="14"/>
                <w:b w:val="1"/>
                <w:bCs w:val="1"/>
                <w:color w:val="auto"/>
              </w:rPr>
              <w:t>Totals:</w:t>
            </w: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600" w:type="dxa"/>
            <w:vAlign w:val="bottom"/>
            <w:vMerge w:val="restart"/>
          </w:tcPr>
          <w:p>
            <w:pPr>
              <w:jc w:val="right"/>
              <w:ind w:right="51"/>
              <w:spacing w:after="0"/>
              <w:rPr>
                <w:sz w:val="20"/>
                <w:szCs w:val="20"/>
                <w:color w:val="auto"/>
              </w:rPr>
            </w:pPr>
            <w:r>
              <w:rPr>
                <w:rFonts w:ascii="Arial" w:cs="Arial" w:eastAsia="Arial" w:hAnsi="Arial"/>
                <w:sz w:val="14"/>
                <w:szCs w:val="14"/>
                <w:color w:val="auto"/>
              </w:rPr>
              <w:t>0</w:t>
            </w:r>
          </w:p>
        </w:tc>
        <w:tc>
          <w:tcPr>
            <w:tcW w:w="800" w:type="dxa"/>
            <w:vAlign w:val="bottom"/>
            <w:vMerge w:val="restart"/>
          </w:tcPr>
          <w:p>
            <w:pPr>
              <w:jc w:val="right"/>
              <w:ind w:right="31"/>
              <w:spacing w:after="0"/>
              <w:rPr>
                <w:sz w:val="20"/>
                <w:szCs w:val="20"/>
                <w:color w:val="auto"/>
              </w:rPr>
            </w:pPr>
            <w:r>
              <w:rPr>
                <w:rFonts w:ascii="Arial" w:cs="Arial" w:eastAsia="Arial" w:hAnsi="Arial"/>
                <w:sz w:val="14"/>
                <w:szCs w:val="14"/>
                <w:color w:val="auto"/>
              </w:rPr>
              <w:t>0</w:t>
            </w: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0</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1400" w:type="dxa"/>
            <w:vAlign w:val="bottom"/>
            <w:vMerge w:val="restart"/>
          </w:tcPr>
          <w:p>
            <w:pPr>
              <w:jc w:val="right"/>
              <w:ind w:right="11"/>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w w:val="82"/>
              </w:rPr>
              <w:t>Thomas</w:t>
            </w:r>
          </w:p>
        </w:tc>
        <w:tc>
          <w:tcPr>
            <w:tcW w:w="2520" w:type="dxa"/>
            <w:vAlign w:val="bottom"/>
            <w:gridSpan w:val="9"/>
          </w:tcPr>
          <w:p>
            <w:pPr>
              <w:ind w:left="100"/>
              <w:spacing w:after="0" w:line="149" w:lineRule="exact"/>
              <w:rPr>
                <w:sz w:val="20"/>
                <w:szCs w:val="20"/>
                <w:color w:val="auto"/>
              </w:rPr>
            </w:pPr>
            <w:r>
              <w:rPr>
                <w:rFonts w:ascii="Arial" w:cs="Arial" w:eastAsia="Arial" w:hAnsi="Arial"/>
                <w:sz w:val="14"/>
                <w:szCs w:val="14"/>
                <w:color w:val="auto"/>
              </w:rPr>
              <w:t>W. Warsop, III</w:t>
            </w:r>
          </w:p>
        </w:tc>
        <w:tc>
          <w:tcPr>
            <w:tcW w:w="6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Scott W. Behrens</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2,457,230</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3,250,360</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3,250,360</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6,375,495</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960" w:type="dxa"/>
            <w:vAlign w:val="bottom"/>
            <w:gridSpan w:val="11"/>
          </w:tcPr>
          <w:p>
            <w:pPr>
              <w:spacing w:after="0" w:line="155" w:lineRule="exact"/>
              <w:rPr>
                <w:sz w:val="20"/>
                <w:szCs w:val="20"/>
                <w:color w:val="auto"/>
              </w:rPr>
            </w:pPr>
            <w:r>
              <w:rPr>
                <w:rFonts w:ascii="Arial" w:cs="Arial" w:eastAsia="Arial" w:hAnsi="Arial"/>
                <w:sz w:val="14"/>
                <w:szCs w:val="14"/>
                <w:color w:val="auto"/>
              </w:rPr>
              <w:t>Ram K. Puppala</w:t>
            </w:r>
          </w:p>
        </w:tc>
        <w:tc>
          <w:tcPr>
            <w:tcW w:w="6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1,026,856</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1,050,088</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1,050,088</w:t>
            </w:r>
          </w:p>
        </w:tc>
        <w:tc>
          <w:tcPr>
            <w:tcW w:w="14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3,528,407</w:t>
            </w:r>
          </w:p>
        </w:tc>
        <w:tc>
          <w:tcPr>
            <w:tcW w:w="0" w:type="dxa"/>
            <w:vAlign w:val="bottom"/>
          </w:tcPr>
          <w:p>
            <w:pPr>
              <w:spacing w:after="0"/>
              <w:rPr>
                <w:sz w:val="1"/>
                <w:szCs w:val="1"/>
                <w:color w:val="auto"/>
              </w:rPr>
            </w:pPr>
          </w:p>
        </w:tc>
      </w:tr>
      <w:tr>
        <w:trPr>
          <w:trHeight w:val="155"/>
        </w:trPr>
        <w:tc>
          <w:tcPr>
            <w:tcW w:w="220" w:type="dxa"/>
            <w:vAlign w:val="bottom"/>
            <w:shd w:val="clear" w:color="auto" w:fill="9DBDE4"/>
          </w:tcPr>
          <w:p>
            <w:pPr>
              <w:spacing w:after="0"/>
              <w:rPr>
                <w:sz w:val="13"/>
                <w:szCs w:val="13"/>
                <w:color w:val="auto"/>
              </w:rPr>
            </w:pPr>
          </w:p>
        </w:tc>
        <w:tc>
          <w:tcPr>
            <w:tcW w:w="2960" w:type="dxa"/>
            <w:vAlign w:val="bottom"/>
            <w:gridSpan w:val="11"/>
            <w:shd w:val="clear" w:color="auto" w:fill="9DBDE4"/>
          </w:tcPr>
          <w:p>
            <w:pPr>
              <w:spacing w:after="0" w:line="155" w:lineRule="exact"/>
              <w:rPr>
                <w:sz w:val="20"/>
                <w:szCs w:val="20"/>
                <w:color w:val="auto"/>
              </w:rPr>
            </w:pPr>
            <w:r>
              <w:rPr>
                <w:rFonts w:ascii="Arial" w:cs="Arial" w:eastAsia="Arial" w:hAnsi="Arial"/>
                <w:sz w:val="14"/>
                <w:szCs w:val="14"/>
                <w:color w:val="auto"/>
              </w:rPr>
              <w:t>Alessandro Silva</w:t>
            </w:r>
          </w:p>
        </w:tc>
        <w:tc>
          <w:tcPr>
            <w:tcW w:w="6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shd w:val="clear" w:color="auto" w:fill="9DBDE4"/>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931,605</w:t>
            </w:r>
          </w:p>
        </w:tc>
        <w:tc>
          <w:tcPr>
            <w:tcW w:w="820" w:type="dxa"/>
            <w:vAlign w:val="bottom"/>
            <w:shd w:val="clear" w:color="auto" w:fill="9DBDE4"/>
          </w:tcPr>
          <w:p>
            <w:pPr>
              <w:jc w:val="right"/>
              <w:ind w:right="31"/>
              <w:spacing w:after="0" w:line="155" w:lineRule="exact"/>
              <w:rPr>
                <w:sz w:val="20"/>
                <w:szCs w:val="20"/>
                <w:color w:val="auto"/>
              </w:rPr>
            </w:pPr>
            <w:r>
              <w:rPr>
                <w:rFonts w:ascii="Arial" w:cs="Arial" w:eastAsia="Arial" w:hAnsi="Arial"/>
                <w:sz w:val="14"/>
                <w:szCs w:val="14"/>
                <w:color w:val="auto"/>
              </w:rPr>
              <w:t>1,060,438</w:t>
            </w:r>
          </w:p>
        </w:tc>
        <w:tc>
          <w:tcPr>
            <w:tcW w:w="8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1,060,438</w:t>
            </w:r>
          </w:p>
        </w:tc>
        <w:tc>
          <w:tcPr>
            <w:tcW w:w="1400" w:type="dxa"/>
            <w:vAlign w:val="bottom"/>
            <w:shd w:val="clear" w:color="auto" w:fill="9DBDE4"/>
          </w:tcPr>
          <w:p>
            <w:pPr>
              <w:jc w:val="right"/>
              <w:ind w:right="11"/>
              <w:spacing w:after="0" w:line="155" w:lineRule="exact"/>
              <w:rPr>
                <w:sz w:val="20"/>
                <w:szCs w:val="20"/>
                <w:color w:val="auto"/>
              </w:rPr>
            </w:pPr>
            <w:r>
              <w:rPr>
                <w:rFonts w:ascii="Arial" w:cs="Arial" w:eastAsia="Arial" w:hAnsi="Arial"/>
                <w:sz w:val="14"/>
                <w:szCs w:val="14"/>
                <w:color w:val="auto"/>
              </w:rPr>
              <w:t>3,473,854</w:t>
            </w:r>
          </w:p>
        </w:tc>
        <w:tc>
          <w:tcPr>
            <w:tcW w:w="0" w:type="dxa"/>
            <w:vAlign w:val="bottom"/>
          </w:tcPr>
          <w:p>
            <w:pPr>
              <w:spacing w:after="0"/>
              <w:rPr>
                <w:sz w:val="1"/>
                <w:szCs w:val="1"/>
                <w:color w:val="auto"/>
              </w:rPr>
            </w:pPr>
          </w:p>
        </w:tc>
      </w:tr>
      <w:tr>
        <w:trPr>
          <w:trHeight w:val="155"/>
        </w:trPr>
        <w:tc>
          <w:tcPr>
            <w:tcW w:w="220" w:type="dxa"/>
            <w:vAlign w:val="bottom"/>
            <w:tcBorders>
              <w:bottom w:val="single" w:sz="8" w:color="284993"/>
            </w:tcBorders>
          </w:tcPr>
          <w:p>
            <w:pPr>
              <w:spacing w:after="0"/>
              <w:rPr>
                <w:sz w:val="13"/>
                <w:szCs w:val="13"/>
                <w:color w:val="auto"/>
              </w:rPr>
            </w:pPr>
          </w:p>
        </w:tc>
        <w:tc>
          <w:tcPr>
            <w:tcW w:w="2960" w:type="dxa"/>
            <w:vAlign w:val="bottom"/>
            <w:tcBorders>
              <w:bottom w:val="single" w:sz="8" w:color="284993"/>
            </w:tcBorders>
            <w:gridSpan w:val="11"/>
          </w:tcPr>
          <w:p>
            <w:pPr>
              <w:spacing w:after="0" w:line="155" w:lineRule="exact"/>
              <w:rPr>
                <w:sz w:val="20"/>
                <w:szCs w:val="20"/>
                <w:color w:val="auto"/>
              </w:rPr>
            </w:pPr>
            <w:r>
              <w:rPr>
                <w:rFonts w:ascii="Arial" w:cs="Arial" w:eastAsia="Arial" w:hAnsi="Arial"/>
                <w:sz w:val="14"/>
                <w:szCs w:val="14"/>
                <w:color w:val="auto"/>
              </w:rPr>
              <w:t>Deborah L. Guerra</w:t>
            </w:r>
          </w:p>
        </w:tc>
        <w:tc>
          <w:tcPr>
            <w:tcW w:w="660" w:type="dxa"/>
            <w:vAlign w:val="bottom"/>
            <w:tcBorders>
              <w:bottom w:val="single" w:sz="8" w:color="284993"/>
            </w:tcBorders>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284993"/>
            </w:tcBorders>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600" w:type="dxa"/>
            <w:vAlign w:val="bottom"/>
            <w:tcBorders>
              <w:bottom w:val="single" w:sz="8" w:color="284993"/>
            </w:tcBorders>
          </w:tcPr>
          <w:p>
            <w:pPr>
              <w:jc w:val="right"/>
              <w:ind w:right="51"/>
              <w:spacing w:after="0" w:line="155" w:lineRule="exact"/>
              <w:rPr>
                <w:sz w:val="20"/>
                <w:szCs w:val="20"/>
                <w:color w:val="auto"/>
              </w:rPr>
            </w:pPr>
            <w:r>
              <w:rPr>
                <w:rFonts w:ascii="Arial" w:cs="Arial" w:eastAsia="Arial" w:hAnsi="Arial"/>
                <w:sz w:val="14"/>
                <w:szCs w:val="14"/>
                <w:color w:val="auto"/>
              </w:rPr>
              <w:t>0</w:t>
            </w:r>
          </w:p>
        </w:tc>
        <w:tc>
          <w:tcPr>
            <w:tcW w:w="800" w:type="dxa"/>
            <w:vAlign w:val="bottom"/>
            <w:tcBorders>
              <w:bottom w:val="single" w:sz="8" w:color="284993"/>
            </w:tcBorders>
          </w:tcPr>
          <w:p>
            <w:pPr>
              <w:jc w:val="right"/>
              <w:ind w:right="31"/>
              <w:spacing w:after="0" w:line="155" w:lineRule="exact"/>
              <w:rPr>
                <w:sz w:val="20"/>
                <w:szCs w:val="20"/>
                <w:color w:val="auto"/>
              </w:rPr>
            </w:pPr>
            <w:r>
              <w:rPr>
                <w:rFonts w:ascii="Arial" w:cs="Arial" w:eastAsia="Arial" w:hAnsi="Arial"/>
                <w:sz w:val="14"/>
                <w:szCs w:val="14"/>
                <w:color w:val="auto"/>
              </w:rPr>
              <w:t>1,084,206</w:t>
            </w:r>
          </w:p>
        </w:tc>
        <w:tc>
          <w:tcPr>
            <w:tcW w:w="820" w:type="dxa"/>
            <w:vAlign w:val="bottom"/>
            <w:tcBorders>
              <w:bottom w:val="single" w:sz="8" w:color="284993"/>
            </w:tcBorders>
          </w:tcPr>
          <w:p>
            <w:pPr>
              <w:jc w:val="right"/>
              <w:ind w:right="31"/>
              <w:spacing w:after="0" w:line="155" w:lineRule="exact"/>
              <w:rPr>
                <w:sz w:val="20"/>
                <w:szCs w:val="20"/>
                <w:color w:val="auto"/>
              </w:rPr>
            </w:pPr>
            <w:r>
              <w:rPr>
                <w:rFonts w:ascii="Arial" w:cs="Arial" w:eastAsia="Arial" w:hAnsi="Arial"/>
                <w:sz w:val="14"/>
                <w:szCs w:val="14"/>
                <w:color w:val="auto"/>
              </w:rPr>
              <w:t>884,864</w:t>
            </w:r>
          </w:p>
        </w:tc>
        <w:tc>
          <w:tcPr>
            <w:tcW w:w="800" w:type="dxa"/>
            <w:vAlign w:val="bottom"/>
            <w:tcBorders>
              <w:bottom w:val="single" w:sz="8" w:color="284993"/>
            </w:tcBorders>
          </w:tcPr>
          <w:p>
            <w:pPr>
              <w:jc w:val="right"/>
              <w:ind w:right="11"/>
              <w:spacing w:after="0" w:line="155" w:lineRule="exact"/>
              <w:rPr>
                <w:sz w:val="20"/>
                <w:szCs w:val="20"/>
                <w:color w:val="auto"/>
              </w:rPr>
            </w:pPr>
            <w:r>
              <w:rPr>
                <w:rFonts w:ascii="Arial" w:cs="Arial" w:eastAsia="Arial" w:hAnsi="Arial"/>
                <w:sz w:val="14"/>
                <w:szCs w:val="14"/>
                <w:color w:val="auto"/>
              </w:rPr>
              <w:t>884,864</w:t>
            </w:r>
          </w:p>
        </w:tc>
        <w:tc>
          <w:tcPr>
            <w:tcW w:w="1400" w:type="dxa"/>
            <w:vAlign w:val="bottom"/>
            <w:tcBorders>
              <w:bottom w:val="single" w:sz="8" w:color="284993"/>
            </w:tcBorders>
          </w:tcPr>
          <w:p>
            <w:pPr>
              <w:jc w:val="right"/>
              <w:ind w:right="11"/>
              <w:spacing w:after="0" w:line="155" w:lineRule="exact"/>
              <w:rPr>
                <w:sz w:val="20"/>
                <w:szCs w:val="20"/>
                <w:color w:val="auto"/>
              </w:rPr>
            </w:pPr>
            <w:r>
              <w:rPr>
                <w:rFonts w:ascii="Arial" w:cs="Arial" w:eastAsia="Arial" w:hAnsi="Arial"/>
                <w:sz w:val="14"/>
                <w:szCs w:val="14"/>
                <w:color w:val="auto"/>
              </w:rPr>
              <w:t>2,938,659</w:t>
            </w:r>
          </w:p>
        </w:tc>
        <w:tc>
          <w:tcPr>
            <w:tcW w:w="0" w:type="dxa"/>
            <w:vAlign w:val="bottom"/>
          </w:tcPr>
          <w:p>
            <w:pPr>
              <w:spacing w:after="0"/>
              <w:rPr>
                <w:sz w:val="1"/>
                <w:szCs w:val="1"/>
                <w:color w:val="auto"/>
              </w:rPr>
            </w:pP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48596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9945" cy="4859655"/>
                    </a:xfrm>
                    <a:prstGeom prst="rect">
                      <a:avLst/>
                    </a:prstGeom>
                    <a:noFill/>
                  </pic:spPr>
                </pic:pic>
              </a:graphicData>
            </a:graphic>
          </wp:anchor>
        </w:drawing>
      </w:r>
    </w:p>
    <w:p>
      <w:pPr>
        <w:ind w:left="280" w:right="40" w:hanging="278"/>
        <w:spacing w:after="0" w:line="204" w:lineRule="auto"/>
        <w:tabs>
          <w:tab w:leader="none" w:pos="280" w:val="left"/>
        </w:tabs>
        <w:numPr>
          <w:ilvl w:val="0"/>
          <w:numId w:val="59"/>
        </w:numPr>
        <w:rPr>
          <w:rFonts w:ascii="Arial" w:cs="Arial" w:eastAsia="Arial" w:hAnsi="Arial"/>
          <w:sz w:val="18"/>
          <w:szCs w:val="18"/>
          <w:color w:val="auto"/>
          <w:vertAlign w:val="superscript"/>
        </w:rPr>
      </w:pPr>
      <w:r>
        <w:rPr>
          <w:rFonts w:ascii="Arial" w:cs="Arial" w:eastAsia="Arial" w:hAnsi="Arial"/>
          <w:sz w:val="12"/>
          <w:szCs w:val="12"/>
          <w:color w:val="auto"/>
        </w:rPr>
        <w:t>Bonus Payment represents the amount to be paid under “Accrued Obligations” which is generally the product of (x) the target annual bonus and (y) a fraction, the numerator of which is the number of days in the current fiscal year through the date of termination and the denominator of which is 365. The termination date is assumed to be on the last day of the year that results in a bonus payment equal to the full target annual bonus. With respect to Mr. Silva’s 2022 SPIF award, amount assumes that award would have been paid based on actual performance, because the award did not have a “target” level.</w:t>
      </w:r>
    </w:p>
    <w:p>
      <w:pPr>
        <w:spacing w:after="0" w:line="2" w:lineRule="exact"/>
        <w:rPr>
          <w:rFonts w:ascii="Arial" w:cs="Arial" w:eastAsia="Arial" w:hAnsi="Arial"/>
          <w:sz w:val="18"/>
          <w:szCs w:val="18"/>
          <w:color w:val="auto"/>
          <w:vertAlign w:val="superscript"/>
        </w:rPr>
      </w:pPr>
    </w:p>
    <w:p>
      <w:pPr>
        <w:ind w:left="280" w:right="80" w:hanging="278"/>
        <w:spacing w:after="0" w:line="192" w:lineRule="auto"/>
        <w:tabs>
          <w:tab w:leader="none" w:pos="280" w:val="left"/>
        </w:tabs>
        <w:numPr>
          <w:ilvl w:val="0"/>
          <w:numId w:val="59"/>
        </w:numPr>
        <w:rPr>
          <w:rFonts w:ascii="Arial" w:cs="Arial" w:eastAsia="Arial" w:hAnsi="Arial"/>
          <w:sz w:val="18"/>
          <w:szCs w:val="18"/>
          <w:color w:val="auto"/>
          <w:vertAlign w:val="superscript"/>
        </w:rPr>
      </w:pPr>
      <w:r>
        <w:rPr>
          <w:rFonts w:ascii="Arial" w:cs="Arial" w:eastAsia="Arial" w:hAnsi="Arial"/>
          <w:sz w:val="12"/>
          <w:szCs w:val="12"/>
          <w:color w:val="auto"/>
        </w:rPr>
        <w:t>The estimated pro-rata portion of performance shares (assuming target performance) set forth in this table includes the performance shares granted on March 17, 2020, March 1, 2021, and March 1, 2022.</w:t>
      </w:r>
    </w:p>
    <w:p>
      <w:pPr>
        <w:spacing w:after="0" w:line="122" w:lineRule="exact"/>
        <w:rPr>
          <w:sz w:val="20"/>
          <w:szCs w:val="20"/>
          <w:color w:val="auto"/>
        </w:rPr>
      </w:pPr>
    </w:p>
    <w:p>
      <w:pPr>
        <w:ind w:left="7420"/>
        <w:spacing w:after="0"/>
        <w:rPr>
          <w:sz w:val="20"/>
          <w:szCs w:val="20"/>
          <w:color w:val="auto"/>
        </w:rPr>
      </w:pPr>
      <w:r>
        <w:rPr>
          <w:rFonts w:ascii="Arial" w:cs="Arial" w:eastAsia="Arial" w:hAnsi="Arial"/>
          <w:sz w:val="13"/>
          <w:szCs w:val="13"/>
          <w:color w:val="auto"/>
        </w:rPr>
        <w:t xml:space="preserve">2023 PROXY STATEMENT </w:t>
      </w:r>
      <w:r>
        <w:rPr>
          <w:rFonts w:ascii="Arial" w:cs="Arial" w:eastAsia="Arial" w:hAnsi="Arial"/>
          <w:sz w:val="13"/>
          <w:szCs w:val="13"/>
          <w:b w:val="1"/>
          <w:bCs w:val="1"/>
          <w:color w:val="284993"/>
        </w:rPr>
        <w:t>79</w:t>
      </w:r>
    </w:p>
    <w:p>
      <w:pPr>
        <w:sectPr>
          <w:pgSz w:w="11900" w:h="16838" w:orient="portrait"/>
          <w:cols w:equalWidth="0" w:num="1">
            <w:col w:w="9320"/>
          </w:cols>
          <w:pgMar w:left="1280" w:top="302" w:right="1299" w:bottom="1440" w:gutter="0" w:footer="0" w:header="0"/>
        </w:sectPr>
      </w:pPr>
    </w:p>
    <w:bookmarkStart w:id="85" w:name="page86"/>
    <w:bookmarkEnd w:id="85"/>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Actual NEO Departures and Transitions During 2022</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Former CEO Separation Arrangement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As discussed above, we terminated Mr. Almeida’s employment without “Cause” on November 7, 2022, and Mr. Almeida was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severance compensation and benefits under the 2022 CEO Severance Agreement consisting of: (1) a lump sum cash payment of</w:t>
      </w:r>
    </w:p>
    <w:p>
      <w:pPr>
        <w:spacing w:after="0"/>
        <w:rPr>
          <w:sz w:val="20"/>
          <w:szCs w:val="20"/>
          <w:color w:val="auto"/>
        </w:rPr>
      </w:pPr>
      <w:r>
        <w:rPr>
          <w:rFonts w:ascii="Arial" w:cs="Arial" w:eastAsia="Arial" w:hAnsi="Arial"/>
          <w:sz w:val="14"/>
          <w:szCs w:val="14"/>
          <w:color w:val="auto"/>
        </w:rPr>
        <w:t>$2,100,000 (equal to 1.5 times the sum of his annual base salary plus his target annual bonus); (2) pro-rata vesting of his outstanding</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RSUs (valued at approximately $1,034,859), including the pro-rated third tranche of his 2020 RSU award (16,592 RSUs), the pro-rated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second tranche of his 2021 RSU award (14,326 RSUs), and the pro-rated first tranche of his 2022 RSU award (18,408 RSUs); (3)</w:t>
      </w:r>
    </w:p>
    <w:p>
      <w:pPr>
        <w:spacing w:after="0" w:line="236" w:lineRule="auto"/>
        <w:rPr>
          <w:sz w:val="20"/>
          <w:szCs w:val="20"/>
          <w:color w:val="auto"/>
        </w:rPr>
      </w:pPr>
      <w:r>
        <w:rPr>
          <w:rFonts w:ascii="Arial" w:cs="Arial" w:eastAsia="Arial" w:hAnsi="Arial"/>
          <w:sz w:val="16"/>
          <w:szCs w:val="16"/>
          <w:color w:val="auto"/>
        </w:rPr>
        <w:t>pro-rata vesting of his outstanding rTSR Performance Shares based on the extent any are earned at the end of the respective</w:t>
      </w:r>
    </w:p>
    <w:p>
      <w:pPr>
        <w:spacing w:after="0"/>
        <w:rPr>
          <w:sz w:val="20"/>
          <w:szCs w:val="20"/>
          <w:color w:val="auto"/>
        </w:rPr>
      </w:pPr>
      <w:r>
        <w:rPr>
          <w:rFonts w:ascii="Arial" w:cs="Arial" w:eastAsia="Arial" w:hAnsi="Arial"/>
          <w:sz w:val="14"/>
          <w:szCs w:val="14"/>
          <w:color w:val="auto"/>
        </w:rPr>
        <w:t>performance periods (estimated at approximately $4,805,689, assuming target performance and using the closing price of our stock on</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December 30, 2022, which estimate may not correspond to the actual value realized by Mr. Almeida, if any); and (4) at least 18 months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of continued benefits to him and his family at the same after-tax cost to him as would have applied prior to the termination (valued at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$15,249).</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separation benefits described above were subject to Mr. Almeida’s execution and non-revocation of a customary release of claims in favor of the Company, as well as his compliance with certain customary confidentiality, non-competition, and employee and customer non-solicitation restrictive covenants.</w:t>
      </w:r>
    </w:p>
    <w:p>
      <w:pPr>
        <w:spacing w:after="0" w:line="178" w:lineRule="exact"/>
        <w:rPr>
          <w:sz w:val="20"/>
          <w:szCs w:val="20"/>
          <w:color w:val="auto"/>
        </w:rPr>
      </w:pPr>
    </w:p>
    <w:p>
      <w:pPr>
        <w:ind w:right="620"/>
        <w:spacing w:after="0" w:line="335" w:lineRule="auto"/>
        <w:rPr>
          <w:sz w:val="20"/>
          <w:szCs w:val="20"/>
          <w:color w:val="auto"/>
        </w:rPr>
      </w:pPr>
      <w:r>
        <w:rPr>
          <w:rFonts w:ascii="Arial" w:cs="Arial" w:eastAsia="Arial" w:hAnsi="Arial"/>
          <w:sz w:val="14"/>
          <w:szCs w:val="14"/>
          <w:color w:val="auto"/>
        </w:rPr>
        <w:t>In connection with his departure, the Company also entered into a transition services agreement with Mr. Almeida covering the remainder of November 2022. Under the transition services agreement, Mr. Almeida received total fees of $44,000.</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84993"/>
        </w:rPr>
        <w:t>Other NEO Departures and Transitions During 2022</w:t>
      </w:r>
    </w:p>
    <w:p>
      <w:pPr>
        <w:spacing w:after="0" w:line="107" w:lineRule="exact"/>
        <w:rPr>
          <w:sz w:val="20"/>
          <w:szCs w:val="20"/>
          <w:color w:val="auto"/>
        </w:rPr>
      </w:pPr>
    </w:p>
    <w:p>
      <w:pPr>
        <w:ind w:right="420"/>
        <w:spacing w:after="0" w:line="249" w:lineRule="auto"/>
        <w:rPr>
          <w:sz w:val="20"/>
          <w:szCs w:val="20"/>
          <w:color w:val="auto"/>
        </w:rPr>
      </w:pPr>
      <w:r>
        <w:rPr>
          <w:rFonts w:ascii="Arial" w:cs="Arial" w:eastAsia="Arial" w:hAnsi="Arial"/>
          <w:sz w:val="16"/>
          <w:szCs w:val="16"/>
          <w:color w:val="auto"/>
        </w:rPr>
        <w:t>As discussed in the Compensation Discussion and Analysis above, on May 6, 2022, Ms. Aretakis voluntarily terminated her employment and ceased serving as our CRO and as an officer of the company. Under our severance policy, Ms. Aretakis was not entitled to severance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On July 5, 2022, Mr. Wilmot ceased serving as our CPO and as an officer of the company. He then served as a Special Advisor to the Company’s CEO. During his service as Special Advisor to the CEO, Mr. Wilmot (1) received a salary of $7,600 for 40 hours worked monthly, (2) received an additional $190 per hour worked in excess of 40 hours monthly, (3) remained eligible to receive an award under the Company’s 2022 short-term incentive program, with a target award equal to 100% of his base salary actually earned for 2022, (4) continued to vest in his outstanding equity-based awards in accordance with their terms, and (5) remained eligible for benefits available to part-time employees. Mr. Wilmot’s employment with the Company ceased on March 31, 2023, and he did not receive any severance compensation or benefits in connection with his departure.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86360</wp:posOffset>
            </wp:positionV>
            <wp:extent cx="699135" cy="1314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80</w:t>
      </w:r>
    </w:p>
    <w:p>
      <w:pPr>
        <w:sectPr>
          <w:pgSz w:w="11900" w:h="16838" w:orient="portrait"/>
          <w:cols w:equalWidth="0" w:num="1">
            <w:col w:w="9280"/>
          </w:cols>
          <w:pgMar w:left="1280" w:top="285" w:right="1339" w:bottom="1440" w:gutter="0" w:footer="0" w:header="0"/>
        </w:sectPr>
      </w:pPr>
    </w:p>
    <w:bookmarkStart w:id="86" w:name="page87"/>
    <w:bookmarkEnd w:id="86"/>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59207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Our CEO to median employee pay ratio is approximately 139:1 and was calculated in accordance with Item 402(u) of Regulation S-K.</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We believe this ratio to be a reasonable estimate, based upon the assumptions and adjustments described below.</w:t>
      </w:r>
    </w:p>
    <w:p>
      <w:pPr>
        <w:spacing w:after="0" w:line="19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identified the employee with compensation at the median of the annual total compensation of all of our employees (other than our CEO) by examining the calendar year total cash compensation between January 1, 2022 and December 31, 2022 (using December 31, 2022 as the “median employee determination date”), including salary or wages plus overtime paid, and any earned cash incentive compensation for 2022, for all individuals, excluding Mr. Almeida and Mr. Warsop, who were employed by us (including our consolidated subsidiaries) on the median employee determination date, whether employed on a full-time, part-time, seasonal or temporary basis, subject to the application of the “de minimis” exemption as described below.</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For employees paid other than in U.S. dollars, we converted their compensation to U.S. dollars using FX rates in effect on the median employee determination date.</w:t>
      </w:r>
    </w:p>
    <w:p>
      <w:pPr>
        <w:spacing w:after="0" w:line="167" w:lineRule="exact"/>
        <w:rPr>
          <w:sz w:val="20"/>
          <w:szCs w:val="20"/>
          <w:color w:val="auto"/>
        </w:rPr>
      </w:pPr>
    </w:p>
    <w:p>
      <w:pPr>
        <w:ind w:right="240"/>
        <w:spacing w:after="0" w:line="263" w:lineRule="auto"/>
        <w:rPr>
          <w:sz w:val="20"/>
          <w:szCs w:val="20"/>
          <w:color w:val="auto"/>
        </w:rPr>
      </w:pPr>
      <w:r>
        <w:rPr>
          <w:rFonts w:ascii="Arial" w:cs="Arial" w:eastAsia="Arial" w:hAnsi="Arial"/>
          <w:sz w:val="16"/>
          <w:szCs w:val="16"/>
          <w:color w:val="auto"/>
        </w:rPr>
        <w:t>For employees on a leave of absence, we calculated compensation on an annualized basis. However, we did not include employees absent on an unpaid leave of absence for the entire measurement period (i.e., all of 2022).</w:t>
      </w:r>
    </w:p>
    <w:p>
      <w:pPr>
        <w:spacing w:after="0" w:line="167"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The de minimis exemption allows us to exclude up to 5% of our total employees who are non-U.S. employees. Our total number of employees, including U.S. and non-U.S. employees, as of the median employee determination date was 3,166, and we used this number to calculate the maximum number of employees excludable under the de minimis exemption. Accordingly, in identifying the median employee, we used the de minimis exemption to exclude the following approximate numbers of employees who were employed in the following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5009515</wp:posOffset>
            </wp:positionH>
            <wp:positionV relativeFrom="paragraph">
              <wp:posOffset>139700</wp:posOffset>
            </wp:positionV>
            <wp:extent cx="8255" cy="8140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1407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139700</wp:posOffset>
            </wp:positionV>
            <wp:extent cx="8255" cy="8140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14070"/>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139700</wp:posOffset>
            </wp:positionV>
            <wp:extent cx="8255" cy="8140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14070"/>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139700</wp:posOffset>
            </wp:positionV>
            <wp:extent cx="8255" cy="8140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14070"/>
                    </a:xfrm>
                    <a:prstGeom prst="rect">
                      <a:avLst/>
                    </a:prstGeom>
                    <a:noFill/>
                  </pic:spPr>
                </pic:pic>
              </a:graphicData>
            </a:graphic>
          </wp:anchor>
        </w:drawing>
        <w:drawing>
          <wp:anchor simplePos="0" relativeHeight="251657728" behindDoc="1" locked="0" layoutInCell="0" allowOverlap="1">
            <wp:simplePos x="0" y="0"/>
            <wp:positionH relativeFrom="column">
              <wp:posOffset>1234440</wp:posOffset>
            </wp:positionH>
            <wp:positionV relativeFrom="paragraph">
              <wp:posOffset>139700</wp:posOffset>
            </wp:positionV>
            <wp:extent cx="8255" cy="8140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1407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shd w:val="clear" w:color="auto" w:fill="284993"/>
          </w:tcPr>
          <w:p>
            <w:pPr>
              <w:ind w:left="220"/>
              <w:spacing w:after="0"/>
              <w:rPr>
                <w:sz w:val="20"/>
                <w:szCs w:val="20"/>
                <w:color w:val="auto"/>
              </w:rPr>
            </w:pPr>
            <w:r>
              <w:rPr>
                <w:rFonts w:ascii="Arial" w:cs="Arial" w:eastAsia="Arial" w:hAnsi="Arial"/>
                <w:sz w:val="16"/>
                <w:szCs w:val="16"/>
                <w:b w:val="1"/>
                <w:bCs w:val="1"/>
                <w:color w:val="FFFFFF"/>
              </w:rPr>
              <w:t>Excluded Country</w:t>
            </w:r>
          </w:p>
        </w:tc>
        <w:tc>
          <w:tcPr>
            <w:tcW w:w="1400" w:type="dxa"/>
            <w:vAlign w:val="bottom"/>
            <w:shd w:val="clear" w:color="auto" w:fill="284993"/>
          </w:tcPr>
          <w:p>
            <w:pPr>
              <w:jc w:val="right"/>
              <w:ind w:right="222"/>
              <w:spacing w:after="0"/>
              <w:rPr>
                <w:sz w:val="20"/>
                <w:szCs w:val="20"/>
                <w:color w:val="auto"/>
              </w:rPr>
            </w:pPr>
            <w:r>
              <w:rPr>
                <w:rFonts w:ascii="Arial" w:cs="Arial" w:eastAsia="Arial" w:hAnsi="Arial"/>
                <w:sz w:val="16"/>
                <w:szCs w:val="16"/>
                <w:b w:val="1"/>
                <w:bCs w:val="1"/>
                <w:color w:val="FFFFFF"/>
              </w:rPr>
              <w:t>Employees</w:t>
            </w:r>
          </w:p>
        </w:tc>
        <w:tc>
          <w:tcPr>
            <w:tcW w:w="1740" w:type="dxa"/>
            <w:vAlign w:val="bottom"/>
            <w:shd w:val="clear" w:color="auto" w:fill="284993"/>
          </w:tcPr>
          <w:p>
            <w:pPr>
              <w:ind w:left="300"/>
              <w:spacing w:after="0"/>
              <w:rPr>
                <w:sz w:val="20"/>
                <w:szCs w:val="20"/>
                <w:color w:val="auto"/>
              </w:rPr>
            </w:pPr>
            <w:r>
              <w:rPr>
                <w:rFonts w:ascii="Arial" w:cs="Arial" w:eastAsia="Arial" w:hAnsi="Arial"/>
                <w:sz w:val="16"/>
                <w:szCs w:val="16"/>
                <w:b w:val="1"/>
                <w:bCs w:val="1"/>
                <w:color w:val="FFFFFF"/>
              </w:rPr>
              <w:t>Excluded Country</w:t>
            </w:r>
          </w:p>
        </w:tc>
        <w:tc>
          <w:tcPr>
            <w:tcW w:w="1260" w:type="dxa"/>
            <w:vAlign w:val="bottom"/>
            <w:shd w:val="clear" w:color="auto" w:fill="284993"/>
          </w:tcPr>
          <w:p>
            <w:pPr>
              <w:jc w:val="right"/>
              <w:ind w:right="262"/>
              <w:spacing w:after="0"/>
              <w:rPr>
                <w:sz w:val="20"/>
                <w:szCs w:val="20"/>
                <w:color w:val="auto"/>
              </w:rPr>
            </w:pPr>
            <w:r>
              <w:rPr>
                <w:rFonts w:ascii="Arial" w:cs="Arial" w:eastAsia="Arial" w:hAnsi="Arial"/>
                <w:sz w:val="16"/>
                <w:szCs w:val="16"/>
                <w:b w:val="1"/>
                <w:bCs w:val="1"/>
                <w:color w:val="FFFFFF"/>
              </w:rPr>
              <w:t>Employees</w:t>
            </w:r>
          </w:p>
        </w:tc>
        <w:tc>
          <w:tcPr>
            <w:tcW w:w="1780" w:type="dxa"/>
            <w:vAlign w:val="bottom"/>
            <w:shd w:val="clear" w:color="auto" w:fill="284993"/>
          </w:tcPr>
          <w:p>
            <w:pPr>
              <w:ind w:left="340"/>
              <w:spacing w:after="0"/>
              <w:rPr>
                <w:sz w:val="20"/>
                <w:szCs w:val="20"/>
                <w:color w:val="auto"/>
              </w:rPr>
            </w:pPr>
            <w:r>
              <w:rPr>
                <w:rFonts w:ascii="Arial" w:cs="Arial" w:eastAsia="Arial" w:hAnsi="Arial"/>
                <w:sz w:val="16"/>
                <w:szCs w:val="16"/>
                <w:b w:val="1"/>
                <w:bCs w:val="1"/>
                <w:color w:val="FFFFFF"/>
              </w:rPr>
              <w:t>Excluded Country</w:t>
            </w:r>
          </w:p>
        </w:tc>
        <w:tc>
          <w:tcPr>
            <w:tcW w:w="1320" w:type="dxa"/>
            <w:vAlign w:val="bottom"/>
            <w:shd w:val="clear" w:color="auto" w:fill="284993"/>
          </w:tcPr>
          <w:p>
            <w:pPr>
              <w:jc w:val="right"/>
              <w:ind w:right="322"/>
              <w:spacing w:after="0"/>
              <w:rPr>
                <w:sz w:val="20"/>
                <w:szCs w:val="20"/>
                <w:color w:val="auto"/>
              </w:rPr>
            </w:pPr>
            <w:r>
              <w:rPr>
                <w:rFonts w:ascii="Arial" w:cs="Arial" w:eastAsia="Arial" w:hAnsi="Arial"/>
                <w:sz w:val="16"/>
                <w:szCs w:val="16"/>
                <w:b w:val="1"/>
                <w:bCs w:val="1"/>
                <w:color w:val="FFFFFF"/>
              </w:rPr>
              <w:t>Employees</w:t>
            </w:r>
          </w:p>
        </w:tc>
      </w:tr>
      <w:tr>
        <w:trPr>
          <w:trHeight w:val="181"/>
        </w:trPr>
        <w:tc>
          <w:tcPr>
            <w:tcW w:w="1820" w:type="dxa"/>
            <w:vAlign w:val="bottom"/>
          </w:tcPr>
          <w:p>
            <w:pPr>
              <w:ind w:left="200"/>
              <w:spacing w:after="0" w:line="181" w:lineRule="exact"/>
              <w:rPr>
                <w:sz w:val="20"/>
                <w:szCs w:val="20"/>
                <w:color w:val="auto"/>
              </w:rPr>
            </w:pPr>
            <w:r>
              <w:rPr>
                <w:rFonts w:ascii="Arial" w:cs="Arial" w:eastAsia="Arial" w:hAnsi="Arial"/>
                <w:sz w:val="16"/>
                <w:szCs w:val="16"/>
                <w:color w:val="auto"/>
              </w:rPr>
              <w:t>Argentina</w:t>
            </w:r>
          </w:p>
        </w:tc>
        <w:tc>
          <w:tcPr>
            <w:tcW w:w="1400" w:type="dxa"/>
            <w:vAlign w:val="bottom"/>
          </w:tcPr>
          <w:p>
            <w:pPr>
              <w:jc w:val="right"/>
              <w:ind w:right="222"/>
              <w:spacing w:after="0" w:line="181" w:lineRule="exact"/>
              <w:rPr>
                <w:sz w:val="20"/>
                <w:szCs w:val="20"/>
                <w:color w:val="auto"/>
              </w:rPr>
            </w:pPr>
            <w:r>
              <w:rPr>
                <w:rFonts w:ascii="Arial" w:cs="Arial" w:eastAsia="Arial" w:hAnsi="Arial"/>
                <w:sz w:val="16"/>
                <w:szCs w:val="16"/>
                <w:color w:val="auto"/>
              </w:rPr>
              <w:t>7</w:t>
            </w:r>
          </w:p>
        </w:tc>
        <w:tc>
          <w:tcPr>
            <w:tcW w:w="1740" w:type="dxa"/>
            <w:vAlign w:val="bottom"/>
          </w:tcPr>
          <w:p>
            <w:pPr>
              <w:ind w:left="300"/>
              <w:spacing w:after="0" w:line="181" w:lineRule="exact"/>
              <w:rPr>
                <w:sz w:val="20"/>
                <w:szCs w:val="20"/>
                <w:color w:val="auto"/>
              </w:rPr>
            </w:pPr>
            <w:r>
              <w:rPr>
                <w:rFonts w:ascii="Arial" w:cs="Arial" w:eastAsia="Arial" w:hAnsi="Arial"/>
                <w:sz w:val="16"/>
                <w:szCs w:val="16"/>
                <w:color w:val="auto"/>
              </w:rPr>
              <w:t>Ecuador</w:t>
            </w:r>
          </w:p>
        </w:tc>
        <w:tc>
          <w:tcPr>
            <w:tcW w:w="1260" w:type="dxa"/>
            <w:vAlign w:val="bottom"/>
          </w:tcPr>
          <w:p>
            <w:pPr>
              <w:jc w:val="right"/>
              <w:ind w:right="242"/>
              <w:spacing w:after="0" w:line="181" w:lineRule="exact"/>
              <w:rPr>
                <w:sz w:val="20"/>
                <w:szCs w:val="20"/>
                <w:color w:val="auto"/>
              </w:rPr>
            </w:pPr>
            <w:r>
              <w:rPr>
                <w:rFonts w:ascii="Arial" w:cs="Arial" w:eastAsia="Arial" w:hAnsi="Arial"/>
                <w:sz w:val="16"/>
                <w:szCs w:val="16"/>
                <w:color w:val="auto"/>
              </w:rPr>
              <w:t>2</w:t>
            </w:r>
          </w:p>
        </w:tc>
        <w:tc>
          <w:tcPr>
            <w:tcW w:w="1780" w:type="dxa"/>
            <w:vAlign w:val="bottom"/>
          </w:tcPr>
          <w:p>
            <w:pPr>
              <w:ind w:left="340"/>
              <w:spacing w:after="0" w:line="181" w:lineRule="exact"/>
              <w:rPr>
                <w:sz w:val="20"/>
                <w:szCs w:val="20"/>
                <w:color w:val="auto"/>
              </w:rPr>
            </w:pPr>
            <w:r>
              <w:rPr>
                <w:rFonts w:ascii="Arial" w:cs="Arial" w:eastAsia="Arial" w:hAnsi="Arial"/>
                <w:sz w:val="16"/>
                <w:szCs w:val="16"/>
                <w:color w:val="auto"/>
              </w:rPr>
              <w:t>Korea</w:t>
            </w:r>
          </w:p>
        </w:tc>
        <w:tc>
          <w:tcPr>
            <w:tcW w:w="1320" w:type="dxa"/>
            <w:vAlign w:val="bottom"/>
          </w:tcPr>
          <w:p>
            <w:pPr>
              <w:jc w:val="right"/>
              <w:ind w:right="302"/>
              <w:spacing w:after="0" w:line="181" w:lineRule="exact"/>
              <w:rPr>
                <w:sz w:val="20"/>
                <w:szCs w:val="20"/>
                <w:color w:val="auto"/>
              </w:rPr>
            </w:pPr>
            <w:r>
              <w:rPr>
                <w:rFonts w:ascii="Arial" w:cs="Arial" w:eastAsia="Arial" w:hAnsi="Arial"/>
                <w:sz w:val="16"/>
                <w:szCs w:val="16"/>
                <w:color w:val="auto"/>
              </w:rPr>
              <w:t>2</w:t>
            </w:r>
          </w:p>
        </w:tc>
      </w:tr>
      <w:tr>
        <w:trPr>
          <w:trHeight w:val="181"/>
        </w:trPr>
        <w:tc>
          <w:tcPr>
            <w:tcW w:w="1820" w:type="dxa"/>
            <w:vAlign w:val="bottom"/>
            <w:shd w:val="clear" w:color="auto" w:fill="9DBDE4"/>
          </w:tcPr>
          <w:p>
            <w:pPr>
              <w:ind w:left="200"/>
              <w:spacing w:after="0" w:line="181" w:lineRule="exact"/>
              <w:rPr>
                <w:sz w:val="20"/>
                <w:szCs w:val="20"/>
                <w:color w:val="auto"/>
              </w:rPr>
            </w:pPr>
            <w:r>
              <w:rPr>
                <w:rFonts w:ascii="Arial" w:cs="Arial" w:eastAsia="Arial" w:hAnsi="Arial"/>
                <w:sz w:val="16"/>
                <w:szCs w:val="16"/>
                <w:color w:val="auto"/>
              </w:rPr>
              <w:t>Austria</w:t>
            </w:r>
          </w:p>
        </w:tc>
        <w:tc>
          <w:tcPr>
            <w:tcW w:w="1400" w:type="dxa"/>
            <w:vAlign w:val="bottom"/>
            <w:shd w:val="clear" w:color="auto" w:fill="9DBDE4"/>
          </w:tcPr>
          <w:p>
            <w:pPr>
              <w:jc w:val="right"/>
              <w:ind w:right="222"/>
              <w:spacing w:after="0" w:line="181" w:lineRule="exact"/>
              <w:rPr>
                <w:sz w:val="20"/>
                <w:szCs w:val="20"/>
                <w:color w:val="auto"/>
              </w:rPr>
            </w:pPr>
            <w:r>
              <w:rPr>
                <w:rFonts w:ascii="Arial" w:cs="Arial" w:eastAsia="Arial" w:hAnsi="Arial"/>
                <w:sz w:val="16"/>
                <w:szCs w:val="16"/>
                <w:color w:val="auto"/>
              </w:rPr>
              <w:t>15</w:t>
            </w:r>
          </w:p>
        </w:tc>
        <w:tc>
          <w:tcPr>
            <w:tcW w:w="1740" w:type="dxa"/>
            <w:vAlign w:val="bottom"/>
            <w:shd w:val="clear" w:color="auto" w:fill="9DBDE4"/>
          </w:tcPr>
          <w:p>
            <w:pPr>
              <w:ind w:left="300"/>
              <w:spacing w:after="0" w:line="181" w:lineRule="exact"/>
              <w:rPr>
                <w:sz w:val="20"/>
                <w:szCs w:val="20"/>
                <w:color w:val="auto"/>
              </w:rPr>
            </w:pPr>
            <w:r>
              <w:rPr>
                <w:rFonts w:ascii="Arial" w:cs="Arial" w:eastAsia="Arial" w:hAnsi="Arial"/>
                <w:sz w:val="16"/>
                <w:szCs w:val="16"/>
                <w:color w:val="auto"/>
              </w:rPr>
              <w:t>Finland</w:t>
            </w:r>
          </w:p>
        </w:tc>
        <w:tc>
          <w:tcPr>
            <w:tcW w:w="1260" w:type="dxa"/>
            <w:vAlign w:val="bottom"/>
            <w:shd w:val="clear" w:color="auto" w:fill="9DBDE4"/>
          </w:tcPr>
          <w:p>
            <w:pPr>
              <w:jc w:val="right"/>
              <w:ind w:right="242"/>
              <w:spacing w:after="0" w:line="181" w:lineRule="exact"/>
              <w:rPr>
                <w:sz w:val="20"/>
                <w:szCs w:val="20"/>
                <w:color w:val="auto"/>
              </w:rPr>
            </w:pPr>
            <w:r>
              <w:rPr>
                <w:rFonts w:ascii="Arial" w:cs="Arial" w:eastAsia="Arial" w:hAnsi="Arial"/>
                <w:sz w:val="16"/>
                <w:szCs w:val="16"/>
                <w:color w:val="auto"/>
              </w:rPr>
              <w:t>1</w:t>
            </w:r>
          </w:p>
        </w:tc>
        <w:tc>
          <w:tcPr>
            <w:tcW w:w="1780" w:type="dxa"/>
            <w:vAlign w:val="bottom"/>
            <w:shd w:val="clear" w:color="auto" w:fill="9DBDE4"/>
          </w:tcPr>
          <w:p>
            <w:pPr>
              <w:ind w:left="340"/>
              <w:spacing w:after="0" w:line="181" w:lineRule="exact"/>
              <w:rPr>
                <w:sz w:val="20"/>
                <w:szCs w:val="20"/>
                <w:color w:val="auto"/>
              </w:rPr>
            </w:pPr>
            <w:r>
              <w:rPr>
                <w:rFonts w:ascii="Arial" w:cs="Arial" w:eastAsia="Arial" w:hAnsi="Arial"/>
                <w:sz w:val="16"/>
                <w:szCs w:val="16"/>
                <w:color w:val="auto"/>
              </w:rPr>
              <w:t>Netherlands</w:t>
            </w:r>
          </w:p>
        </w:tc>
        <w:tc>
          <w:tcPr>
            <w:tcW w:w="1320" w:type="dxa"/>
            <w:vAlign w:val="bottom"/>
            <w:shd w:val="clear" w:color="auto" w:fill="9DBDE4"/>
          </w:tcPr>
          <w:p>
            <w:pPr>
              <w:jc w:val="right"/>
              <w:ind w:right="302"/>
              <w:spacing w:after="0" w:line="181" w:lineRule="exact"/>
              <w:rPr>
                <w:sz w:val="20"/>
                <w:szCs w:val="20"/>
                <w:color w:val="auto"/>
              </w:rPr>
            </w:pPr>
            <w:r>
              <w:rPr>
                <w:rFonts w:ascii="Arial" w:cs="Arial" w:eastAsia="Arial" w:hAnsi="Arial"/>
                <w:sz w:val="16"/>
                <w:szCs w:val="16"/>
                <w:color w:val="auto"/>
              </w:rPr>
              <w:t>18</w:t>
            </w:r>
          </w:p>
        </w:tc>
      </w:tr>
      <w:tr>
        <w:trPr>
          <w:trHeight w:val="181"/>
        </w:trPr>
        <w:tc>
          <w:tcPr>
            <w:tcW w:w="1820" w:type="dxa"/>
            <w:vAlign w:val="bottom"/>
          </w:tcPr>
          <w:p>
            <w:pPr>
              <w:ind w:left="200"/>
              <w:spacing w:after="0" w:line="181" w:lineRule="exact"/>
              <w:rPr>
                <w:sz w:val="20"/>
                <w:szCs w:val="20"/>
                <w:color w:val="auto"/>
              </w:rPr>
            </w:pPr>
            <w:r>
              <w:rPr>
                <w:rFonts w:ascii="Arial" w:cs="Arial" w:eastAsia="Arial" w:hAnsi="Arial"/>
                <w:sz w:val="16"/>
                <w:szCs w:val="16"/>
                <w:color w:val="auto"/>
              </w:rPr>
              <w:t>Belgium</w:t>
            </w:r>
          </w:p>
        </w:tc>
        <w:tc>
          <w:tcPr>
            <w:tcW w:w="1400" w:type="dxa"/>
            <w:vAlign w:val="bottom"/>
          </w:tcPr>
          <w:p>
            <w:pPr>
              <w:jc w:val="right"/>
              <w:ind w:right="222"/>
              <w:spacing w:after="0" w:line="181" w:lineRule="exact"/>
              <w:rPr>
                <w:sz w:val="20"/>
                <w:szCs w:val="20"/>
                <w:color w:val="auto"/>
              </w:rPr>
            </w:pPr>
            <w:r>
              <w:rPr>
                <w:rFonts w:ascii="Arial" w:cs="Arial" w:eastAsia="Arial" w:hAnsi="Arial"/>
                <w:sz w:val="16"/>
                <w:szCs w:val="16"/>
                <w:color w:val="auto"/>
              </w:rPr>
              <w:t>5</w:t>
            </w:r>
          </w:p>
        </w:tc>
        <w:tc>
          <w:tcPr>
            <w:tcW w:w="1740" w:type="dxa"/>
            <w:vAlign w:val="bottom"/>
          </w:tcPr>
          <w:p>
            <w:pPr>
              <w:ind w:left="300"/>
              <w:spacing w:after="0" w:line="181" w:lineRule="exact"/>
              <w:rPr>
                <w:sz w:val="20"/>
                <w:szCs w:val="20"/>
                <w:color w:val="auto"/>
              </w:rPr>
            </w:pPr>
            <w:r>
              <w:rPr>
                <w:rFonts w:ascii="Arial" w:cs="Arial" w:eastAsia="Arial" w:hAnsi="Arial"/>
                <w:sz w:val="16"/>
                <w:szCs w:val="16"/>
                <w:color w:val="auto"/>
              </w:rPr>
              <w:t>Greece</w:t>
            </w:r>
          </w:p>
        </w:tc>
        <w:tc>
          <w:tcPr>
            <w:tcW w:w="1260" w:type="dxa"/>
            <w:vAlign w:val="bottom"/>
          </w:tcPr>
          <w:p>
            <w:pPr>
              <w:jc w:val="right"/>
              <w:ind w:right="242"/>
              <w:spacing w:after="0" w:line="181" w:lineRule="exact"/>
              <w:rPr>
                <w:sz w:val="20"/>
                <w:szCs w:val="20"/>
                <w:color w:val="auto"/>
              </w:rPr>
            </w:pPr>
            <w:r>
              <w:rPr>
                <w:rFonts w:ascii="Arial" w:cs="Arial" w:eastAsia="Arial" w:hAnsi="Arial"/>
                <w:sz w:val="16"/>
                <w:szCs w:val="16"/>
                <w:color w:val="auto"/>
              </w:rPr>
              <w:t>1</w:t>
            </w:r>
          </w:p>
        </w:tc>
        <w:tc>
          <w:tcPr>
            <w:tcW w:w="1780" w:type="dxa"/>
            <w:vAlign w:val="bottom"/>
          </w:tcPr>
          <w:p>
            <w:pPr>
              <w:ind w:left="340"/>
              <w:spacing w:after="0" w:line="181" w:lineRule="exact"/>
              <w:rPr>
                <w:sz w:val="20"/>
                <w:szCs w:val="20"/>
                <w:color w:val="auto"/>
              </w:rPr>
            </w:pPr>
            <w:r>
              <w:rPr>
                <w:rFonts w:ascii="Arial" w:cs="Arial" w:eastAsia="Arial" w:hAnsi="Arial"/>
                <w:sz w:val="16"/>
                <w:szCs w:val="16"/>
                <w:color w:val="auto"/>
              </w:rPr>
              <w:t>New Zealand</w:t>
            </w:r>
          </w:p>
        </w:tc>
        <w:tc>
          <w:tcPr>
            <w:tcW w:w="1320" w:type="dxa"/>
            <w:vAlign w:val="bottom"/>
          </w:tcPr>
          <w:p>
            <w:pPr>
              <w:jc w:val="right"/>
              <w:ind w:right="302"/>
              <w:spacing w:after="0" w:line="181" w:lineRule="exact"/>
              <w:rPr>
                <w:sz w:val="20"/>
                <w:szCs w:val="20"/>
                <w:color w:val="auto"/>
              </w:rPr>
            </w:pPr>
            <w:r>
              <w:rPr>
                <w:rFonts w:ascii="Arial" w:cs="Arial" w:eastAsia="Arial" w:hAnsi="Arial"/>
                <w:sz w:val="16"/>
                <w:szCs w:val="16"/>
                <w:color w:val="auto"/>
              </w:rPr>
              <w:t>19</w:t>
            </w:r>
          </w:p>
        </w:tc>
      </w:tr>
      <w:tr>
        <w:trPr>
          <w:trHeight w:val="181"/>
        </w:trPr>
        <w:tc>
          <w:tcPr>
            <w:tcW w:w="1820" w:type="dxa"/>
            <w:vAlign w:val="bottom"/>
            <w:shd w:val="clear" w:color="auto" w:fill="9DBDE4"/>
          </w:tcPr>
          <w:p>
            <w:pPr>
              <w:ind w:left="200"/>
              <w:spacing w:after="0" w:line="181" w:lineRule="exact"/>
              <w:rPr>
                <w:sz w:val="20"/>
                <w:szCs w:val="20"/>
                <w:color w:val="auto"/>
              </w:rPr>
            </w:pPr>
            <w:r>
              <w:rPr>
                <w:rFonts w:ascii="Arial" w:cs="Arial" w:eastAsia="Arial" w:hAnsi="Arial"/>
                <w:sz w:val="16"/>
                <w:szCs w:val="16"/>
                <w:color w:val="auto"/>
              </w:rPr>
              <w:t>Chile</w:t>
            </w:r>
          </w:p>
        </w:tc>
        <w:tc>
          <w:tcPr>
            <w:tcW w:w="1400" w:type="dxa"/>
            <w:vAlign w:val="bottom"/>
            <w:shd w:val="clear" w:color="auto" w:fill="9DBDE4"/>
          </w:tcPr>
          <w:p>
            <w:pPr>
              <w:jc w:val="right"/>
              <w:ind w:right="222"/>
              <w:spacing w:after="0" w:line="181" w:lineRule="exact"/>
              <w:rPr>
                <w:sz w:val="20"/>
                <w:szCs w:val="20"/>
                <w:color w:val="auto"/>
              </w:rPr>
            </w:pPr>
            <w:r>
              <w:rPr>
                <w:rFonts w:ascii="Arial" w:cs="Arial" w:eastAsia="Arial" w:hAnsi="Arial"/>
                <w:sz w:val="16"/>
                <w:szCs w:val="16"/>
                <w:color w:val="auto"/>
              </w:rPr>
              <w:t>5</w:t>
            </w:r>
          </w:p>
        </w:tc>
        <w:tc>
          <w:tcPr>
            <w:tcW w:w="1740" w:type="dxa"/>
            <w:vAlign w:val="bottom"/>
            <w:shd w:val="clear" w:color="auto" w:fill="9DBDE4"/>
          </w:tcPr>
          <w:p>
            <w:pPr>
              <w:ind w:left="300"/>
              <w:spacing w:after="0" w:line="181" w:lineRule="exact"/>
              <w:rPr>
                <w:sz w:val="20"/>
                <w:szCs w:val="20"/>
                <w:color w:val="auto"/>
              </w:rPr>
            </w:pPr>
            <w:r>
              <w:rPr>
                <w:rFonts w:ascii="Arial" w:cs="Arial" w:eastAsia="Arial" w:hAnsi="Arial"/>
                <w:sz w:val="16"/>
                <w:szCs w:val="16"/>
                <w:color w:val="auto"/>
              </w:rPr>
              <w:t>Hong Kong</w:t>
            </w:r>
          </w:p>
        </w:tc>
        <w:tc>
          <w:tcPr>
            <w:tcW w:w="1260" w:type="dxa"/>
            <w:vAlign w:val="bottom"/>
            <w:shd w:val="clear" w:color="auto" w:fill="9DBDE4"/>
          </w:tcPr>
          <w:p>
            <w:pPr>
              <w:jc w:val="right"/>
              <w:ind w:right="242"/>
              <w:spacing w:after="0" w:line="181" w:lineRule="exact"/>
              <w:rPr>
                <w:sz w:val="20"/>
                <w:szCs w:val="20"/>
                <w:color w:val="auto"/>
              </w:rPr>
            </w:pPr>
            <w:r>
              <w:rPr>
                <w:rFonts w:ascii="Arial" w:cs="Arial" w:eastAsia="Arial" w:hAnsi="Arial"/>
                <w:sz w:val="16"/>
                <w:szCs w:val="16"/>
                <w:color w:val="auto"/>
              </w:rPr>
              <w:t>3</w:t>
            </w:r>
          </w:p>
        </w:tc>
        <w:tc>
          <w:tcPr>
            <w:tcW w:w="1780" w:type="dxa"/>
            <w:vAlign w:val="bottom"/>
            <w:shd w:val="clear" w:color="auto" w:fill="9DBDE4"/>
          </w:tcPr>
          <w:p>
            <w:pPr>
              <w:ind w:left="340"/>
              <w:spacing w:after="0" w:line="181" w:lineRule="exact"/>
              <w:rPr>
                <w:sz w:val="20"/>
                <w:szCs w:val="20"/>
                <w:color w:val="auto"/>
              </w:rPr>
            </w:pPr>
            <w:r>
              <w:rPr>
                <w:rFonts w:ascii="Arial" w:cs="Arial" w:eastAsia="Arial" w:hAnsi="Arial"/>
                <w:sz w:val="16"/>
                <w:szCs w:val="16"/>
                <w:color w:val="auto"/>
              </w:rPr>
              <w:t>Pakistan</w:t>
            </w:r>
          </w:p>
        </w:tc>
        <w:tc>
          <w:tcPr>
            <w:tcW w:w="1320" w:type="dxa"/>
            <w:vAlign w:val="bottom"/>
            <w:shd w:val="clear" w:color="auto" w:fill="9DBDE4"/>
          </w:tcPr>
          <w:p>
            <w:pPr>
              <w:jc w:val="right"/>
              <w:ind w:right="302"/>
              <w:spacing w:after="0" w:line="181" w:lineRule="exact"/>
              <w:rPr>
                <w:sz w:val="20"/>
                <w:szCs w:val="20"/>
                <w:color w:val="auto"/>
              </w:rPr>
            </w:pPr>
            <w:r>
              <w:rPr>
                <w:rFonts w:ascii="Arial" w:cs="Arial" w:eastAsia="Arial" w:hAnsi="Arial"/>
                <w:sz w:val="16"/>
                <w:szCs w:val="16"/>
                <w:color w:val="auto"/>
              </w:rPr>
              <w:t>1</w:t>
            </w:r>
          </w:p>
        </w:tc>
      </w:tr>
      <w:tr>
        <w:trPr>
          <w:trHeight w:val="181"/>
        </w:trPr>
        <w:tc>
          <w:tcPr>
            <w:tcW w:w="1820" w:type="dxa"/>
            <w:vAlign w:val="bottom"/>
          </w:tcPr>
          <w:p>
            <w:pPr>
              <w:ind w:left="200"/>
              <w:spacing w:after="0" w:line="181" w:lineRule="exact"/>
              <w:rPr>
                <w:sz w:val="20"/>
                <w:szCs w:val="20"/>
                <w:color w:val="auto"/>
              </w:rPr>
            </w:pPr>
            <w:r>
              <w:rPr>
                <w:rFonts w:ascii="Arial" w:cs="Arial" w:eastAsia="Arial" w:hAnsi="Arial"/>
                <w:sz w:val="16"/>
                <w:szCs w:val="16"/>
                <w:color w:val="auto"/>
              </w:rPr>
              <w:t>China</w:t>
            </w:r>
          </w:p>
        </w:tc>
        <w:tc>
          <w:tcPr>
            <w:tcW w:w="1400" w:type="dxa"/>
            <w:vAlign w:val="bottom"/>
          </w:tcPr>
          <w:p>
            <w:pPr>
              <w:jc w:val="right"/>
              <w:ind w:right="222"/>
              <w:spacing w:after="0" w:line="181" w:lineRule="exact"/>
              <w:rPr>
                <w:sz w:val="20"/>
                <w:szCs w:val="20"/>
                <w:color w:val="auto"/>
              </w:rPr>
            </w:pPr>
            <w:r>
              <w:rPr>
                <w:rFonts w:ascii="Arial" w:cs="Arial" w:eastAsia="Arial" w:hAnsi="Arial"/>
                <w:sz w:val="16"/>
                <w:szCs w:val="16"/>
                <w:color w:val="auto"/>
              </w:rPr>
              <w:t>15</w:t>
            </w:r>
          </w:p>
        </w:tc>
        <w:tc>
          <w:tcPr>
            <w:tcW w:w="1740" w:type="dxa"/>
            <w:vAlign w:val="bottom"/>
          </w:tcPr>
          <w:p>
            <w:pPr>
              <w:ind w:left="300"/>
              <w:spacing w:after="0" w:line="181" w:lineRule="exact"/>
              <w:rPr>
                <w:sz w:val="20"/>
                <w:szCs w:val="20"/>
                <w:color w:val="auto"/>
              </w:rPr>
            </w:pPr>
            <w:r>
              <w:rPr>
                <w:rFonts w:ascii="Arial" w:cs="Arial" w:eastAsia="Arial" w:hAnsi="Arial"/>
                <w:sz w:val="16"/>
                <w:szCs w:val="16"/>
                <w:color w:val="auto"/>
              </w:rPr>
              <w:t>Indonesia</w:t>
            </w:r>
          </w:p>
        </w:tc>
        <w:tc>
          <w:tcPr>
            <w:tcW w:w="1260" w:type="dxa"/>
            <w:vAlign w:val="bottom"/>
          </w:tcPr>
          <w:p>
            <w:pPr>
              <w:jc w:val="right"/>
              <w:ind w:right="242"/>
              <w:spacing w:after="0" w:line="181" w:lineRule="exact"/>
              <w:rPr>
                <w:sz w:val="20"/>
                <w:szCs w:val="20"/>
                <w:color w:val="auto"/>
              </w:rPr>
            </w:pPr>
            <w:r>
              <w:rPr>
                <w:rFonts w:ascii="Arial" w:cs="Arial" w:eastAsia="Arial" w:hAnsi="Arial"/>
                <w:sz w:val="16"/>
                <w:szCs w:val="16"/>
                <w:color w:val="auto"/>
              </w:rPr>
              <w:t>3</w:t>
            </w:r>
          </w:p>
        </w:tc>
        <w:tc>
          <w:tcPr>
            <w:tcW w:w="1780" w:type="dxa"/>
            <w:vAlign w:val="bottom"/>
          </w:tcPr>
          <w:p>
            <w:pPr>
              <w:ind w:left="340"/>
              <w:spacing w:after="0" w:line="181" w:lineRule="exact"/>
              <w:rPr>
                <w:sz w:val="20"/>
                <w:szCs w:val="20"/>
                <w:color w:val="auto"/>
              </w:rPr>
            </w:pPr>
            <w:r>
              <w:rPr>
                <w:rFonts w:ascii="Arial" w:cs="Arial" w:eastAsia="Arial" w:hAnsi="Arial"/>
                <w:sz w:val="16"/>
                <w:szCs w:val="16"/>
                <w:color w:val="auto"/>
              </w:rPr>
              <w:t>Philippines</w:t>
            </w:r>
          </w:p>
        </w:tc>
        <w:tc>
          <w:tcPr>
            <w:tcW w:w="1320" w:type="dxa"/>
            <w:vAlign w:val="bottom"/>
          </w:tcPr>
          <w:p>
            <w:pPr>
              <w:jc w:val="right"/>
              <w:ind w:right="302"/>
              <w:spacing w:after="0" w:line="181" w:lineRule="exact"/>
              <w:rPr>
                <w:sz w:val="20"/>
                <w:szCs w:val="20"/>
                <w:color w:val="auto"/>
              </w:rPr>
            </w:pPr>
            <w:r>
              <w:rPr>
                <w:rFonts w:ascii="Arial" w:cs="Arial" w:eastAsia="Arial" w:hAnsi="Arial"/>
                <w:sz w:val="16"/>
                <w:szCs w:val="16"/>
                <w:color w:val="auto"/>
              </w:rPr>
              <w:t>5</w:t>
            </w:r>
          </w:p>
        </w:tc>
      </w:tr>
      <w:tr>
        <w:trPr>
          <w:trHeight w:val="181"/>
        </w:trPr>
        <w:tc>
          <w:tcPr>
            <w:tcW w:w="1820" w:type="dxa"/>
            <w:vAlign w:val="bottom"/>
            <w:tcBorders>
              <w:bottom w:val="single" w:sz="8" w:color="284993"/>
            </w:tcBorders>
            <w:shd w:val="clear" w:color="auto" w:fill="9DBDE4"/>
          </w:tcPr>
          <w:p>
            <w:pPr>
              <w:ind w:left="200"/>
              <w:spacing w:after="0" w:line="181" w:lineRule="exact"/>
              <w:rPr>
                <w:sz w:val="20"/>
                <w:szCs w:val="20"/>
                <w:color w:val="auto"/>
              </w:rPr>
            </w:pPr>
            <w:r>
              <w:rPr>
                <w:rFonts w:ascii="Arial" w:cs="Arial" w:eastAsia="Arial" w:hAnsi="Arial"/>
                <w:sz w:val="16"/>
                <w:szCs w:val="16"/>
                <w:color w:val="auto"/>
              </w:rPr>
              <w:t>Croatia</w:t>
            </w:r>
          </w:p>
        </w:tc>
        <w:tc>
          <w:tcPr>
            <w:tcW w:w="1400" w:type="dxa"/>
            <w:vAlign w:val="bottom"/>
            <w:tcBorders>
              <w:bottom w:val="single" w:sz="8" w:color="284993"/>
            </w:tcBorders>
            <w:shd w:val="clear" w:color="auto" w:fill="9DBDE4"/>
          </w:tcPr>
          <w:p>
            <w:pPr>
              <w:jc w:val="right"/>
              <w:ind w:right="222"/>
              <w:spacing w:after="0" w:line="181" w:lineRule="exact"/>
              <w:rPr>
                <w:sz w:val="20"/>
                <w:szCs w:val="20"/>
                <w:color w:val="auto"/>
              </w:rPr>
            </w:pPr>
            <w:r>
              <w:rPr>
                <w:rFonts w:ascii="Arial" w:cs="Arial" w:eastAsia="Arial" w:hAnsi="Arial"/>
                <w:sz w:val="16"/>
                <w:szCs w:val="16"/>
                <w:color w:val="auto"/>
              </w:rPr>
              <w:t>2</w:t>
            </w:r>
          </w:p>
        </w:tc>
        <w:tc>
          <w:tcPr>
            <w:tcW w:w="1740" w:type="dxa"/>
            <w:vAlign w:val="bottom"/>
            <w:tcBorders>
              <w:bottom w:val="single" w:sz="8" w:color="284993"/>
            </w:tcBorders>
            <w:shd w:val="clear" w:color="auto" w:fill="9DBDE4"/>
          </w:tcPr>
          <w:p>
            <w:pPr>
              <w:ind w:left="300"/>
              <w:spacing w:after="0" w:line="181" w:lineRule="exact"/>
              <w:rPr>
                <w:sz w:val="20"/>
                <w:szCs w:val="20"/>
                <w:color w:val="auto"/>
              </w:rPr>
            </w:pPr>
            <w:r>
              <w:rPr>
                <w:rFonts w:ascii="Arial" w:cs="Arial" w:eastAsia="Arial" w:hAnsi="Arial"/>
                <w:sz w:val="16"/>
                <w:szCs w:val="16"/>
                <w:color w:val="auto"/>
              </w:rPr>
              <w:t>Kenya</w:t>
            </w:r>
          </w:p>
        </w:tc>
        <w:tc>
          <w:tcPr>
            <w:tcW w:w="1260" w:type="dxa"/>
            <w:vAlign w:val="bottom"/>
            <w:tcBorders>
              <w:bottom w:val="single" w:sz="8" w:color="284993"/>
            </w:tcBorders>
            <w:shd w:val="clear" w:color="auto" w:fill="9DBDE4"/>
          </w:tcPr>
          <w:p>
            <w:pPr>
              <w:jc w:val="right"/>
              <w:ind w:right="242"/>
              <w:spacing w:after="0" w:line="181" w:lineRule="exact"/>
              <w:rPr>
                <w:sz w:val="20"/>
                <w:szCs w:val="20"/>
                <w:color w:val="auto"/>
              </w:rPr>
            </w:pPr>
            <w:r>
              <w:rPr>
                <w:rFonts w:ascii="Arial" w:cs="Arial" w:eastAsia="Arial" w:hAnsi="Arial"/>
                <w:sz w:val="16"/>
                <w:szCs w:val="16"/>
                <w:color w:val="auto"/>
              </w:rPr>
              <w:t>1</w:t>
            </w:r>
          </w:p>
        </w:tc>
        <w:tc>
          <w:tcPr>
            <w:tcW w:w="1780" w:type="dxa"/>
            <w:vAlign w:val="bottom"/>
            <w:tcBorders>
              <w:bottom w:val="single" w:sz="8" w:color="284993"/>
            </w:tcBorders>
            <w:shd w:val="clear" w:color="auto" w:fill="9DBDE4"/>
          </w:tcPr>
          <w:p>
            <w:pPr>
              <w:ind w:left="340"/>
              <w:spacing w:after="0" w:line="181" w:lineRule="exact"/>
              <w:rPr>
                <w:sz w:val="20"/>
                <w:szCs w:val="20"/>
                <w:color w:val="auto"/>
              </w:rPr>
            </w:pPr>
            <w:r>
              <w:rPr>
                <w:rFonts w:ascii="Arial" w:cs="Arial" w:eastAsia="Arial" w:hAnsi="Arial"/>
                <w:sz w:val="16"/>
                <w:szCs w:val="16"/>
                <w:color w:val="auto"/>
              </w:rPr>
              <w:t>Saudi Arabia</w:t>
            </w:r>
          </w:p>
        </w:tc>
        <w:tc>
          <w:tcPr>
            <w:tcW w:w="1320" w:type="dxa"/>
            <w:vAlign w:val="bottom"/>
            <w:tcBorders>
              <w:bottom w:val="single" w:sz="8" w:color="284993"/>
            </w:tcBorders>
            <w:shd w:val="clear" w:color="auto" w:fill="9DBDE4"/>
          </w:tcPr>
          <w:p>
            <w:pPr>
              <w:jc w:val="right"/>
              <w:ind w:right="302"/>
              <w:spacing w:after="0" w:line="181" w:lineRule="exact"/>
              <w:rPr>
                <w:sz w:val="20"/>
                <w:szCs w:val="20"/>
                <w:color w:val="auto"/>
              </w:rPr>
            </w:pPr>
            <w:r>
              <w:rPr>
                <w:rFonts w:ascii="Arial" w:cs="Arial" w:eastAsia="Arial" w:hAnsi="Arial"/>
                <w:sz w:val="16"/>
                <w:szCs w:val="16"/>
                <w:color w:val="auto"/>
              </w:rPr>
              <w:t>1</w:t>
            </w:r>
          </w:p>
        </w:tc>
      </w:tr>
    </w:tbl>
    <w:p>
      <w:pPr>
        <w:spacing w:after="0" w:line="195" w:lineRule="exact"/>
        <w:rPr>
          <w:sz w:val="20"/>
          <w:szCs w:val="20"/>
          <w:color w:val="auto"/>
        </w:rPr>
      </w:pPr>
    </w:p>
    <w:p>
      <w:pPr>
        <w:ind w:right="300"/>
        <w:spacing w:after="0" w:line="249" w:lineRule="auto"/>
        <w:rPr>
          <w:sz w:val="20"/>
          <w:szCs w:val="20"/>
          <w:color w:val="auto"/>
        </w:rPr>
      </w:pPr>
      <w:r>
        <w:rPr>
          <w:rFonts w:ascii="Arial" w:cs="Arial" w:eastAsia="Arial" w:hAnsi="Arial"/>
          <w:sz w:val="16"/>
          <w:szCs w:val="16"/>
          <w:color w:val="auto"/>
        </w:rPr>
        <w:t>Using the median employee based on the methodology described above, we calculated annual total compensation for such median employee using the same methodology we used to calculate the amount reported for our Named Executive Officers in the “Total” column of the 2022 Summary Compensation Table, set forth above in this proxy statement.</w:t>
      </w:r>
    </w:p>
    <w:p>
      <w:pPr>
        <w:spacing w:after="0" w:line="178"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As disclosed in the 2022 Summary Compensation Table, the annual total compensation for fiscal year 2022 for our Former CEO was $10,280,267, and the annual total compensation for fiscal year 2022 for our Interim CEO was $577,608. As permitted under SEC rules we are combining these two amounts to determine the annual total CEO compensation for fiscal 2022 ($10,857,875). The annual total compensation for the median employee for fiscal year 2022 was $78,168. The resulting ratio of our CEO’s annual total compensation (based on the combined amount described above) to the annual total compensation of our median employee for fiscal year 2022 is approximately 139:1.</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81</w:t>
      </w:r>
    </w:p>
    <w:p>
      <w:pPr>
        <w:sectPr>
          <w:pgSz w:w="11900" w:h="16838" w:orient="portrait"/>
          <w:cols w:equalWidth="0" w:num="1">
            <w:col w:w="9320"/>
          </w:cols>
          <w:pgMar w:left="1280" w:top="253" w:right="1299" w:bottom="1440" w:gutter="0" w:footer="0" w:header="0"/>
        </w:sectPr>
      </w:pPr>
    </w:p>
    <w:bookmarkStart w:id="87" w:name="page88"/>
    <w:bookmarkEnd w:id="8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9945" cy="53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ind w:left="520"/>
        <w:spacing w:after="0"/>
        <w:rPr>
          <w:sz w:val="20"/>
          <w:szCs w:val="20"/>
          <w:color w:val="auto"/>
        </w:rPr>
      </w:pPr>
      <w:r>
        <w:rPr>
          <w:rFonts w:ascii="Arial" w:cs="Arial" w:eastAsia="Arial" w:hAnsi="Arial"/>
          <w:sz w:val="52"/>
          <w:szCs w:val="52"/>
          <w:color w:val="auto"/>
        </w:rPr>
        <w:t>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254635</wp:posOffset>
            </wp:positionV>
            <wp:extent cx="592074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FFFFFF"/>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-75565</wp:posOffset>
            </wp:positionV>
            <wp:extent cx="6043930" cy="2546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43930" cy="2546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4"/>
        </w:trPr>
        <w:tc>
          <w:tcPr>
            <w:tcW w:w="420" w:type="dxa"/>
            <w:vAlign w:val="bottom"/>
            <w:shd w:val="clear" w:color="auto" w:fill="284993"/>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gridSpan w:val="2"/>
          </w:tcPr>
          <w:p>
            <w:pPr>
              <w:jc w:val="right"/>
              <w:ind w:right="40"/>
              <w:spacing w:after="0" w:line="134" w:lineRule="exact"/>
              <w:rPr>
                <w:sz w:val="20"/>
                <w:szCs w:val="20"/>
                <w:color w:val="auto"/>
              </w:rPr>
            </w:pPr>
            <w:r>
              <w:rPr>
                <w:rFonts w:ascii="Arial" w:cs="Arial" w:eastAsia="Arial" w:hAnsi="Arial"/>
                <w:sz w:val="12"/>
                <w:szCs w:val="12"/>
                <w:b w:val="1"/>
                <w:bCs w:val="1"/>
                <w:color w:val="FFFFFF"/>
              </w:rPr>
              <w:t>Value of Initial Fixed $100</w:t>
            </w: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20" w:type="dxa"/>
            <w:vAlign w:val="bottom"/>
            <w:shd w:val="clear" w:color="auto" w:fill="284993"/>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gridSpan w:val="2"/>
          </w:tcPr>
          <w:p>
            <w:pPr>
              <w:jc w:val="right"/>
              <w:ind w:right="80"/>
              <w:spacing w:after="0" w:line="147" w:lineRule="exact"/>
              <w:rPr>
                <w:sz w:val="20"/>
                <w:szCs w:val="20"/>
                <w:color w:val="auto"/>
              </w:rPr>
            </w:pPr>
            <w:r>
              <w:rPr>
                <w:rFonts w:ascii="Arial" w:cs="Arial" w:eastAsia="Arial" w:hAnsi="Arial"/>
                <w:sz w:val="12"/>
                <w:szCs w:val="12"/>
                <w:b w:val="1"/>
                <w:bCs w:val="1"/>
                <w:color w:val="FFFFFF"/>
              </w:rPr>
              <w:t>Investment Based On:</w:t>
            </w:r>
            <w:r>
              <w:rPr>
                <w:rFonts w:ascii="Arial" w:cs="Arial" w:eastAsia="Arial" w:hAnsi="Arial"/>
                <w:sz w:val="15"/>
                <w:szCs w:val="15"/>
                <w:b w:val="1"/>
                <w:bCs w:val="1"/>
                <w:color w:val="FFFFFF"/>
                <w:vertAlign w:val="superscript"/>
              </w:rPr>
              <w:t>(5)</w:t>
            </w: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20" w:type="dxa"/>
            <w:vAlign w:val="bottom"/>
            <w:shd w:val="clear" w:color="auto" w:fill="284993"/>
          </w:tcPr>
          <w:p>
            <w:pPr>
              <w:spacing w:after="0"/>
              <w:rPr>
                <w:sz w:val="10"/>
                <w:szCs w:val="10"/>
                <w:color w:val="auto"/>
              </w:rPr>
            </w:pPr>
          </w:p>
        </w:tc>
        <w:tc>
          <w:tcPr>
            <w:tcW w:w="940" w:type="dxa"/>
            <w:vAlign w:val="bottom"/>
            <w:shd w:val="clear" w:color="auto" w:fill="284993"/>
          </w:tcPr>
          <w:p>
            <w:pPr>
              <w:spacing w:after="0"/>
              <w:rPr>
                <w:sz w:val="10"/>
                <w:szCs w:val="10"/>
                <w:color w:val="auto"/>
              </w:rPr>
            </w:pPr>
          </w:p>
        </w:tc>
        <w:tc>
          <w:tcPr>
            <w:tcW w:w="980" w:type="dxa"/>
            <w:vAlign w:val="bottom"/>
            <w:shd w:val="clear" w:color="auto" w:fill="284993"/>
          </w:tcPr>
          <w:p>
            <w:pPr>
              <w:spacing w:after="0"/>
              <w:rPr>
                <w:sz w:val="10"/>
                <w:szCs w:val="10"/>
                <w:color w:val="auto"/>
              </w:rPr>
            </w:pPr>
          </w:p>
        </w:tc>
        <w:tc>
          <w:tcPr>
            <w:tcW w:w="940" w:type="dxa"/>
            <w:vAlign w:val="bottom"/>
            <w:shd w:val="clear" w:color="auto" w:fill="284993"/>
          </w:tcPr>
          <w:p>
            <w:pPr>
              <w:spacing w:after="0"/>
              <w:rPr>
                <w:sz w:val="10"/>
                <w:szCs w:val="10"/>
                <w:color w:val="auto"/>
              </w:rPr>
            </w:pPr>
          </w:p>
        </w:tc>
        <w:tc>
          <w:tcPr>
            <w:tcW w:w="920" w:type="dxa"/>
            <w:vAlign w:val="bottom"/>
            <w:shd w:val="clear" w:color="auto" w:fill="284993"/>
          </w:tcPr>
          <w:p>
            <w:pPr>
              <w:spacing w:after="0"/>
              <w:rPr>
                <w:sz w:val="10"/>
                <w:szCs w:val="10"/>
                <w:color w:val="auto"/>
              </w:rPr>
            </w:pPr>
          </w:p>
        </w:tc>
        <w:tc>
          <w:tcPr>
            <w:tcW w:w="940" w:type="dxa"/>
            <w:vAlign w:val="bottom"/>
            <w:shd w:val="clear" w:color="auto" w:fill="284993"/>
          </w:tcPr>
          <w:p>
            <w:pPr>
              <w:jc w:val="center"/>
              <w:spacing w:after="0" w:line="125" w:lineRule="exact"/>
              <w:rPr>
                <w:sz w:val="20"/>
                <w:szCs w:val="20"/>
                <w:color w:val="auto"/>
              </w:rPr>
            </w:pPr>
            <w:r>
              <w:rPr>
                <w:rFonts w:ascii="Arial" w:cs="Arial" w:eastAsia="Arial" w:hAnsi="Arial"/>
                <w:sz w:val="12"/>
                <w:szCs w:val="12"/>
                <w:b w:val="1"/>
                <w:bCs w:val="1"/>
                <w:color w:val="FFFFFF"/>
                <w:w w:val="97"/>
              </w:rPr>
              <w:t>Average</w:t>
            </w:r>
          </w:p>
        </w:tc>
        <w:tc>
          <w:tcPr>
            <w:tcW w:w="94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Average</w:t>
            </w:r>
          </w:p>
        </w:tc>
        <w:tc>
          <w:tcPr>
            <w:tcW w:w="800" w:type="dxa"/>
            <w:vAlign w:val="bottom"/>
            <w:shd w:val="clear" w:color="auto" w:fill="284993"/>
          </w:tcPr>
          <w:p>
            <w:pPr>
              <w:spacing w:after="0"/>
              <w:rPr>
                <w:sz w:val="10"/>
                <w:szCs w:val="10"/>
                <w:color w:val="auto"/>
              </w:rPr>
            </w:pPr>
          </w:p>
        </w:tc>
        <w:tc>
          <w:tcPr>
            <w:tcW w:w="820" w:type="dxa"/>
            <w:vAlign w:val="bottom"/>
            <w:shd w:val="clear" w:color="auto" w:fill="284993"/>
          </w:tcPr>
          <w:p>
            <w:pPr>
              <w:spacing w:after="0"/>
              <w:rPr>
                <w:sz w:val="10"/>
                <w:szCs w:val="10"/>
                <w:color w:val="auto"/>
              </w:rPr>
            </w:pPr>
          </w:p>
        </w:tc>
        <w:tc>
          <w:tcPr>
            <w:tcW w:w="880" w:type="dxa"/>
            <w:vAlign w:val="bottom"/>
            <w:shd w:val="clear" w:color="auto" w:fill="284993"/>
          </w:tcPr>
          <w:p>
            <w:pPr>
              <w:spacing w:after="0"/>
              <w:rPr>
                <w:sz w:val="10"/>
                <w:szCs w:val="10"/>
                <w:color w:val="auto"/>
              </w:rPr>
            </w:pPr>
          </w:p>
        </w:tc>
        <w:tc>
          <w:tcPr>
            <w:tcW w:w="94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Company-</w:t>
            </w:r>
          </w:p>
        </w:tc>
        <w:tc>
          <w:tcPr>
            <w:tcW w:w="0" w:type="dxa"/>
            <w:vAlign w:val="bottom"/>
          </w:tcPr>
          <w:p>
            <w:pPr>
              <w:spacing w:after="0"/>
              <w:rPr>
                <w:sz w:val="1"/>
                <w:szCs w:val="1"/>
                <w:color w:val="auto"/>
              </w:rPr>
            </w:pPr>
          </w:p>
        </w:tc>
      </w:tr>
      <w:tr>
        <w:trPr>
          <w:trHeight w:val="130"/>
        </w:trPr>
        <w:tc>
          <w:tcPr>
            <w:tcW w:w="420" w:type="dxa"/>
            <w:vAlign w:val="bottom"/>
            <w:shd w:val="clear" w:color="auto" w:fill="284993"/>
          </w:tcPr>
          <w:p>
            <w:pPr>
              <w:spacing w:after="0"/>
              <w:rPr>
                <w:sz w:val="11"/>
                <w:szCs w:val="11"/>
                <w:color w:val="auto"/>
              </w:rPr>
            </w:pPr>
          </w:p>
        </w:tc>
        <w:tc>
          <w:tcPr>
            <w:tcW w:w="94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Summary</w:t>
            </w:r>
          </w:p>
        </w:tc>
        <w:tc>
          <w:tcPr>
            <w:tcW w:w="980" w:type="dxa"/>
            <w:vAlign w:val="bottom"/>
            <w:shd w:val="clear" w:color="auto" w:fill="284993"/>
          </w:tcPr>
          <w:p>
            <w:pPr>
              <w:spacing w:after="0"/>
              <w:rPr>
                <w:sz w:val="11"/>
                <w:szCs w:val="11"/>
                <w:color w:val="auto"/>
              </w:rPr>
            </w:pPr>
          </w:p>
        </w:tc>
        <w:tc>
          <w:tcPr>
            <w:tcW w:w="94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w w:val="98"/>
              </w:rPr>
              <w:t>Summary</w:t>
            </w:r>
          </w:p>
        </w:tc>
        <w:tc>
          <w:tcPr>
            <w:tcW w:w="920" w:type="dxa"/>
            <w:vAlign w:val="bottom"/>
            <w:shd w:val="clear" w:color="auto" w:fill="284993"/>
          </w:tcPr>
          <w:p>
            <w:pPr>
              <w:spacing w:after="0"/>
              <w:rPr>
                <w:sz w:val="11"/>
                <w:szCs w:val="11"/>
                <w:color w:val="auto"/>
              </w:rPr>
            </w:pP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8"/>
              </w:rPr>
              <w:t>Summary</w:t>
            </w:r>
          </w:p>
        </w:tc>
        <w:tc>
          <w:tcPr>
            <w:tcW w:w="940" w:type="dxa"/>
            <w:vAlign w:val="bottom"/>
            <w:vMerge w:val="continue"/>
            <w:shd w:val="clear" w:color="auto" w:fill="284993"/>
          </w:tcPr>
          <w:p>
            <w:pPr>
              <w:spacing w:after="0"/>
              <w:rPr>
                <w:sz w:val="11"/>
                <w:szCs w:val="11"/>
                <w:color w:val="auto"/>
              </w:rPr>
            </w:pPr>
          </w:p>
        </w:tc>
        <w:tc>
          <w:tcPr>
            <w:tcW w:w="800" w:type="dxa"/>
            <w:vAlign w:val="bottom"/>
            <w:shd w:val="clear" w:color="auto" w:fill="284993"/>
          </w:tcPr>
          <w:p>
            <w:pPr>
              <w:spacing w:after="0"/>
              <w:rPr>
                <w:sz w:val="11"/>
                <w:szCs w:val="11"/>
                <w:color w:val="auto"/>
              </w:rPr>
            </w:pPr>
          </w:p>
        </w:tc>
        <w:tc>
          <w:tcPr>
            <w:tcW w:w="820" w:type="dxa"/>
            <w:vAlign w:val="bottom"/>
            <w:vMerge w:val="restart"/>
            <w:shd w:val="clear" w:color="auto" w:fill="284993"/>
          </w:tcPr>
          <w:p>
            <w:pPr>
              <w:jc w:val="center"/>
              <w:spacing w:after="0"/>
              <w:rPr>
                <w:sz w:val="20"/>
                <w:szCs w:val="20"/>
                <w:color w:val="auto"/>
              </w:rPr>
            </w:pPr>
            <w:r>
              <w:rPr>
                <w:rFonts w:ascii="Arial" w:cs="Arial" w:eastAsia="Arial" w:hAnsi="Arial"/>
                <w:sz w:val="12"/>
                <w:szCs w:val="12"/>
                <w:b w:val="1"/>
                <w:bCs w:val="1"/>
                <w:color w:val="FFFFFF"/>
              </w:rPr>
              <w:t>Peer Group</w:t>
            </w:r>
          </w:p>
        </w:tc>
        <w:tc>
          <w:tcPr>
            <w:tcW w:w="880" w:type="dxa"/>
            <w:vAlign w:val="bottom"/>
            <w:shd w:val="clear" w:color="auto" w:fill="284993"/>
          </w:tcPr>
          <w:p>
            <w:pPr>
              <w:spacing w:after="0"/>
              <w:rPr>
                <w:sz w:val="11"/>
                <w:szCs w:val="11"/>
                <w:color w:val="auto"/>
              </w:rPr>
            </w:pPr>
          </w:p>
        </w:tc>
        <w:tc>
          <w:tcPr>
            <w:tcW w:w="940" w:type="dxa"/>
            <w:vAlign w:val="bottom"/>
            <w:vMerge w:val="continue"/>
            <w:shd w:val="clear" w:color="auto" w:fill="284993"/>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20" w:type="dxa"/>
            <w:vAlign w:val="bottom"/>
            <w:shd w:val="clear" w:color="auto" w:fill="284993"/>
          </w:tcPr>
          <w:p>
            <w:pPr>
              <w:spacing w:after="0"/>
              <w:rPr>
                <w:sz w:val="11"/>
                <w:szCs w:val="11"/>
                <w:color w:val="auto"/>
              </w:rPr>
            </w:pPr>
          </w:p>
        </w:tc>
        <w:tc>
          <w:tcPr>
            <w:tcW w:w="940" w:type="dxa"/>
            <w:vAlign w:val="bottom"/>
            <w:vMerge w:val="continue"/>
            <w:shd w:val="clear" w:color="auto" w:fill="284993"/>
          </w:tcPr>
          <w:p>
            <w:pPr>
              <w:spacing w:after="0"/>
              <w:rPr>
                <w:sz w:val="11"/>
                <w:szCs w:val="11"/>
                <w:color w:val="auto"/>
              </w:rPr>
            </w:pPr>
          </w:p>
        </w:tc>
        <w:tc>
          <w:tcPr>
            <w:tcW w:w="980" w:type="dxa"/>
            <w:vAlign w:val="bottom"/>
            <w:shd w:val="clear" w:color="auto" w:fill="284993"/>
          </w:tcPr>
          <w:p>
            <w:pPr>
              <w:spacing w:after="0"/>
              <w:rPr>
                <w:sz w:val="11"/>
                <w:szCs w:val="11"/>
                <w:color w:val="auto"/>
              </w:rPr>
            </w:pPr>
          </w:p>
        </w:tc>
        <w:tc>
          <w:tcPr>
            <w:tcW w:w="940" w:type="dxa"/>
            <w:vAlign w:val="bottom"/>
            <w:vMerge w:val="continue"/>
            <w:shd w:val="clear" w:color="auto" w:fill="284993"/>
          </w:tcPr>
          <w:p>
            <w:pPr>
              <w:spacing w:after="0"/>
              <w:rPr>
                <w:sz w:val="11"/>
                <w:szCs w:val="11"/>
                <w:color w:val="auto"/>
              </w:rPr>
            </w:pPr>
          </w:p>
        </w:tc>
        <w:tc>
          <w:tcPr>
            <w:tcW w:w="920" w:type="dxa"/>
            <w:vAlign w:val="bottom"/>
            <w:shd w:val="clear" w:color="auto" w:fill="284993"/>
          </w:tcPr>
          <w:p>
            <w:pPr>
              <w:spacing w:after="0"/>
              <w:rPr>
                <w:sz w:val="11"/>
                <w:szCs w:val="11"/>
                <w:color w:val="auto"/>
              </w:rPr>
            </w:pP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Compensation</w:t>
            </w: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Compensation</w:t>
            </w:r>
          </w:p>
        </w:tc>
        <w:tc>
          <w:tcPr>
            <w:tcW w:w="800" w:type="dxa"/>
            <w:vAlign w:val="bottom"/>
            <w:shd w:val="clear" w:color="auto" w:fill="284993"/>
          </w:tcPr>
          <w:p>
            <w:pPr>
              <w:spacing w:after="0"/>
              <w:rPr>
                <w:sz w:val="11"/>
                <w:szCs w:val="11"/>
                <w:color w:val="auto"/>
              </w:rPr>
            </w:pPr>
          </w:p>
        </w:tc>
        <w:tc>
          <w:tcPr>
            <w:tcW w:w="820" w:type="dxa"/>
            <w:vAlign w:val="bottom"/>
            <w:vMerge w:val="continue"/>
            <w:shd w:val="clear" w:color="auto" w:fill="284993"/>
          </w:tcPr>
          <w:p>
            <w:pPr>
              <w:spacing w:after="0"/>
              <w:rPr>
                <w:sz w:val="11"/>
                <w:szCs w:val="11"/>
                <w:color w:val="auto"/>
              </w:rPr>
            </w:pPr>
          </w:p>
        </w:tc>
        <w:tc>
          <w:tcPr>
            <w:tcW w:w="880" w:type="dxa"/>
            <w:vAlign w:val="bottom"/>
            <w:shd w:val="clear" w:color="auto" w:fill="284993"/>
          </w:tcPr>
          <w:p>
            <w:pPr>
              <w:spacing w:after="0"/>
              <w:rPr>
                <w:sz w:val="11"/>
                <w:szCs w:val="11"/>
                <w:color w:val="auto"/>
              </w:rPr>
            </w:pP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7"/>
              </w:rPr>
              <w:t>Selected</w:t>
            </w:r>
          </w:p>
        </w:tc>
        <w:tc>
          <w:tcPr>
            <w:tcW w:w="0" w:type="dxa"/>
            <w:vAlign w:val="bottom"/>
          </w:tcPr>
          <w:p>
            <w:pPr>
              <w:spacing w:after="0"/>
              <w:rPr>
                <w:sz w:val="1"/>
                <w:szCs w:val="1"/>
                <w:color w:val="auto"/>
              </w:rPr>
            </w:pPr>
          </w:p>
        </w:tc>
      </w:tr>
      <w:tr>
        <w:trPr>
          <w:trHeight w:val="134"/>
        </w:trPr>
        <w:tc>
          <w:tcPr>
            <w:tcW w:w="420" w:type="dxa"/>
            <w:vAlign w:val="bottom"/>
            <w:shd w:val="clear" w:color="auto" w:fill="284993"/>
          </w:tcPr>
          <w:p>
            <w:pPr>
              <w:spacing w:after="0"/>
              <w:rPr>
                <w:sz w:val="11"/>
                <w:szCs w:val="11"/>
                <w:color w:val="auto"/>
              </w:rPr>
            </w:pPr>
          </w:p>
        </w:tc>
        <w:tc>
          <w:tcPr>
            <w:tcW w:w="94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rPr>
              <w:t>Compensation</w:t>
            </w:r>
          </w:p>
        </w:tc>
        <w:tc>
          <w:tcPr>
            <w:tcW w:w="98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rPr>
              <w:t>Compensation</w:t>
            </w:r>
          </w:p>
        </w:tc>
        <w:tc>
          <w:tcPr>
            <w:tcW w:w="94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rPr>
              <w:t>Compensation</w:t>
            </w:r>
          </w:p>
        </w:tc>
        <w:tc>
          <w:tcPr>
            <w:tcW w:w="92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rPr>
              <w:t>Compensation</w:t>
            </w:r>
          </w:p>
        </w:tc>
        <w:tc>
          <w:tcPr>
            <w:tcW w:w="94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w w:val="97"/>
              </w:rPr>
              <w:t>Table Total</w:t>
            </w:r>
          </w:p>
        </w:tc>
        <w:tc>
          <w:tcPr>
            <w:tcW w:w="94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rPr>
              <w:t>Actually Paid</w:t>
            </w:r>
          </w:p>
        </w:tc>
        <w:tc>
          <w:tcPr>
            <w:tcW w:w="80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w w:val="97"/>
              </w:rPr>
              <w:t>Total</w:t>
            </w:r>
          </w:p>
        </w:tc>
        <w:tc>
          <w:tcPr>
            <w:tcW w:w="82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w w:val="97"/>
              </w:rPr>
              <w:t>Total</w:t>
            </w:r>
          </w:p>
        </w:tc>
        <w:tc>
          <w:tcPr>
            <w:tcW w:w="880" w:type="dxa"/>
            <w:vAlign w:val="bottom"/>
            <w:shd w:val="clear" w:color="auto" w:fill="284993"/>
          </w:tcPr>
          <w:p>
            <w:pPr>
              <w:spacing w:after="0"/>
              <w:rPr>
                <w:sz w:val="11"/>
                <w:szCs w:val="11"/>
                <w:color w:val="auto"/>
              </w:rPr>
            </w:pPr>
          </w:p>
        </w:tc>
        <w:tc>
          <w:tcPr>
            <w:tcW w:w="940" w:type="dxa"/>
            <w:vAlign w:val="bottom"/>
            <w:shd w:val="clear" w:color="auto" w:fill="284993"/>
          </w:tcPr>
          <w:p>
            <w:pPr>
              <w:jc w:val="center"/>
              <w:spacing w:after="0" w:line="134" w:lineRule="exact"/>
              <w:rPr>
                <w:sz w:val="20"/>
                <w:szCs w:val="20"/>
                <w:color w:val="auto"/>
              </w:rPr>
            </w:pPr>
            <w:r>
              <w:rPr>
                <w:rFonts w:ascii="Arial" w:cs="Arial" w:eastAsia="Arial" w:hAnsi="Arial"/>
                <w:sz w:val="12"/>
                <w:szCs w:val="12"/>
                <w:b w:val="1"/>
                <w:bCs w:val="1"/>
                <w:color w:val="FFFFFF"/>
                <w:w w:val="98"/>
              </w:rPr>
              <w:t>Measure:</w:t>
            </w:r>
          </w:p>
        </w:tc>
        <w:tc>
          <w:tcPr>
            <w:tcW w:w="0" w:type="dxa"/>
            <w:vAlign w:val="bottom"/>
          </w:tcPr>
          <w:p>
            <w:pPr>
              <w:spacing w:after="0"/>
              <w:rPr>
                <w:sz w:val="1"/>
                <w:szCs w:val="1"/>
                <w:color w:val="auto"/>
              </w:rPr>
            </w:pPr>
          </w:p>
        </w:tc>
      </w:tr>
      <w:tr>
        <w:trPr>
          <w:trHeight w:val="130"/>
        </w:trPr>
        <w:tc>
          <w:tcPr>
            <w:tcW w:w="420" w:type="dxa"/>
            <w:vAlign w:val="bottom"/>
            <w:vMerge w:val="restart"/>
            <w:shd w:val="clear" w:color="auto" w:fill="284993"/>
          </w:tcPr>
          <w:p>
            <w:pPr>
              <w:ind w:left="80"/>
              <w:spacing w:after="0"/>
              <w:rPr>
                <w:sz w:val="20"/>
                <w:szCs w:val="20"/>
                <w:color w:val="auto"/>
              </w:rPr>
            </w:pPr>
            <w:r>
              <w:rPr>
                <w:rFonts w:ascii="Arial" w:cs="Arial" w:eastAsia="Arial" w:hAnsi="Arial"/>
                <w:sz w:val="12"/>
                <w:szCs w:val="12"/>
                <w:b w:val="1"/>
                <w:bCs w:val="1"/>
                <w:color w:val="FFFFFF"/>
                <w:w w:val="83"/>
              </w:rPr>
              <w:t>Year</w:t>
            </w:r>
            <w:r>
              <w:rPr>
                <w:rFonts w:ascii="Arial" w:cs="Arial" w:eastAsia="Arial" w:hAnsi="Arial"/>
                <w:sz w:val="15"/>
                <w:szCs w:val="15"/>
                <w:b w:val="1"/>
                <w:bCs w:val="1"/>
                <w:color w:val="FFFFFF"/>
                <w:w w:val="83"/>
                <w:vertAlign w:val="superscript"/>
              </w:rPr>
              <w:t>(1)</w:t>
            </w: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7"/>
              </w:rPr>
              <w:t>Table Total</w:t>
            </w:r>
          </w:p>
        </w:tc>
        <w:tc>
          <w:tcPr>
            <w:tcW w:w="9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Actually Paid</w:t>
            </w: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7"/>
              </w:rPr>
              <w:t>Table Total</w:t>
            </w:r>
          </w:p>
        </w:tc>
        <w:tc>
          <w:tcPr>
            <w:tcW w:w="9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Actually Paid</w:t>
            </w: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for Non-PEO</w:t>
            </w: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for Non-PEO</w:t>
            </w:r>
          </w:p>
        </w:tc>
        <w:tc>
          <w:tcPr>
            <w:tcW w:w="8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Shareholder</w:t>
            </w:r>
          </w:p>
        </w:tc>
        <w:tc>
          <w:tcPr>
            <w:tcW w:w="8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9"/>
              </w:rPr>
              <w:t>Shareholder</w:t>
            </w:r>
          </w:p>
        </w:tc>
        <w:tc>
          <w:tcPr>
            <w:tcW w:w="880" w:type="dxa"/>
            <w:vAlign w:val="bottom"/>
            <w:vMerge w:val="restart"/>
            <w:shd w:val="clear" w:color="auto" w:fill="284993"/>
          </w:tcPr>
          <w:p>
            <w:pPr>
              <w:jc w:val="right"/>
              <w:ind w:right="80"/>
              <w:spacing w:after="0"/>
              <w:rPr>
                <w:sz w:val="20"/>
                <w:szCs w:val="20"/>
                <w:color w:val="auto"/>
              </w:rPr>
            </w:pPr>
            <w:r>
              <w:rPr>
                <w:rFonts w:ascii="Arial" w:cs="Arial" w:eastAsia="Arial" w:hAnsi="Arial"/>
                <w:sz w:val="12"/>
                <w:szCs w:val="12"/>
                <w:b w:val="1"/>
                <w:bCs w:val="1"/>
                <w:color w:val="FFFFFF"/>
              </w:rPr>
              <w:t>Net Income</w:t>
            </w: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rPr>
              <w:t>Gross</w:t>
            </w:r>
          </w:p>
        </w:tc>
        <w:tc>
          <w:tcPr>
            <w:tcW w:w="0" w:type="dxa"/>
            <w:vAlign w:val="bottom"/>
          </w:tcPr>
          <w:p>
            <w:pPr>
              <w:spacing w:after="0"/>
              <w:rPr>
                <w:sz w:val="1"/>
                <w:szCs w:val="1"/>
                <w:color w:val="auto"/>
              </w:rPr>
            </w:pPr>
          </w:p>
        </w:tc>
      </w:tr>
      <w:tr>
        <w:trPr>
          <w:trHeight w:val="130"/>
        </w:trPr>
        <w:tc>
          <w:tcPr>
            <w:tcW w:w="420" w:type="dxa"/>
            <w:vAlign w:val="bottom"/>
            <w:vMerge w:val="continue"/>
            <w:shd w:val="clear" w:color="auto" w:fill="284993"/>
          </w:tcPr>
          <w:p>
            <w:pPr>
              <w:spacing w:after="0"/>
              <w:rPr>
                <w:sz w:val="11"/>
                <w:szCs w:val="11"/>
                <w:color w:val="auto"/>
              </w:rPr>
            </w:pP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5"/>
              </w:rPr>
              <w:t>for PEO 1</w:t>
            </w:r>
            <w:r>
              <w:rPr>
                <w:rFonts w:ascii="Arial" w:cs="Arial" w:eastAsia="Arial" w:hAnsi="Arial"/>
                <w:sz w:val="15"/>
                <w:szCs w:val="15"/>
                <w:b w:val="1"/>
                <w:bCs w:val="1"/>
                <w:color w:val="FFFFFF"/>
                <w:w w:val="95"/>
                <w:vertAlign w:val="superscript"/>
              </w:rPr>
              <w:t>(2)</w:t>
            </w:r>
          </w:p>
        </w:tc>
        <w:tc>
          <w:tcPr>
            <w:tcW w:w="98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5"/>
              </w:rPr>
              <w:t>for PEO 1</w:t>
            </w:r>
            <w:r>
              <w:rPr>
                <w:rFonts w:ascii="Arial" w:cs="Arial" w:eastAsia="Arial" w:hAnsi="Arial"/>
                <w:sz w:val="15"/>
                <w:szCs w:val="15"/>
                <w:b w:val="1"/>
                <w:bCs w:val="1"/>
                <w:color w:val="FFFFFF"/>
                <w:w w:val="95"/>
                <w:vertAlign w:val="superscript"/>
              </w:rPr>
              <w:t>(3)</w:t>
            </w: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5"/>
              </w:rPr>
              <w:t>for PEO 2</w:t>
            </w:r>
            <w:r>
              <w:rPr>
                <w:rFonts w:ascii="Arial" w:cs="Arial" w:eastAsia="Arial" w:hAnsi="Arial"/>
                <w:sz w:val="15"/>
                <w:szCs w:val="15"/>
                <w:b w:val="1"/>
                <w:bCs w:val="1"/>
                <w:color w:val="FFFFFF"/>
                <w:w w:val="95"/>
                <w:vertAlign w:val="superscript"/>
              </w:rPr>
              <w:t>(2)</w:t>
            </w:r>
          </w:p>
        </w:tc>
        <w:tc>
          <w:tcPr>
            <w:tcW w:w="9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5"/>
              </w:rPr>
              <w:t>for PEO 2</w:t>
            </w:r>
            <w:r>
              <w:rPr>
                <w:rFonts w:ascii="Arial" w:cs="Arial" w:eastAsia="Arial" w:hAnsi="Arial"/>
                <w:sz w:val="15"/>
                <w:szCs w:val="15"/>
                <w:b w:val="1"/>
                <w:bCs w:val="1"/>
                <w:color w:val="FFFFFF"/>
                <w:w w:val="95"/>
                <w:vertAlign w:val="superscript"/>
              </w:rPr>
              <w:t>(3)</w:t>
            </w: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3"/>
              </w:rPr>
              <w:t>NEOs</w:t>
            </w:r>
            <w:r>
              <w:rPr>
                <w:rFonts w:ascii="Arial" w:cs="Arial" w:eastAsia="Arial" w:hAnsi="Arial"/>
                <w:sz w:val="15"/>
                <w:szCs w:val="15"/>
                <w:b w:val="1"/>
                <w:bCs w:val="1"/>
                <w:color w:val="FFFFFF"/>
                <w:w w:val="93"/>
                <w:vertAlign w:val="superscript"/>
              </w:rPr>
              <w:t>(2)</w:t>
            </w: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3"/>
              </w:rPr>
              <w:t>NEOs</w:t>
            </w:r>
            <w:r>
              <w:rPr>
                <w:rFonts w:ascii="Arial" w:cs="Arial" w:eastAsia="Arial" w:hAnsi="Arial"/>
                <w:sz w:val="15"/>
                <w:szCs w:val="15"/>
                <w:b w:val="1"/>
                <w:bCs w:val="1"/>
                <w:color w:val="FFFFFF"/>
                <w:w w:val="93"/>
                <w:vertAlign w:val="superscript"/>
              </w:rPr>
              <w:t>(4)</w:t>
            </w:r>
          </w:p>
        </w:tc>
        <w:tc>
          <w:tcPr>
            <w:tcW w:w="80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8"/>
              </w:rPr>
              <w:t>Return</w:t>
            </w:r>
          </w:p>
        </w:tc>
        <w:tc>
          <w:tcPr>
            <w:tcW w:w="82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4"/>
              </w:rPr>
              <w:t>Return</w:t>
            </w:r>
            <w:r>
              <w:rPr>
                <w:rFonts w:ascii="Arial" w:cs="Arial" w:eastAsia="Arial" w:hAnsi="Arial"/>
                <w:sz w:val="15"/>
                <w:szCs w:val="15"/>
                <w:b w:val="1"/>
                <w:bCs w:val="1"/>
                <w:color w:val="FFFFFF"/>
                <w:w w:val="94"/>
                <w:vertAlign w:val="superscript"/>
              </w:rPr>
              <w:t>(6)</w:t>
            </w:r>
          </w:p>
        </w:tc>
        <w:tc>
          <w:tcPr>
            <w:tcW w:w="880" w:type="dxa"/>
            <w:vAlign w:val="bottom"/>
            <w:vMerge w:val="continue"/>
            <w:shd w:val="clear" w:color="auto" w:fill="284993"/>
          </w:tcPr>
          <w:p>
            <w:pPr>
              <w:spacing w:after="0"/>
              <w:rPr>
                <w:sz w:val="11"/>
                <w:szCs w:val="11"/>
                <w:color w:val="auto"/>
              </w:rPr>
            </w:pPr>
          </w:p>
        </w:tc>
        <w:tc>
          <w:tcPr>
            <w:tcW w:w="940" w:type="dxa"/>
            <w:vAlign w:val="bottom"/>
            <w:shd w:val="clear" w:color="auto" w:fill="284993"/>
          </w:tcPr>
          <w:p>
            <w:pPr>
              <w:jc w:val="center"/>
              <w:spacing w:after="0" w:line="130" w:lineRule="exact"/>
              <w:rPr>
                <w:sz w:val="20"/>
                <w:szCs w:val="20"/>
                <w:color w:val="auto"/>
              </w:rPr>
            </w:pPr>
            <w:r>
              <w:rPr>
                <w:rFonts w:ascii="Arial" w:cs="Arial" w:eastAsia="Arial" w:hAnsi="Arial"/>
                <w:sz w:val="12"/>
                <w:szCs w:val="12"/>
                <w:b w:val="1"/>
                <w:bCs w:val="1"/>
                <w:color w:val="FFFFFF"/>
                <w:w w:val="96"/>
              </w:rPr>
              <w:t>Revenue</w:t>
            </w:r>
            <w:r>
              <w:rPr>
                <w:rFonts w:ascii="Arial" w:cs="Arial" w:eastAsia="Arial" w:hAnsi="Arial"/>
                <w:sz w:val="15"/>
                <w:szCs w:val="15"/>
                <w:b w:val="1"/>
                <w:bCs w:val="1"/>
                <w:color w:val="FFFFFF"/>
                <w:w w:val="96"/>
                <w:vertAlign w:val="superscript"/>
              </w:rPr>
              <w:t>(7)</w:t>
            </w:r>
          </w:p>
        </w:tc>
        <w:tc>
          <w:tcPr>
            <w:tcW w:w="0" w:type="dxa"/>
            <w:vAlign w:val="bottom"/>
          </w:tcPr>
          <w:p>
            <w:pPr>
              <w:spacing w:after="0"/>
              <w:rPr>
                <w:sz w:val="1"/>
                <w:szCs w:val="1"/>
                <w:color w:val="auto"/>
              </w:rPr>
            </w:pPr>
          </w:p>
        </w:tc>
      </w:tr>
      <w:tr>
        <w:trPr>
          <w:trHeight w:val="155"/>
        </w:trPr>
        <w:tc>
          <w:tcPr>
            <w:tcW w:w="420" w:type="dxa"/>
            <w:vAlign w:val="bottom"/>
            <w:shd w:val="clear" w:color="auto" w:fill="284993"/>
          </w:tcPr>
          <w:p>
            <w:pPr>
              <w:ind w:left="140"/>
              <w:spacing w:after="0"/>
              <w:rPr>
                <w:sz w:val="20"/>
                <w:szCs w:val="20"/>
                <w:color w:val="auto"/>
              </w:rPr>
            </w:pPr>
            <w:r>
              <w:rPr>
                <w:rFonts w:ascii="Arial" w:cs="Arial" w:eastAsia="Arial" w:hAnsi="Arial"/>
                <w:sz w:val="12"/>
                <w:szCs w:val="12"/>
                <w:b w:val="1"/>
                <w:bCs w:val="1"/>
                <w:color w:val="FFFFFF"/>
              </w:rPr>
              <w:t>(a)</w:t>
            </w:r>
          </w:p>
        </w:tc>
        <w:tc>
          <w:tcPr>
            <w:tcW w:w="94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(b)</w:t>
            </w:r>
          </w:p>
        </w:tc>
        <w:tc>
          <w:tcPr>
            <w:tcW w:w="98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(c)</w:t>
            </w:r>
          </w:p>
        </w:tc>
        <w:tc>
          <w:tcPr>
            <w:tcW w:w="94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(d)</w:t>
            </w:r>
          </w:p>
        </w:tc>
        <w:tc>
          <w:tcPr>
            <w:tcW w:w="9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(e)</w:t>
            </w:r>
          </w:p>
        </w:tc>
        <w:tc>
          <w:tcPr>
            <w:tcW w:w="94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1"/>
              </w:rPr>
              <w:t>(h)</w:t>
            </w:r>
          </w:p>
        </w:tc>
        <w:tc>
          <w:tcPr>
            <w:tcW w:w="94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(i)</w:t>
            </w:r>
          </w:p>
        </w:tc>
        <w:tc>
          <w:tcPr>
            <w:tcW w:w="80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87"/>
              </w:rPr>
              <w:t>(j)</w:t>
            </w:r>
          </w:p>
        </w:tc>
        <w:tc>
          <w:tcPr>
            <w:tcW w:w="82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w w:val="95"/>
              </w:rPr>
              <w:t>(k)</w:t>
            </w:r>
          </w:p>
        </w:tc>
        <w:tc>
          <w:tcPr>
            <w:tcW w:w="880" w:type="dxa"/>
            <w:vAlign w:val="bottom"/>
            <w:shd w:val="clear" w:color="auto" w:fill="284993"/>
          </w:tcPr>
          <w:p>
            <w:pPr>
              <w:jc w:val="right"/>
              <w:ind w:right="340"/>
              <w:spacing w:after="0"/>
              <w:rPr>
                <w:sz w:val="20"/>
                <w:szCs w:val="20"/>
                <w:color w:val="auto"/>
              </w:rPr>
            </w:pPr>
            <w:r>
              <w:rPr>
                <w:rFonts w:ascii="Arial" w:cs="Arial" w:eastAsia="Arial" w:hAnsi="Arial"/>
                <w:sz w:val="12"/>
                <w:szCs w:val="12"/>
                <w:b w:val="1"/>
                <w:bCs w:val="1"/>
                <w:color w:val="FFFFFF"/>
              </w:rPr>
              <w:t>(l)</w:t>
            </w:r>
          </w:p>
        </w:tc>
        <w:tc>
          <w:tcPr>
            <w:tcW w:w="940" w:type="dxa"/>
            <w:vAlign w:val="bottom"/>
            <w:shd w:val="clear" w:color="auto" w:fill="284993"/>
          </w:tcPr>
          <w:p>
            <w:pPr>
              <w:jc w:val="center"/>
              <w:spacing w:after="0"/>
              <w:rPr>
                <w:sz w:val="20"/>
                <w:szCs w:val="20"/>
                <w:color w:val="auto"/>
              </w:rPr>
            </w:pPr>
            <w:r>
              <w:rPr>
                <w:rFonts w:ascii="Arial" w:cs="Arial" w:eastAsia="Arial" w:hAnsi="Arial"/>
                <w:sz w:val="12"/>
                <w:szCs w:val="12"/>
                <w:b w:val="1"/>
                <w:bCs w:val="1"/>
                <w:color w:val="FFFFFF"/>
              </w:rPr>
              <w:t>(m)</w:t>
            </w:r>
          </w:p>
        </w:tc>
        <w:tc>
          <w:tcPr>
            <w:tcW w:w="0" w:type="dxa"/>
            <w:vAlign w:val="bottom"/>
          </w:tcPr>
          <w:p>
            <w:pPr>
              <w:spacing w:after="0"/>
              <w:rPr>
                <w:sz w:val="1"/>
                <w:szCs w:val="1"/>
                <w:color w:val="auto"/>
              </w:rPr>
            </w:pPr>
          </w:p>
        </w:tc>
      </w:tr>
      <w:tr>
        <w:trPr>
          <w:trHeight w:val="142"/>
        </w:trPr>
        <w:tc>
          <w:tcPr>
            <w:tcW w:w="420" w:type="dxa"/>
            <w:vAlign w:val="bottom"/>
          </w:tcPr>
          <w:p>
            <w:pPr>
              <w:ind w:left="140"/>
              <w:spacing w:after="0"/>
              <w:rPr>
                <w:sz w:val="20"/>
                <w:szCs w:val="20"/>
                <w:color w:val="auto"/>
              </w:rPr>
            </w:pPr>
            <w:r>
              <w:rPr>
                <w:rFonts w:ascii="Arial" w:cs="Arial" w:eastAsia="Arial" w:hAnsi="Arial"/>
                <w:sz w:val="12"/>
                <w:szCs w:val="12"/>
                <w:color w:val="auto"/>
                <w:w w:val="97"/>
              </w:rPr>
              <w:t>2022</w:t>
            </w:r>
          </w:p>
        </w:tc>
        <w:tc>
          <w:tcPr>
            <w:tcW w:w="940" w:type="dxa"/>
            <w:vAlign w:val="bottom"/>
          </w:tcPr>
          <w:p>
            <w:pPr>
              <w:jc w:val="right"/>
              <w:spacing w:after="0"/>
              <w:rPr>
                <w:sz w:val="20"/>
                <w:szCs w:val="20"/>
                <w:color w:val="auto"/>
              </w:rPr>
            </w:pPr>
            <w:r>
              <w:rPr>
                <w:rFonts w:ascii="Arial" w:cs="Arial" w:eastAsia="Arial" w:hAnsi="Arial"/>
                <w:sz w:val="12"/>
                <w:szCs w:val="12"/>
                <w:color w:val="auto"/>
              </w:rPr>
              <w:t>$10,280,267</w:t>
            </w:r>
          </w:p>
        </w:tc>
        <w:tc>
          <w:tcPr>
            <w:tcW w:w="980" w:type="dxa"/>
            <w:vAlign w:val="bottom"/>
          </w:tcPr>
          <w:p>
            <w:pPr>
              <w:jc w:val="right"/>
              <w:spacing w:after="0"/>
              <w:rPr>
                <w:sz w:val="20"/>
                <w:szCs w:val="20"/>
                <w:color w:val="auto"/>
              </w:rPr>
            </w:pPr>
            <w:r>
              <w:rPr>
                <w:rFonts w:ascii="Arial" w:cs="Arial" w:eastAsia="Arial" w:hAnsi="Arial"/>
                <w:sz w:val="12"/>
                <w:szCs w:val="12"/>
                <w:color w:val="auto"/>
              </w:rPr>
              <w:t>($5,735,389)</w:t>
            </w:r>
          </w:p>
        </w:tc>
        <w:tc>
          <w:tcPr>
            <w:tcW w:w="940" w:type="dxa"/>
            <w:vAlign w:val="bottom"/>
          </w:tcPr>
          <w:p>
            <w:pPr>
              <w:jc w:val="right"/>
              <w:spacing w:after="0"/>
              <w:rPr>
                <w:sz w:val="20"/>
                <w:szCs w:val="20"/>
                <w:color w:val="auto"/>
              </w:rPr>
            </w:pPr>
            <w:r>
              <w:rPr>
                <w:rFonts w:ascii="Arial" w:cs="Arial" w:eastAsia="Arial" w:hAnsi="Arial"/>
                <w:sz w:val="12"/>
                <w:szCs w:val="12"/>
                <w:color w:val="auto"/>
              </w:rPr>
              <w:t>$577,608</w:t>
            </w:r>
          </w:p>
        </w:tc>
        <w:tc>
          <w:tcPr>
            <w:tcW w:w="920" w:type="dxa"/>
            <w:vAlign w:val="bottom"/>
          </w:tcPr>
          <w:p>
            <w:pPr>
              <w:jc w:val="right"/>
              <w:spacing w:after="0"/>
              <w:rPr>
                <w:sz w:val="20"/>
                <w:szCs w:val="20"/>
                <w:color w:val="auto"/>
              </w:rPr>
            </w:pPr>
            <w:r>
              <w:rPr>
                <w:rFonts w:ascii="Arial" w:cs="Arial" w:eastAsia="Arial" w:hAnsi="Arial"/>
                <w:sz w:val="12"/>
                <w:szCs w:val="12"/>
                <w:color w:val="auto"/>
              </w:rPr>
              <w:t>$799,949</w:t>
            </w:r>
          </w:p>
        </w:tc>
        <w:tc>
          <w:tcPr>
            <w:tcW w:w="940" w:type="dxa"/>
            <w:vAlign w:val="bottom"/>
          </w:tcPr>
          <w:p>
            <w:pPr>
              <w:jc w:val="right"/>
              <w:spacing w:after="0"/>
              <w:rPr>
                <w:sz w:val="20"/>
                <w:szCs w:val="20"/>
                <w:color w:val="auto"/>
              </w:rPr>
            </w:pPr>
            <w:r>
              <w:rPr>
                <w:rFonts w:ascii="Arial" w:cs="Arial" w:eastAsia="Arial" w:hAnsi="Arial"/>
                <w:sz w:val="12"/>
                <w:szCs w:val="12"/>
                <w:color w:val="auto"/>
              </w:rPr>
              <w:t>$2,450,602</w:t>
            </w:r>
          </w:p>
        </w:tc>
        <w:tc>
          <w:tcPr>
            <w:tcW w:w="940" w:type="dxa"/>
            <w:vAlign w:val="bottom"/>
          </w:tcPr>
          <w:p>
            <w:pPr>
              <w:jc w:val="right"/>
              <w:spacing w:after="0"/>
              <w:rPr>
                <w:sz w:val="20"/>
                <w:szCs w:val="20"/>
                <w:color w:val="auto"/>
              </w:rPr>
            </w:pPr>
            <w:r>
              <w:rPr>
                <w:rFonts w:ascii="Arial" w:cs="Arial" w:eastAsia="Arial" w:hAnsi="Arial"/>
                <w:sz w:val="12"/>
                <w:szCs w:val="12"/>
                <w:color w:val="auto"/>
              </w:rPr>
              <w:t>$790,615</w:t>
            </w:r>
          </w:p>
        </w:tc>
        <w:tc>
          <w:tcPr>
            <w:tcW w:w="800" w:type="dxa"/>
            <w:vAlign w:val="bottom"/>
          </w:tcPr>
          <w:p>
            <w:pPr>
              <w:jc w:val="right"/>
              <w:spacing w:after="0"/>
              <w:rPr>
                <w:sz w:val="20"/>
                <w:szCs w:val="20"/>
                <w:color w:val="auto"/>
              </w:rPr>
            </w:pPr>
            <w:r>
              <w:rPr>
                <w:rFonts w:ascii="Arial" w:cs="Arial" w:eastAsia="Arial" w:hAnsi="Arial"/>
                <w:sz w:val="12"/>
                <w:szCs w:val="12"/>
                <w:color w:val="auto"/>
              </w:rPr>
              <w:t>$61</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$119</w:t>
            </w:r>
          </w:p>
        </w:tc>
        <w:tc>
          <w:tcPr>
            <w:tcW w:w="880" w:type="dxa"/>
            <w:vAlign w:val="bottom"/>
          </w:tcPr>
          <w:p>
            <w:pPr>
              <w:jc w:val="right"/>
              <w:spacing w:after="0"/>
              <w:rPr>
                <w:sz w:val="20"/>
                <w:szCs w:val="20"/>
                <w:color w:val="auto"/>
              </w:rPr>
            </w:pPr>
            <w:r>
              <w:rPr>
                <w:rFonts w:ascii="Arial" w:cs="Arial" w:eastAsia="Arial" w:hAnsi="Arial"/>
                <w:sz w:val="12"/>
                <w:szCs w:val="12"/>
                <w:color w:val="auto"/>
              </w:rPr>
              <w:t>$142,177,000</w:t>
            </w:r>
          </w:p>
        </w:tc>
        <w:tc>
          <w:tcPr>
            <w:tcW w:w="940" w:type="dxa"/>
            <w:vAlign w:val="bottom"/>
          </w:tcPr>
          <w:p>
            <w:pPr>
              <w:jc w:val="right"/>
              <w:spacing w:after="0"/>
              <w:rPr>
                <w:sz w:val="20"/>
                <w:szCs w:val="20"/>
                <w:color w:val="auto"/>
              </w:rPr>
            </w:pPr>
            <w:r>
              <w:rPr>
                <w:rFonts w:ascii="Arial" w:cs="Arial" w:eastAsia="Arial" w:hAnsi="Arial"/>
                <w:sz w:val="12"/>
                <w:szCs w:val="12"/>
                <w:color w:val="auto"/>
              </w:rPr>
              <w:t>$1,421,901,000</w:t>
            </w:r>
          </w:p>
        </w:tc>
        <w:tc>
          <w:tcPr>
            <w:tcW w:w="0" w:type="dxa"/>
            <w:vAlign w:val="bottom"/>
          </w:tcPr>
          <w:p>
            <w:pPr>
              <w:spacing w:after="0"/>
              <w:rPr>
                <w:sz w:val="1"/>
                <w:szCs w:val="1"/>
                <w:color w:val="auto"/>
              </w:rPr>
            </w:pPr>
          </w:p>
        </w:tc>
      </w:tr>
      <w:tr>
        <w:trPr>
          <w:trHeight w:val="130"/>
        </w:trPr>
        <w:tc>
          <w:tcPr>
            <w:tcW w:w="420" w:type="dxa"/>
            <w:vAlign w:val="bottom"/>
            <w:shd w:val="clear" w:color="auto" w:fill="9DBDE4"/>
          </w:tcPr>
          <w:p>
            <w:pPr>
              <w:ind w:left="140"/>
              <w:spacing w:after="0" w:line="130" w:lineRule="exact"/>
              <w:rPr>
                <w:sz w:val="20"/>
                <w:szCs w:val="20"/>
                <w:color w:val="auto"/>
              </w:rPr>
            </w:pPr>
            <w:r>
              <w:rPr>
                <w:rFonts w:ascii="Arial" w:cs="Arial" w:eastAsia="Arial" w:hAnsi="Arial"/>
                <w:sz w:val="12"/>
                <w:szCs w:val="12"/>
                <w:color w:val="auto"/>
                <w:w w:val="97"/>
              </w:rPr>
              <w:t>2021</w:t>
            </w:r>
          </w:p>
        </w:tc>
        <w:tc>
          <w:tcPr>
            <w:tcW w:w="94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$8,768,059</w:t>
            </w:r>
          </w:p>
        </w:tc>
        <w:tc>
          <w:tcPr>
            <w:tcW w:w="980" w:type="dxa"/>
            <w:vAlign w:val="bottom"/>
            <w:shd w:val="clear" w:color="auto" w:fill="9DBDE4"/>
          </w:tcPr>
          <w:p>
            <w:pPr>
              <w:jc w:val="right"/>
              <w:ind w:right="20"/>
              <w:spacing w:after="0" w:line="130" w:lineRule="exact"/>
              <w:rPr>
                <w:sz w:val="20"/>
                <w:szCs w:val="20"/>
                <w:color w:val="auto"/>
              </w:rPr>
            </w:pPr>
            <w:r>
              <w:rPr>
                <w:rFonts w:ascii="Arial" w:cs="Arial" w:eastAsia="Arial" w:hAnsi="Arial"/>
                <w:sz w:val="12"/>
                <w:szCs w:val="12"/>
                <w:color w:val="auto"/>
              </w:rPr>
              <w:t>$2,003,203</w:t>
            </w:r>
          </w:p>
        </w:tc>
        <w:tc>
          <w:tcPr>
            <w:tcW w:w="94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$0</w:t>
            </w:r>
          </w:p>
        </w:tc>
        <w:tc>
          <w:tcPr>
            <w:tcW w:w="92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$0</w:t>
            </w:r>
          </w:p>
        </w:tc>
        <w:tc>
          <w:tcPr>
            <w:tcW w:w="94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$2,667,749</w:t>
            </w:r>
          </w:p>
        </w:tc>
        <w:tc>
          <w:tcPr>
            <w:tcW w:w="94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$1,273,508</w:t>
            </w:r>
          </w:p>
        </w:tc>
        <w:tc>
          <w:tcPr>
            <w:tcW w:w="80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$92</w:t>
            </w:r>
          </w:p>
        </w:tc>
        <w:tc>
          <w:tcPr>
            <w:tcW w:w="820" w:type="dxa"/>
            <w:vAlign w:val="bottom"/>
            <w:shd w:val="clear" w:color="auto" w:fill="9DBDE4"/>
          </w:tcPr>
          <w:p>
            <w:pPr>
              <w:jc w:val="right"/>
              <w:ind w:right="20"/>
              <w:spacing w:after="0" w:line="130" w:lineRule="exact"/>
              <w:rPr>
                <w:sz w:val="20"/>
                <w:szCs w:val="20"/>
                <w:color w:val="auto"/>
              </w:rPr>
            </w:pPr>
            <w:r>
              <w:rPr>
                <w:rFonts w:ascii="Arial" w:cs="Arial" w:eastAsia="Arial" w:hAnsi="Arial"/>
                <w:sz w:val="12"/>
                <w:szCs w:val="12"/>
                <w:color w:val="auto"/>
              </w:rPr>
              <w:t>$130</w:t>
            </w:r>
          </w:p>
        </w:tc>
        <w:tc>
          <w:tcPr>
            <w:tcW w:w="88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$127,791,000</w:t>
            </w:r>
          </w:p>
        </w:tc>
        <w:tc>
          <w:tcPr>
            <w:tcW w:w="940" w:type="dxa"/>
            <w:vAlign w:val="bottom"/>
            <w:shd w:val="clear" w:color="auto" w:fill="9DBDE4"/>
          </w:tcPr>
          <w:p>
            <w:pPr>
              <w:jc w:val="right"/>
              <w:spacing w:after="0" w:line="130" w:lineRule="exact"/>
              <w:rPr>
                <w:sz w:val="20"/>
                <w:szCs w:val="20"/>
                <w:color w:val="auto"/>
              </w:rPr>
            </w:pPr>
            <w:r>
              <w:rPr>
                <w:rFonts w:ascii="Arial" w:cs="Arial" w:eastAsia="Arial" w:hAnsi="Arial"/>
                <w:sz w:val="12"/>
                <w:szCs w:val="12"/>
                <w:color w:val="auto"/>
              </w:rPr>
              <w:t>$1,370,598,000</w:t>
            </w:r>
          </w:p>
        </w:tc>
        <w:tc>
          <w:tcPr>
            <w:tcW w:w="0" w:type="dxa"/>
            <w:vAlign w:val="bottom"/>
          </w:tcPr>
          <w:p>
            <w:pPr>
              <w:spacing w:after="0"/>
              <w:rPr>
                <w:sz w:val="1"/>
                <w:szCs w:val="1"/>
                <w:color w:val="auto"/>
              </w:rPr>
            </w:pPr>
          </w:p>
        </w:tc>
      </w:tr>
      <w:tr>
        <w:trPr>
          <w:trHeight w:val="130"/>
        </w:trPr>
        <w:tc>
          <w:tcPr>
            <w:tcW w:w="420" w:type="dxa"/>
            <w:vAlign w:val="bottom"/>
            <w:tcBorders>
              <w:bottom w:val="single" w:sz="8" w:color="284993"/>
            </w:tcBorders>
          </w:tcPr>
          <w:p>
            <w:pPr>
              <w:ind w:left="140"/>
              <w:spacing w:after="0" w:line="130" w:lineRule="exact"/>
              <w:rPr>
                <w:sz w:val="20"/>
                <w:szCs w:val="20"/>
                <w:color w:val="auto"/>
              </w:rPr>
            </w:pPr>
            <w:r>
              <w:rPr>
                <w:rFonts w:ascii="Arial" w:cs="Arial" w:eastAsia="Arial" w:hAnsi="Arial"/>
                <w:sz w:val="12"/>
                <w:szCs w:val="12"/>
                <w:color w:val="auto"/>
                <w:w w:val="97"/>
              </w:rPr>
              <w:t>2020</w:t>
            </w:r>
          </w:p>
        </w:tc>
        <w:tc>
          <w:tcPr>
            <w:tcW w:w="940" w:type="dxa"/>
            <w:vAlign w:val="bottom"/>
            <w:tcBorders>
              <w:bottom w:val="single" w:sz="8" w:color="284993"/>
            </w:tcBorders>
          </w:tcPr>
          <w:p>
            <w:pPr>
              <w:jc w:val="right"/>
              <w:spacing w:after="0" w:line="130" w:lineRule="exact"/>
              <w:rPr>
                <w:sz w:val="20"/>
                <w:szCs w:val="20"/>
                <w:color w:val="auto"/>
              </w:rPr>
            </w:pPr>
            <w:r>
              <w:rPr>
                <w:rFonts w:ascii="Arial" w:cs="Arial" w:eastAsia="Arial" w:hAnsi="Arial"/>
                <w:sz w:val="12"/>
                <w:szCs w:val="12"/>
                <w:color w:val="auto"/>
              </w:rPr>
              <w:t>$7,001,341</w:t>
            </w:r>
          </w:p>
        </w:tc>
        <w:tc>
          <w:tcPr>
            <w:tcW w:w="980" w:type="dxa"/>
            <w:vAlign w:val="bottom"/>
            <w:tcBorders>
              <w:bottom w:val="single" w:sz="8" w:color="284993"/>
            </w:tcBorders>
          </w:tcPr>
          <w:p>
            <w:pPr>
              <w:jc w:val="right"/>
              <w:ind w:right="20"/>
              <w:spacing w:after="0" w:line="130" w:lineRule="exact"/>
              <w:rPr>
                <w:sz w:val="20"/>
                <w:szCs w:val="20"/>
                <w:color w:val="auto"/>
              </w:rPr>
            </w:pPr>
            <w:r>
              <w:rPr>
                <w:rFonts w:ascii="Arial" w:cs="Arial" w:eastAsia="Arial" w:hAnsi="Arial"/>
                <w:sz w:val="12"/>
                <w:szCs w:val="12"/>
                <w:color w:val="auto"/>
              </w:rPr>
              <w:t>$10,687,663</w:t>
            </w:r>
          </w:p>
        </w:tc>
        <w:tc>
          <w:tcPr>
            <w:tcW w:w="940" w:type="dxa"/>
            <w:vAlign w:val="bottom"/>
            <w:tcBorders>
              <w:bottom w:val="single" w:sz="8" w:color="284993"/>
            </w:tcBorders>
          </w:tcPr>
          <w:p>
            <w:pPr>
              <w:jc w:val="right"/>
              <w:spacing w:after="0" w:line="130" w:lineRule="exact"/>
              <w:rPr>
                <w:sz w:val="20"/>
                <w:szCs w:val="20"/>
                <w:color w:val="auto"/>
              </w:rPr>
            </w:pPr>
            <w:r>
              <w:rPr>
                <w:rFonts w:ascii="Arial" w:cs="Arial" w:eastAsia="Arial" w:hAnsi="Arial"/>
                <w:sz w:val="12"/>
                <w:szCs w:val="12"/>
                <w:color w:val="auto"/>
              </w:rPr>
              <w:t>$0</w:t>
            </w:r>
          </w:p>
        </w:tc>
        <w:tc>
          <w:tcPr>
            <w:tcW w:w="920" w:type="dxa"/>
            <w:vAlign w:val="bottom"/>
            <w:tcBorders>
              <w:bottom w:val="single" w:sz="8" w:color="284993"/>
            </w:tcBorders>
          </w:tcPr>
          <w:p>
            <w:pPr>
              <w:jc w:val="right"/>
              <w:spacing w:after="0" w:line="130" w:lineRule="exact"/>
              <w:rPr>
                <w:sz w:val="20"/>
                <w:szCs w:val="20"/>
                <w:color w:val="auto"/>
              </w:rPr>
            </w:pPr>
            <w:r>
              <w:rPr>
                <w:rFonts w:ascii="Arial" w:cs="Arial" w:eastAsia="Arial" w:hAnsi="Arial"/>
                <w:sz w:val="12"/>
                <w:szCs w:val="12"/>
                <w:color w:val="auto"/>
              </w:rPr>
              <w:t>$0</w:t>
            </w:r>
          </w:p>
        </w:tc>
        <w:tc>
          <w:tcPr>
            <w:tcW w:w="940" w:type="dxa"/>
            <w:vAlign w:val="bottom"/>
            <w:tcBorders>
              <w:bottom w:val="single" w:sz="8" w:color="284993"/>
            </w:tcBorders>
          </w:tcPr>
          <w:p>
            <w:pPr>
              <w:jc w:val="right"/>
              <w:spacing w:after="0" w:line="130" w:lineRule="exact"/>
              <w:rPr>
                <w:sz w:val="20"/>
                <w:szCs w:val="20"/>
                <w:color w:val="auto"/>
              </w:rPr>
            </w:pPr>
            <w:r>
              <w:rPr>
                <w:rFonts w:ascii="Arial" w:cs="Arial" w:eastAsia="Arial" w:hAnsi="Arial"/>
                <w:sz w:val="12"/>
                <w:szCs w:val="12"/>
                <w:color w:val="auto"/>
              </w:rPr>
              <w:t>$2,241,571</w:t>
            </w:r>
          </w:p>
        </w:tc>
        <w:tc>
          <w:tcPr>
            <w:tcW w:w="940" w:type="dxa"/>
            <w:vAlign w:val="bottom"/>
            <w:tcBorders>
              <w:bottom w:val="single" w:sz="8" w:color="284993"/>
            </w:tcBorders>
          </w:tcPr>
          <w:p>
            <w:pPr>
              <w:jc w:val="right"/>
              <w:spacing w:after="0" w:line="130" w:lineRule="exact"/>
              <w:rPr>
                <w:sz w:val="20"/>
                <w:szCs w:val="20"/>
                <w:color w:val="auto"/>
              </w:rPr>
            </w:pPr>
            <w:r>
              <w:rPr>
                <w:rFonts w:ascii="Arial" w:cs="Arial" w:eastAsia="Arial" w:hAnsi="Arial"/>
                <w:sz w:val="12"/>
                <w:szCs w:val="12"/>
                <w:color w:val="auto"/>
              </w:rPr>
              <w:t>$1,643,342</w:t>
            </w:r>
          </w:p>
        </w:tc>
        <w:tc>
          <w:tcPr>
            <w:tcW w:w="800" w:type="dxa"/>
            <w:vAlign w:val="bottom"/>
            <w:tcBorders>
              <w:bottom w:val="single" w:sz="8" w:color="284993"/>
            </w:tcBorders>
          </w:tcPr>
          <w:p>
            <w:pPr>
              <w:jc w:val="right"/>
              <w:spacing w:after="0" w:line="130" w:lineRule="exact"/>
              <w:rPr>
                <w:sz w:val="20"/>
                <w:szCs w:val="20"/>
                <w:color w:val="auto"/>
              </w:rPr>
            </w:pPr>
            <w:r>
              <w:rPr>
                <w:rFonts w:ascii="Arial" w:cs="Arial" w:eastAsia="Arial" w:hAnsi="Arial"/>
                <w:sz w:val="12"/>
                <w:szCs w:val="12"/>
                <w:color w:val="auto"/>
              </w:rPr>
              <w:t>$101</w:t>
            </w:r>
          </w:p>
        </w:tc>
        <w:tc>
          <w:tcPr>
            <w:tcW w:w="820" w:type="dxa"/>
            <w:vAlign w:val="bottom"/>
            <w:tcBorders>
              <w:bottom w:val="single" w:sz="8" w:color="284993"/>
            </w:tcBorders>
          </w:tcPr>
          <w:p>
            <w:pPr>
              <w:jc w:val="right"/>
              <w:ind w:right="20"/>
              <w:spacing w:after="0" w:line="130" w:lineRule="exact"/>
              <w:rPr>
                <w:sz w:val="20"/>
                <w:szCs w:val="20"/>
                <w:color w:val="auto"/>
              </w:rPr>
            </w:pPr>
            <w:r>
              <w:rPr>
                <w:rFonts w:ascii="Arial" w:cs="Arial" w:eastAsia="Arial" w:hAnsi="Arial"/>
                <w:sz w:val="12"/>
                <w:szCs w:val="12"/>
                <w:color w:val="auto"/>
              </w:rPr>
              <w:t>$101</w:t>
            </w:r>
          </w:p>
        </w:tc>
        <w:tc>
          <w:tcPr>
            <w:tcW w:w="880" w:type="dxa"/>
            <w:vAlign w:val="bottom"/>
            <w:tcBorders>
              <w:bottom w:val="single" w:sz="8" w:color="284993"/>
            </w:tcBorders>
          </w:tcPr>
          <w:p>
            <w:pPr>
              <w:jc w:val="right"/>
              <w:spacing w:after="0" w:line="130" w:lineRule="exact"/>
              <w:rPr>
                <w:sz w:val="20"/>
                <w:szCs w:val="20"/>
                <w:color w:val="auto"/>
              </w:rPr>
            </w:pPr>
            <w:r>
              <w:rPr>
                <w:rFonts w:ascii="Arial" w:cs="Arial" w:eastAsia="Arial" w:hAnsi="Arial"/>
                <w:sz w:val="12"/>
                <w:szCs w:val="12"/>
                <w:color w:val="auto"/>
              </w:rPr>
              <w:t>$72,660,000</w:t>
            </w:r>
          </w:p>
        </w:tc>
        <w:tc>
          <w:tcPr>
            <w:tcW w:w="940" w:type="dxa"/>
            <w:vAlign w:val="bottom"/>
            <w:tcBorders>
              <w:bottom w:val="single" w:sz="8" w:color="284993"/>
            </w:tcBorders>
          </w:tcPr>
          <w:p>
            <w:pPr>
              <w:jc w:val="right"/>
              <w:spacing w:after="0" w:line="130" w:lineRule="exact"/>
              <w:rPr>
                <w:sz w:val="20"/>
                <w:szCs w:val="20"/>
                <w:color w:val="auto"/>
              </w:rPr>
            </w:pPr>
            <w:r>
              <w:rPr>
                <w:rFonts w:ascii="Arial" w:cs="Arial" w:eastAsia="Arial" w:hAnsi="Arial"/>
                <w:sz w:val="12"/>
                <w:szCs w:val="12"/>
                <w:color w:val="auto"/>
              </w:rPr>
              <w:t>$1,294,322,000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-854710</wp:posOffset>
            </wp:positionV>
            <wp:extent cx="6043930" cy="8553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43930" cy="855345"/>
                    </a:xfrm>
                    <a:prstGeom prst="rect">
                      <a:avLst/>
                    </a:prstGeom>
                    <a:noFill/>
                  </pic:spPr>
                </pic:pic>
              </a:graphicData>
            </a:graphic>
          </wp:anchor>
        </w:drawing>
      </w:r>
    </w:p>
    <w:p>
      <w:pPr>
        <w:spacing w:after="0" w:line="40" w:lineRule="exact"/>
        <w:rPr>
          <w:sz w:val="20"/>
          <w:szCs w:val="20"/>
          <w:color w:val="auto"/>
        </w:rPr>
      </w:pPr>
    </w:p>
    <w:p>
      <w:pPr>
        <w:ind w:left="280" w:hanging="278"/>
        <w:spacing w:after="0"/>
        <w:tabs>
          <w:tab w:leader="none" w:pos="2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Company’s principal executive officers (“PEOs”) for the applicable years were as follows:</w:t>
      </w:r>
    </w:p>
    <w:p>
      <w:pPr>
        <w:spacing w:after="0" w:line="30" w:lineRule="exact"/>
        <w:rPr>
          <w:rFonts w:ascii="Arial" w:cs="Arial" w:eastAsia="Arial" w:hAnsi="Arial"/>
          <w:sz w:val="12"/>
          <w:szCs w:val="12"/>
          <w:color w:val="auto"/>
        </w:rPr>
      </w:pPr>
    </w:p>
    <w:p>
      <w:pPr>
        <w:ind w:left="280"/>
        <w:spacing w:after="0"/>
        <w:rPr>
          <w:rFonts w:ascii="Arial" w:cs="Arial" w:eastAsia="Arial" w:hAnsi="Arial"/>
          <w:sz w:val="12"/>
          <w:szCs w:val="12"/>
          <w:color w:val="auto"/>
        </w:rPr>
      </w:pPr>
      <w:r>
        <w:rPr>
          <w:rFonts w:ascii="Arial" w:cs="Arial" w:eastAsia="Arial" w:hAnsi="Arial"/>
          <w:sz w:val="12"/>
          <w:szCs w:val="12"/>
          <w:color w:val="auto"/>
        </w:rPr>
        <w:t>–   2020: Odilon Almeida served as the CEO from March 9, 2020 to December 31, 2020 (“PEO 1”).</w:t>
      </w:r>
    </w:p>
    <w:p>
      <w:pPr>
        <w:spacing w:after="0" w:line="3" w:lineRule="exact"/>
        <w:rPr>
          <w:rFonts w:ascii="Arial" w:cs="Arial" w:eastAsia="Arial" w:hAnsi="Arial"/>
          <w:sz w:val="12"/>
          <w:szCs w:val="12"/>
          <w:color w:val="auto"/>
        </w:rPr>
      </w:pPr>
    </w:p>
    <w:p>
      <w:pPr>
        <w:ind w:left="280"/>
        <w:spacing w:after="0" w:line="225" w:lineRule="auto"/>
        <w:rPr>
          <w:rFonts w:ascii="Arial" w:cs="Arial" w:eastAsia="Arial" w:hAnsi="Arial"/>
          <w:sz w:val="12"/>
          <w:szCs w:val="12"/>
          <w:color w:val="auto"/>
        </w:rPr>
      </w:pPr>
      <w:r>
        <w:rPr>
          <w:rFonts w:ascii="Arial" w:cs="Arial" w:eastAsia="Arial" w:hAnsi="Arial"/>
          <w:sz w:val="12"/>
          <w:szCs w:val="12"/>
          <w:color w:val="auto"/>
        </w:rPr>
        <w:t>–   2021: Odilon Almeida served as the CEO for the entirety of 2021.</w:t>
      </w:r>
    </w:p>
    <w:p>
      <w:pPr>
        <w:ind w:left="540" w:right="240" w:hanging="272"/>
        <w:spacing w:after="0" w:line="241" w:lineRule="auto"/>
        <w:rPr>
          <w:rFonts w:ascii="Arial" w:cs="Arial" w:eastAsia="Arial" w:hAnsi="Arial"/>
          <w:sz w:val="12"/>
          <w:szCs w:val="12"/>
          <w:color w:val="auto"/>
        </w:rPr>
      </w:pPr>
      <w:r>
        <w:rPr>
          <w:rFonts w:ascii="Arial" w:cs="Arial" w:eastAsia="Arial" w:hAnsi="Arial"/>
          <w:sz w:val="12"/>
          <w:szCs w:val="12"/>
          <w:color w:val="auto"/>
        </w:rPr>
        <w:t>– 2022: Odilon Almeida served as the CEO from January 1, 2022 to November 7, 2022; Thomas W. Warsop, III served as the Interim CEO from November 7, 2022 to December 31, 2022 (“PEO 2”).</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Company’s non-PEO NEOs for the applicable years were as follows: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2020: Scott W. Behrens, Dennis P. Byrnes, Evanthia Aretakis, Jeremy W. Wilmot, and Craig Saks.</w:t>
      </w:r>
    </w:p>
    <w:p>
      <w:pPr>
        <w:spacing w:after="0" w:line="3" w:lineRule="exact"/>
        <w:rPr>
          <w:sz w:val="20"/>
          <w:szCs w:val="20"/>
          <w:color w:val="auto"/>
        </w:rPr>
      </w:pPr>
    </w:p>
    <w:p>
      <w:pPr>
        <w:ind w:left="280"/>
        <w:spacing w:after="0" w:line="225" w:lineRule="auto"/>
        <w:rPr>
          <w:sz w:val="20"/>
          <w:szCs w:val="20"/>
          <w:color w:val="auto"/>
        </w:rPr>
      </w:pPr>
      <w:r>
        <w:rPr>
          <w:rFonts w:ascii="Arial" w:cs="Arial" w:eastAsia="Arial" w:hAnsi="Arial"/>
          <w:sz w:val="12"/>
          <w:szCs w:val="12"/>
          <w:color w:val="auto"/>
        </w:rPr>
        <w:t>–   2021: Scott W. Behrens, Evanthia Aretakis, Dennis P. Byrnes, Jeremy M. Wilmot, and Ram K. Puppala.</w:t>
      </w:r>
    </w:p>
    <w:p>
      <w:pPr>
        <w:ind w:left="280"/>
        <w:spacing w:after="0"/>
        <w:rPr>
          <w:sz w:val="20"/>
          <w:szCs w:val="20"/>
          <w:color w:val="auto"/>
        </w:rPr>
      </w:pPr>
      <w:r>
        <w:rPr>
          <w:rFonts w:ascii="Arial" w:cs="Arial" w:eastAsia="Arial" w:hAnsi="Arial"/>
          <w:sz w:val="12"/>
          <w:szCs w:val="12"/>
          <w:color w:val="auto"/>
        </w:rPr>
        <w:t>–   2022: Scott W. Behrens; Ram K. Puppala, Alessandro Silva, Deborah L. Guerra; Evanthia Aretakis, and Jeremy M. Wilmot.</w:t>
      </w:r>
    </w:p>
    <w:p>
      <w:pPr>
        <w:spacing w:after="0" w:line="18" w:lineRule="exact"/>
        <w:rPr>
          <w:sz w:val="20"/>
          <w:szCs w:val="20"/>
          <w:color w:val="auto"/>
        </w:rPr>
      </w:pPr>
    </w:p>
    <w:p>
      <w:pPr>
        <w:ind w:left="280" w:right="420" w:hanging="278"/>
        <w:spacing w:after="0" w:line="235" w:lineRule="auto"/>
        <w:tabs>
          <w:tab w:leader="none" w:pos="2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Amounts reported in this column represent (i) the total compensation reported in the Summary Compensation Table for the applicable year for the Company’s PEO(s) and (ii) the average of the total compensation reported in the Summary Compensation Table for the applicable year for the Company’s non-PEO NEOs. Note that</w:t>
      </w:r>
    </w:p>
    <w:p>
      <w:pPr>
        <w:ind w:left="280" w:right="240"/>
        <w:spacing w:after="0" w:line="225" w:lineRule="auto"/>
        <w:rPr>
          <w:rFonts w:ascii="Arial" w:cs="Arial" w:eastAsia="Arial" w:hAnsi="Arial"/>
          <w:sz w:val="12"/>
          <w:szCs w:val="12"/>
          <w:color w:val="auto"/>
        </w:rPr>
      </w:pPr>
      <w:r>
        <w:rPr>
          <w:rFonts w:ascii="Arial" w:cs="Arial" w:eastAsia="Arial" w:hAnsi="Arial"/>
          <w:sz w:val="12"/>
          <w:szCs w:val="12"/>
          <w:color w:val="auto"/>
        </w:rPr>
        <w:t>Mr. Saks is being reported as a non-PEO NEO for the entirety of 2020 as the majority of his compensation awarded and earned reflects his time as a non-PEO NEO and his compensation in the summary compensation table is not divided between his time as PEO and a non-PEO NEO. If Mr. Saks was disclosed as a PEO for the time he spent in that position, we estimate that his total compensation as reported in the summary compensation table would have been $85,385. and his compensation actually paid would have been -$119,010.</w:t>
      </w:r>
    </w:p>
    <w:p>
      <w:pPr>
        <w:ind w:left="280" w:right="300" w:hanging="278"/>
        <w:spacing w:after="0" w:line="241" w:lineRule="auto"/>
        <w:tabs>
          <w:tab w:leader="none" w:pos="2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Amounts reported in this column represent the compensation actually paid to PEO 1 and PEO 2, based on their respective total compensation reported in the Summary Compensation Table for the indicated fiscal years and adjusted as shown in the table below:</w:t>
      </w:r>
    </w:p>
    <w:p>
      <w:pPr>
        <w:spacing w:after="0" w:line="207" w:lineRule="exact"/>
        <w:rPr>
          <w:sz w:val="20"/>
          <w:szCs w:val="20"/>
          <w:color w:val="auto"/>
        </w:rPr>
      </w:pPr>
    </w:p>
    <w:p>
      <w:pPr>
        <w:jc w:val="center"/>
        <w:ind w:right="3720"/>
        <w:spacing w:after="0"/>
        <w:rPr>
          <w:sz w:val="20"/>
          <w:szCs w:val="20"/>
          <w:color w:val="auto"/>
        </w:rPr>
      </w:pPr>
      <w:r>
        <w:rPr>
          <w:rFonts w:ascii="Arial" w:cs="Arial" w:eastAsia="Arial" w:hAnsi="Arial"/>
          <w:sz w:val="16"/>
          <w:szCs w:val="16"/>
          <w:b w:val="1"/>
          <w:bCs w:val="1"/>
          <w:color w:val="FFFFFF"/>
        </w:rPr>
        <w:t>PEO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5920740" cy="20885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20740" cy="2088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62"/>
              <w:spacing w:after="0"/>
              <w:rPr>
                <w:sz w:val="20"/>
                <w:szCs w:val="20"/>
                <w:color w:val="auto"/>
              </w:rPr>
            </w:pPr>
            <w:r>
              <w:rPr>
                <w:rFonts w:ascii="Arial" w:cs="Arial" w:eastAsia="Arial" w:hAnsi="Arial"/>
                <w:sz w:val="16"/>
                <w:szCs w:val="16"/>
                <w:b w:val="1"/>
                <w:bCs w:val="1"/>
                <w:color w:val="FFFFFF"/>
              </w:rPr>
              <w:t>2020</w:t>
            </w:r>
          </w:p>
        </w:tc>
        <w:tc>
          <w:tcPr>
            <w:tcW w:w="1080" w:type="dxa"/>
            <w:vAlign w:val="bottom"/>
          </w:tcPr>
          <w:p>
            <w:pPr>
              <w:jc w:val="right"/>
              <w:ind w:right="362"/>
              <w:spacing w:after="0"/>
              <w:rPr>
                <w:sz w:val="20"/>
                <w:szCs w:val="20"/>
                <w:color w:val="auto"/>
              </w:rPr>
            </w:pPr>
            <w:r>
              <w:rPr>
                <w:rFonts w:ascii="Arial" w:cs="Arial" w:eastAsia="Arial" w:hAnsi="Arial"/>
                <w:sz w:val="16"/>
                <w:szCs w:val="16"/>
                <w:b w:val="1"/>
                <w:bCs w:val="1"/>
                <w:color w:val="FFFFFF"/>
              </w:rPr>
              <w:t>2021</w:t>
            </w:r>
          </w:p>
        </w:tc>
        <w:tc>
          <w:tcPr>
            <w:tcW w:w="1060" w:type="dxa"/>
            <w:vAlign w:val="bottom"/>
          </w:tcPr>
          <w:p>
            <w:pPr>
              <w:jc w:val="right"/>
              <w:ind w:right="302"/>
              <w:spacing w:after="0"/>
              <w:rPr>
                <w:sz w:val="20"/>
                <w:szCs w:val="20"/>
                <w:color w:val="auto"/>
              </w:rPr>
            </w:pPr>
            <w:r>
              <w:rPr>
                <w:rFonts w:ascii="Arial" w:cs="Arial" w:eastAsia="Arial" w:hAnsi="Arial"/>
                <w:sz w:val="16"/>
                <w:szCs w:val="16"/>
                <w:b w:val="1"/>
                <w:bCs w:val="1"/>
                <w:color w:val="FFFFFF"/>
              </w:rPr>
              <w:t>2022</w:t>
            </w:r>
          </w:p>
        </w:tc>
      </w:tr>
      <w:tr>
        <w:trPr>
          <w:trHeight w:val="193"/>
        </w:trPr>
        <w:tc>
          <w:tcPr>
            <w:tcW w:w="340" w:type="dxa"/>
            <w:vAlign w:val="bottom"/>
          </w:tcPr>
          <w:p>
            <w:pPr>
              <w:spacing w:after="0"/>
              <w:rPr>
                <w:sz w:val="16"/>
                <w:szCs w:val="16"/>
                <w:color w:val="auto"/>
              </w:rPr>
            </w:pPr>
          </w:p>
        </w:tc>
        <w:tc>
          <w:tcPr>
            <w:tcW w:w="5480" w:type="dxa"/>
            <w:vAlign w:val="bottom"/>
          </w:tcPr>
          <w:p>
            <w:pPr>
              <w:ind w:left="80"/>
              <w:spacing w:after="0"/>
              <w:rPr>
                <w:sz w:val="20"/>
                <w:szCs w:val="20"/>
                <w:color w:val="auto"/>
              </w:rPr>
            </w:pPr>
            <w:r>
              <w:rPr>
                <w:rFonts w:ascii="Arial" w:cs="Arial" w:eastAsia="Arial" w:hAnsi="Arial"/>
                <w:sz w:val="16"/>
                <w:szCs w:val="16"/>
                <w:color w:val="auto"/>
              </w:rPr>
              <w:t>Summary Compensation Table – Total Compensation</w:t>
            </w:r>
          </w:p>
        </w:tc>
        <w:tc>
          <w:tcPr>
            <w:tcW w:w="28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$7,001,341</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$8,768,059</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$10,280,267</w:t>
            </w:r>
          </w:p>
        </w:tc>
      </w:tr>
      <w:tr>
        <w:trPr>
          <w:trHeight w:val="169"/>
        </w:trPr>
        <w:tc>
          <w:tcPr>
            <w:tcW w:w="340" w:type="dxa"/>
            <w:vAlign w:val="bottom"/>
            <w:shd w:val="clear" w:color="auto" w:fill="9DBDE4"/>
          </w:tcPr>
          <w:p>
            <w:pPr>
              <w:jc w:val="center"/>
              <w:spacing w:after="0" w:line="169" w:lineRule="exact"/>
              <w:rPr>
                <w:sz w:val="20"/>
                <w:szCs w:val="20"/>
                <w:color w:val="auto"/>
              </w:rPr>
            </w:pPr>
            <w:r>
              <w:rPr>
                <w:rFonts w:ascii="Arial" w:cs="Arial" w:eastAsia="Arial" w:hAnsi="Arial"/>
                <w:sz w:val="16"/>
                <w:szCs w:val="16"/>
                <w:color w:val="auto"/>
              </w:rPr>
              <w:t>-</w:t>
            </w:r>
          </w:p>
        </w:tc>
        <w:tc>
          <w:tcPr>
            <w:tcW w:w="5480" w:type="dxa"/>
            <w:vAlign w:val="bottom"/>
            <w:shd w:val="clear" w:color="auto" w:fill="9DBDE4"/>
          </w:tcPr>
          <w:p>
            <w:pPr>
              <w:ind w:left="80"/>
              <w:spacing w:after="0" w:line="169" w:lineRule="exact"/>
              <w:rPr>
                <w:sz w:val="20"/>
                <w:szCs w:val="20"/>
                <w:color w:val="auto"/>
              </w:rPr>
            </w:pPr>
            <w:r>
              <w:rPr>
                <w:rFonts w:ascii="Arial" w:cs="Arial" w:eastAsia="Arial" w:hAnsi="Arial"/>
                <w:sz w:val="16"/>
                <w:szCs w:val="16"/>
                <w:color w:val="auto"/>
                <w:w w:val="99"/>
              </w:rPr>
              <w:t>Grant Date Fair Value of Stock Awards and Option Awards Granted in Fiscal</w:t>
            </w:r>
          </w:p>
        </w:tc>
        <w:tc>
          <w:tcPr>
            <w:tcW w:w="280" w:type="dxa"/>
            <w:vAlign w:val="bottom"/>
            <w:shd w:val="clear" w:color="auto" w:fill="9DBDE4"/>
          </w:tcPr>
          <w:p>
            <w:pPr>
              <w:spacing w:after="0"/>
              <w:rPr>
                <w:sz w:val="14"/>
                <w:szCs w:val="14"/>
                <w:color w:val="auto"/>
              </w:rPr>
            </w:pPr>
          </w:p>
        </w:tc>
        <w:tc>
          <w:tcPr>
            <w:tcW w:w="1080" w:type="dxa"/>
            <w:vAlign w:val="bottom"/>
            <w:shd w:val="clear" w:color="auto" w:fill="9DBDE4"/>
          </w:tcPr>
          <w:p>
            <w:pPr>
              <w:spacing w:after="0"/>
              <w:rPr>
                <w:sz w:val="14"/>
                <w:szCs w:val="14"/>
                <w:color w:val="auto"/>
              </w:rPr>
            </w:pPr>
          </w:p>
        </w:tc>
        <w:tc>
          <w:tcPr>
            <w:tcW w:w="1080" w:type="dxa"/>
            <w:vAlign w:val="bottom"/>
            <w:shd w:val="clear" w:color="auto" w:fill="9DBDE4"/>
          </w:tcPr>
          <w:p>
            <w:pPr>
              <w:spacing w:after="0"/>
              <w:rPr>
                <w:sz w:val="14"/>
                <w:szCs w:val="14"/>
                <w:color w:val="auto"/>
              </w:rPr>
            </w:pPr>
          </w:p>
        </w:tc>
        <w:tc>
          <w:tcPr>
            <w:tcW w:w="1060" w:type="dxa"/>
            <w:vAlign w:val="bottom"/>
            <w:shd w:val="clear" w:color="auto" w:fill="9DBDE4"/>
          </w:tcPr>
          <w:p>
            <w:pPr>
              <w:spacing w:after="0"/>
              <w:rPr>
                <w:sz w:val="14"/>
                <w:szCs w:val="14"/>
                <w:color w:val="auto"/>
              </w:rPr>
            </w:pPr>
          </w:p>
        </w:tc>
      </w:tr>
      <w:tr>
        <w:trPr>
          <w:trHeight w:val="193"/>
        </w:trPr>
        <w:tc>
          <w:tcPr>
            <w:tcW w:w="340" w:type="dxa"/>
            <w:vAlign w:val="bottom"/>
            <w:shd w:val="clear" w:color="auto" w:fill="9DBDE4"/>
          </w:tcPr>
          <w:p>
            <w:pPr>
              <w:spacing w:after="0"/>
              <w:rPr>
                <w:sz w:val="16"/>
                <w:szCs w:val="16"/>
                <w:color w:val="auto"/>
              </w:rPr>
            </w:pPr>
          </w:p>
        </w:tc>
        <w:tc>
          <w:tcPr>
            <w:tcW w:w="5480" w:type="dxa"/>
            <w:vAlign w:val="bottom"/>
            <w:shd w:val="clear" w:color="auto" w:fill="9DBDE4"/>
          </w:tcPr>
          <w:p>
            <w:pPr>
              <w:ind w:left="80"/>
              <w:spacing w:after="0"/>
              <w:rPr>
                <w:sz w:val="20"/>
                <w:szCs w:val="20"/>
                <w:color w:val="auto"/>
              </w:rPr>
            </w:pPr>
            <w:r>
              <w:rPr>
                <w:rFonts w:ascii="Arial" w:cs="Arial" w:eastAsia="Arial" w:hAnsi="Arial"/>
                <w:sz w:val="16"/>
                <w:szCs w:val="16"/>
                <w:color w:val="auto"/>
              </w:rPr>
              <w:t>Year</w:t>
            </w:r>
          </w:p>
        </w:tc>
        <w:tc>
          <w:tcPr>
            <w:tcW w:w="280" w:type="dxa"/>
            <w:vAlign w:val="bottom"/>
            <w:shd w:val="clear" w:color="auto" w:fill="9DBDE4"/>
          </w:tcPr>
          <w:p>
            <w:pPr>
              <w:jc w:val="center"/>
              <w:spacing w:after="0"/>
              <w:rPr>
                <w:sz w:val="20"/>
                <w:szCs w:val="20"/>
                <w:color w:val="auto"/>
              </w:rPr>
            </w:pPr>
            <w:r>
              <w:rPr>
                <w:rFonts w:ascii="Arial" w:cs="Arial" w:eastAsia="Arial" w:hAnsi="Arial"/>
                <w:sz w:val="16"/>
                <w:szCs w:val="16"/>
                <w:color w:val="auto"/>
                <w:w w:val="91"/>
              </w:rPr>
              <w:t>(b)</w:t>
            </w:r>
          </w:p>
        </w:tc>
        <w:tc>
          <w:tcPr>
            <w:tcW w:w="1080" w:type="dxa"/>
            <w:vAlign w:val="bottom"/>
            <w:shd w:val="clear" w:color="auto" w:fill="9DBDE4"/>
          </w:tcPr>
          <w:p>
            <w:pPr>
              <w:jc w:val="right"/>
              <w:ind w:right="22"/>
              <w:spacing w:after="0"/>
              <w:rPr>
                <w:sz w:val="20"/>
                <w:szCs w:val="20"/>
                <w:color w:val="auto"/>
              </w:rPr>
            </w:pPr>
            <w:r>
              <w:rPr>
                <w:rFonts w:ascii="Arial" w:cs="Arial" w:eastAsia="Arial" w:hAnsi="Arial"/>
                <w:sz w:val="16"/>
                <w:szCs w:val="16"/>
                <w:color w:val="auto"/>
              </w:rPr>
              <w:t>($6,200,006)</w:t>
            </w:r>
          </w:p>
        </w:tc>
        <w:tc>
          <w:tcPr>
            <w:tcW w:w="1080" w:type="dxa"/>
            <w:vAlign w:val="bottom"/>
            <w:shd w:val="clear" w:color="auto" w:fill="9DBDE4"/>
          </w:tcPr>
          <w:p>
            <w:pPr>
              <w:jc w:val="right"/>
              <w:ind w:right="42"/>
              <w:spacing w:after="0"/>
              <w:rPr>
                <w:sz w:val="20"/>
                <w:szCs w:val="20"/>
                <w:color w:val="auto"/>
              </w:rPr>
            </w:pPr>
            <w:r>
              <w:rPr>
                <w:rFonts w:ascii="Arial" w:cs="Arial" w:eastAsia="Arial" w:hAnsi="Arial"/>
                <w:sz w:val="16"/>
                <w:szCs w:val="16"/>
                <w:color w:val="auto"/>
              </w:rPr>
              <w:t>($7,249,979)</w:t>
            </w:r>
          </w:p>
        </w:tc>
        <w:tc>
          <w:tcPr>
            <w:tcW w:w="1060" w:type="dxa"/>
            <w:vAlign w:val="bottom"/>
            <w:shd w:val="clear" w:color="auto" w:fill="9DBDE4"/>
          </w:tcPr>
          <w:p>
            <w:pPr>
              <w:jc w:val="right"/>
              <w:spacing w:after="0"/>
              <w:rPr>
                <w:sz w:val="20"/>
                <w:szCs w:val="20"/>
                <w:color w:val="auto"/>
              </w:rPr>
            </w:pPr>
            <w:r>
              <w:rPr>
                <w:rFonts w:ascii="Arial" w:cs="Arial" w:eastAsia="Arial" w:hAnsi="Arial"/>
                <w:sz w:val="16"/>
                <w:szCs w:val="16"/>
                <w:color w:val="auto"/>
              </w:rPr>
              <w:t>($7,499,989)</w:t>
            </w:r>
          </w:p>
        </w:tc>
      </w:tr>
      <w:tr>
        <w:trPr>
          <w:trHeight w:val="169"/>
        </w:trPr>
        <w:tc>
          <w:tcPr>
            <w:tcW w:w="340" w:type="dxa"/>
            <w:vAlign w:val="bottom"/>
          </w:tcPr>
          <w:p>
            <w:pPr>
              <w:jc w:val="center"/>
              <w:spacing w:after="0" w:line="169" w:lineRule="exact"/>
              <w:rPr>
                <w:sz w:val="20"/>
                <w:szCs w:val="20"/>
                <w:color w:val="auto"/>
              </w:rPr>
            </w:pPr>
            <w:r>
              <w:rPr>
                <w:rFonts w:ascii="Arial" w:cs="Arial" w:eastAsia="Arial" w:hAnsi="Arial"/>
                <w:sz w:val="16"/>
                <w:szCs w:val="16"/>
                <w:color w:val="auto"/>
              </w:rPr>
              <w:t>+</w:t>
            </w:r>
          </w:p>
        </w:tc>
        <w:tc>
          <w:tcPr>
            <w:tcW w:w="5480" w:type="dxa"/>
            <w:vAlign w:val="bottom"/>
          </w:tcPr>
          <w:p>
            <w:pPr>
              <w:ind w:left="80"/>
              <w:spacing w:after="0" w:line="169" w:lineRule="exact"/>
              <w:rPr>
                <w:sz w:val="20"/>
                <w:szCs w:val="20"/>
                <w:color w:val="auto"/>
              </w:rPr>
            </w:pPr>
            <w:r>
              <w:rPr>
                <w:rFonts w:ascii="Arial" w:cs="Arial" w:eastAsia="Arial" w:hAnsi="Arial"/>
                <w:sz w:val="16"/>
                <w:szCs w:val="16"/>
                <w:color w:val="auto"/>
                <w:w w:val="97"/>
              </w:rPr>
              <w:t>Fair Value at Fiscal Year End of Outstanding and Unvested Stock Awards and</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3"/>
        </w:trPr>
        <w:tc>
          <w:tcPr>
            <w:tcW w:w="340" w:type="dxa"/>
            <w:vAlign w:val="bottom"/>
          </w:tcPr>
          <w:p>
            <w:pPr>
              <w:spacing w:after="0"/>
              <w:rPr>
                <w:sz w:val="16"/>
                <w:szCs w:val="16"/>
                <w:color w:val="auto"/>
              </w:rPr>
            </w:pPr>
          </w:p>
        </w:tc>
        <w:tc>
          <w:tcPr>
            <w:tcW w:w="5480" w:type="dxa"/>
            <w:vAlign w:val="bottom"/>
          </w:tcPr>
          <w:p>
            <w:pPr>
              <w:ind w:left="80"/>
              <w:spacing w:after="0"/>
              <w:rPr>
                <w:sz w:val="20"/>
                <w:szCs w:val="20"/>
                <w:color w:val="auto"/>
              </w:rPr>
            </w:pPr>
            <w:r>
              <w:rPr>
                <w:rFonts w:ascii="Arial" w:cs="Arial" w:eastAsia="Arial" w:hAnsi="Arial"/>
                <w:sz w:val="16"/>
                <w:szCs w:val="16"/>
                <w:color w:val="auto"/>
              </w:rPr>
              <w:t>Option Awards Granted in Fiscal Year</w:t>
            </w:r>
          </w:p>
        </w:tc>
        <w:tc>
          <w:tcPr>
            <w:tcW w:w="280" w:type="dxa"/>
            <w:vAlign w:val="bottom"/>
          </w:tcPr>
          <w:p>
            <w:pPr>
              <w:jc w:val="center"/>
              <w:spacing w:after="0"/>
              <w:rPr>
                <w:sz w:val="20"/>
                <w:szCs w:val="20"/>
                <w:color w:val="auto"/>
              </w:rPr>
            </w:pPr>
            <w:r>
              <w:rPr>
                <w:rFonts w:ascii="Arial" w:cs="Arial" w:eastAsia="Arial" w:hAnsi="Arial"/>
                <w:sz w:val="16"/>
                <w:szCs w:val="16"/>
                <w:color w:val="auto"/>
                <w:w w:val="96"/>
              </w:rPr>
              <w:t>(c)</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$9,886,328</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$5,268,521</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$516,852</w:t>
            </w:r>
          </w:p>
        </w:tc>
      </w:tr>
      <w:tr>
        <w:trPr>
          <w:trHeight w:val="169"/>
        </w:trPr>
        <w:tc>
          <w:tcPr>
            <w:tcW w:w="340" w:type="dxa"/>
            <w:vAlign w:val="bottom"/>
            <w:shd w:val="clear" w:color="auto" w:fill="9DBDE4"/>
          </w:tcPr>
          <w:p>
            <w:pPr>
              <w:jc w:val="center"/>
              <w:spacing w:after="0" w:line="169" w:lineRule="exact"/>
              <w:rPr>
                <w:sz w:val="20"/>
                <w:szCs w:val="20"/>
                <w:color w:val="auto"/>
              </w:rPr>
            </w:pPr>
            <w:r>
              <w:rPr>
                <w:rFonts w:ascii="Arial" w:cs="Arial" w:eastAsia="Arial" w:hAnsi="Arial"/>
                <w:sz w:val="16"/>
                <w:szCs w:val="16"/>
                <w:color w:val="auto"/>
                <w:w w:val="93"/>
              </w:rPr>
              <w:t>+/-</w:t>
            </w:r>
          </w:p>
        </w:tc>
        <w:tc>
          <w:tcPr>
            <w:tcW w:w="5480" w:type="dxa"/>
            <w:vAlign w:val="bottom"/>
            <w:shd w:val="clear" w:color="auto" w:fill="9DBDE4"/>
          </w:tcPr>
          <w:p>
            <w:pPr>
              <w:ind w:left="80"/>
              <w:spacing w:after="0" w:line="169" w:lineRule="exact"/>
              <w:rPr>
                <w:sz w:val="20"/>
                <w:szCs w:val="20"/>
                <w:color w:val="auto"/>
              </w:rPr>
            </w:pPr>
            <w:r>
              <w:rPr>
                <w:rFonts w:ascii="Arial" w:cs="Arial" w:eastAsia="Arial" w:hAnsi="Arial"/>
                <w:sz w:val="16"/>
                <w:szCs w:val="16"/>
                <w:color w:val="auto"/>
                <w:w w:val="98"/>
              </w:rPr>
              <w:t>Change in Fair Value of Outstanding and Unvested Stock Awards and Option</w:t>
            </w:r>
          </w:p>
        </w:tc>
        <w:tc>
          <w:tcPr>
            <w:tcW w:w="280" w:type="dxa"/>
            <w:vAlign w:val="bottom"/>
            <w:shd w:val="clear" w:color="auto" w:fill="9DBDE4"/>
          </w:tcPr>
          <w:p>
            <w:pPr>
              <w:spacing w:after="0"/>
              <w:rPr>
                <w:sz w:val="14"/>
                <w:szCs w:val="14"/>
                <w:color w:val="auto"/>
              </w:rPr>
            </w:pPr>
          </w:p>
        </w:tc>
        <w:tc>
          <w:tcPr>
            <w:tcW w:w="1080" w:type="dxa"/>
            <w:vAlign w:val="bottom"/>
            <w:shd w:val="clear" w:color="auto" w:fill="9DBDE4"/>
          </w:tcPr>
          <w:p>
            <w:pPr>
              <w:spacing w:after="0"/>
              <w:rPr>
                <w:sz w:val="14"/>
                <w:szCs w:val="14"/>
                <w:color w:val="auto"/>
              </w:rPr>
            </w:pPr>
          </w:p>
        </w:tc>
        <w:tc>
          <w:tcPr>
            <w:tcW w:w="1080" w:type="dxa"/>
            <w:vAlign w:val="bottom"/>
            <w:shd w:val="clear" w:color="auto" w:fill="9DBDE4"/>
          </w:tcPr>
          <w:p>
            <w:pPr>
              <w:spacing w:after="0"/>
              <w:rPr>
                <w:sz w:val="14"/>
                <w:szCs w:val="14"/>
                <w:color w:val="auto"/>
              </w:rPr>
            </w:pPr>
          </w:p>
        </w:tc>
        <w:tc>
          <w:tcPr>
            <w:tcW w:w="1060" w:type="dxa"/>
            <w:vAlign w:val="bottom"/>
            <w:shd w:val="clear" w:color="auto" w:fill="9DBDE4"/>
          </w:tcPr>
          <w:p>
            <w:pPr>
              <w:spacing w:after="0"/>
              <w:rPr>
                <w:sz w:val="14"/>
                <w:szCs w:val="14"/>
                <w:color w:val="auto"/>
              </w:rPr>
            </w:pPr>
          </w:p>
        </w:tc>
      </w:tr>
      <w:tr>
        <w:trPr>
          <w:trHeight w:val="193"/>
        </w:trPr>
        <w:tc>
          <w:tcPr>
            <w:tcW w:w="340" w:type="dxa"/>
            <w:vAlign w:val="bottom"/>
            <w:shd w:val="clear" w:color="auto" w:fill="9DBDE4"/>
          </w:tcPr>
          <w:p>
            <w:pPr>
              <w:spacing w:after="0"/>
              <w:rPr>
                <w:sz w:val="16"/>
                <w:szCs w:val="16"/>
                <w:color w:val="auto"/>
              </w:rPr>
            </w:pPr>
          </w:p>
        </w:tc>
        <w:tc>
          <w:tcPr>
            <w:tcW w:w="5480" w:type="dxa"/>
            <w:vAlign w:val="bottom"/>
            <w:shd w:val="clear" w:color="auto" w:fill="9DBDE4"/>
          </w:tcPr>
          <w:p>
            <w:pPr>
              <w:ind w:left="80"/>
              <w:spacing w:after="0"/>
              <w:rPr>
                <w:sz w:val="20"/>
                <w:szCs w:val="20"/>
                <w:color w:val="auto"/>
              </w:rPr>
            </w:pPr>
            <w:r>
              <w:rPr>
                <w:rFonts w:ascii="Arial" w:cs="Arial" w:eastAsia="Arial" w:hAnsi="Arial"/>
                <w:sz w:val="16"/>
                <w:szCs w:val="16"/>
                <w:color w:val="auto"/>
              </w:rPr>
              <w:t>Awards Granted in Prior Fiscal Years</w:t>
            </w:r>
          </w:p>
        </w:tc>
        <w:tc>
          <w:tcPr>
            <w:tcW w:w="280" w:type="dxa"/>
            <w:vAlign w:val="bottom"/>
            <w:shd w:val="clear" w:color="auto" w:fill="9DBDE4"/>
          </w:tcPr>
          <w:p>
            <w:pPr>
              <w:jc w:val="center"/>
              <w:spacing w:after="0"/>
              <w:rPr>
                <w:sz w:val="20"/>
                <w:szCs w:val="20"/>
                <w:color w:val="auto"/>
              </w:rPr>
            </w:pPr>
            <w:r>
              <w:rPr>
                <w:rFonts w:ascii="Arial" w:cs="Arial" w:eastAsia="Arial" w:hAnsi="Arial"/>
                <w:sz w:val="16"/>
                <w:szCs w:val="16"/>
                <w:color w:val="auto"/>
                <w:w w:val="91"/>
              </w:rPr>
              <w:t>(d)</w:t>
            </w:r>
          </w:p>
        </w:tc>
        <w:tc>
          <w:tcPr>
            <w:tcW w:w="1080" w:type="dxa"/>
            <w:vAlign w:val="bottom"/>
            <w:shd w:val="clear" w:color="auto" w:fill="9DBDE4"/>
          </w:tcPr>
          <w:p>
            <w:pPr>
              <w:jc w:val="right"/>
              <w:ind w:right="62"/>
              <w:spacing w:after="0"/>
              <w:rPr>
                <w:sz w:val="20"/>
                <w:szCs w:val="20"/>
                <w:color w:val="auto"/>
              </w:rPr>
            </w:pPr>
            <w:r>
              <w:rPr>
                <w:rFonts w:ascii="Arial" w:cs="Arial" w:eastAsia="Arial" w:hAnsi="Arial"/>
                <w:sz w:val="16"/>
                <w:szCs w:val="16"/>
                <w:color w:val="auto"/>
              </w:rPr>
              <w:t>$0</w:t>
            </w:r>
          </w:p>
        </w:tc>
        <w:tc>
          <w:tcPr>
            <w:tcW w:w="1080" w:type="dxa"/>
            <w:vAlign w:val="bottom"/>
            <w:shd w:val="clear" w:color="auto" w:fill="9DBDE4"/>
          </w:tcPr>
          <w:p>
            <w:pPr>
              <w:jc w:val="right"/>
              <w:ind w:right="42"/>
              <w:spacing w:after="0"/>
              <w:rPr>
                <w:sz w:val="20"/>
                <w:szCs w:val="20"/>
                <w:color w:val="auto"/>
              </w:rPr>
            </w:pPr>
            <w:r>
              <w:rPr>
                <w:rFonts w:ascii="Arial" w:cs="Arial" w:eastAsia="Arial" w:hAnsi="Arial"/>
                <w:sz w:val="16"/>
                <w:szCs w:val="16"/>
                <w:color w:val="auto"/>
              </w:rPr>
              <w:t>($4,783,398)</w:t>
            </w:r>
          </w:p>
        </w:tc>
        <w:tc>
          <w:tcPr>
            <w:tcW w:w="1060" w:type="dxa"/>
            <w:vAlign w:val="bottom"/>
            <w:shd w:val="clear" w:color="auto" w:fill="9DBDE4"/>
          </w:tcPr>
          <w:p>
            <w:pPr>
              <w:jc w:val="right"/>
              <w:spacing w:after="0"/>
              <w:rPr>
                <w:sz w:val="20"/>
                <w:szCs w:val="20"/>
                <w:color w:val="auto"/>
              </w:rPr>
            </w:pPr>
            <w:r>
              <w:rPr>
                <w:rFonts w:ascii="Arial" w:cs="Arial" w:eastAsia="Arial" w:hAnsi="Arial"/>
                <w:sz w:val="16"/>
                <w:szCs w:val="16"/>
                <w:color w:val="auto"/>
              </w:rPr>
              <w:t>($1,540,093)</w:t>
            </w:r>
          </w:p>
        </w:tc>
      </w:tr>
      <w:tr>
        <w:trPr>
          <w:trHeight w:val="169"/>
        </w:trPr>
        <w:tc>
          <w:tcPr>
            <w:tcW w:w="340" w:type="dxa"/>
            <w:vAlign w:val="bottom"/>
          </w:tcPr>
          <w:p>
            <w:pPr>
              <w:jc w:val="center"/>
              <w:spacing w:after="0" w:line="169" w:lineRule="exact"/>
              <w:rPr>
                <w:sz w:val="20"/>
                <w:szCs w:val="20"/>
                <w:color w:val="auto"/>
              </w:rPr>
            </w:pPr>
            <w:r>
              <w:rPr>
                <w:rFonts w:ascii="Arial" w:cs="Arial" w:eastAsia="Arial" w:hAnsi="Arial"/>
                <w:sz w:val="16"/>
                <w:szCs w:val="16"/>
                <w:color w:val="auto"/>
              </w:rPr>
              <w:t>+</w:t>
            </w:r>
          </w:p>
        </w:tc>
        <w:tc>
          <w:tcPr>
            <w:tcW w:w="5480" w:type="dxa"/>
            <w:vAlign w:val="bottom"/>
          </w:tcPr>
          <w:p>
            <w:pPr>
              <w:ind w:left="80"/>
              <w:spacing w:after="0" w:line="169" w:lineRule="exact"/>
              <w:rPr>
                <w:sz w:val="20"/>
                <w:szCs w:val="20"/>
                <w:color w:val="auto"/>
              </w:rPr>
            </w:pPr>
            <w:r>
              <w:rPr>
                <w:rFonts w:ascii="Arial" w:cs="Arial" w:eastAsia="Arial" w:hAnsi="Arial"/>
                <w:sz w:val="16"/>
                <w:szCs w:val="16"/>
                <w:color w:val="auto"/>
              </w:rPr>
              <w:t>Fair Value at Vesting of Stock Awards and Option Awards Granted in Fiscal</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3"/>
        </w:trPr>
        <w:tc>
          <w:tcPr>
            <w:tcW w:w="340" w:type="dxa"/>
            <w:vAlign w:val="bottom"/>
          </w:tcPr>
          <w:p>
            <w:pPr>
              <w:spacing w:after="0"/>
              <w:rPr>
                <w:sz w:val="16"/>
                <w:szCs w:val="16"/>
                <w:color w:val="auto"/>
              </w:rPr>
            </w:pPr>
          </w:p>
        </w:tc>
        <w:tc>
          <w:tcPr>
            <w:tcW w:w="5480" w:type="dxa"/>
            <w:vAlign w:val="bottom"/>
          </w:tcPr>
          <w:p>
            <w:pPr>
              <w:ind w:left="80"/>
              <w:spacing w:after="0"/>
              <w:rPr>
                <w:sz w:val="20"/>
                <w:szCs w:val="20"/>
                <w:color w:val="auto"/>
              </w:rPr>
            </w:pPr>
            <w:r>
              <w:rPr>
                <w:rFonts w:ascii="Arial" w:cs="Arial" w:eastAsia="Arial" w:hAnsi="Arial"/>
                <w:sz w:val="16"/>
                <w:szCs w:val="16"/>
                <w:color w:val="auto"/>
              </w:rPr>
              <w:t>Year That Vested During Fiscal Year</w:t>
            </w:r>
          </w:p>
        </w:tc>
        <w:tc>
          <w:tcPr>
            <w:tcW w:w="280" w:type="dxa"/>
            <w:vAlign w:val="bottom"/>
          </w:tcPr>
          <w:p>
            <w:pPr>
              <w:jc w:val="center"/>
              <w:spacing w:after="0"/>
              <w:rPr>
                <w:sz w:val="20"/>
                <w:szCs w:val="20"/>
                <w:color w:val="auto"/>
              </w:rPr>
            </w:pPr>
            <w:r>
              <w:rPr>
                <w:rFonts w:ascii="Arial" w:cs="Arial" w:eastAsia="Arial" w:hAnsi="Arial"/>
                <w:sz w:val="16"/>
                <w:szCs w:val="16"/>
                <w:color w:val="auto"/>
                <w:w w:val="91"/>
              </w:rPr>
              <w:t>(e)</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$0</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$383,070</w:t>
            </w:r>
          </w:p>
        </w:tc>
      </w:tr>
      <w:tr>
        <w:trPr>
          <w:trHeight w:val="169"/>
        </w:trPr>
        <w:tc>
          <w:tcPr>
            <w:tcW w:w="340" w:type="dxa"/>
            <w:vAlign w:val="bottom"/>
            <w:shd w:val="clear" w:color="auto" w:fill="9DBDE4"/>
          </w:tcPr>
          <w:p>
            <w:pPr>
              <w:jc w:val="center"/>
              <w:spacing w:after="0" w:line="169" w:lineRule="exact"/>
              <w:rPr>
                <w:sz w:val="20"/>
                <w:szCs w:val="20"/>
                <w:color w:val="auto"/>
              </w:rPr>
            </w:pPr>
            <w:r>
              <w:rPr>
                <w:rFonts w:ascii="Arial" w:cs="Arial" w:eastAsia="Arial" w:hAnsi="Arial"/>
                <w:sz w:val="16"/>
                <w:szCs w:val="16"/>
                <w:color w:val="auto"/>
                <w:w w:val="93"/>
              </w:rPr>
              <w:t>+/-</w:t>
            </w:r>
          </w:p>
        </w:tc>
        <w:tc>
          <w:tcPr>
            <w:tcW w:w="5480" w:type="dxa"/>
            <w:vAlign w:val="bottom"/>
            <w:shd w:val="clear" w:color="auto" w:fill="9DBDE4"/>
          </w:tcPr>
          <w:p>
            <w:pPr>
              <w:ind w:left="80"/>
              <w:spacing w:after="0" w:line="169" w:lineRule="exact"/>
              <w:rPr>
                <w:sz w:val="20"/>
                <w:szCs w:val="20"/>
                <w:color w:val="auto"/>
              </w:rPr>
            </w:pPr>
            <w:r>
              <w:rPr>
                <w:rFonts w:ascii="Arial" w:cs="Arial" w:eastAsia="Arial" w:hAnsi="Arial"/>
                <w:sz w:val="16"/>
                <w:szCs w:val="16"/>
                <w:color w:val="auto"/>
                <w:w w:val="98"/>
              </w:rPr>
              <w:t>Change in Fair Value as of Vesting Date of Stock Awards and Option Awards</w:t>
            </w:r>
          </w:p>
        </w:tc>
        <w:tc>
          <w:tcPr>
            <w:tcW w:w="280" w:type="dxa"/>
            <w:vAlign w:val="bottom"/>
            <w:shd w:val="clear" w:color="auto" w:fill="9DBDE4"/>
          </w:tcPr>
          <w:p>
            <w:pPr>
              <w:spacing w:after="0"/>
              <w:rPr>
                <w:sz w:val="14"/>
                <w:szCs w:val="14"/>
                <w:color w:val="auto"/>
              </w:rPr>
            </w:pPr>
          </w:p>
        </w:tc>
        <w:tc>
          <w:tcPr>
            <w:tcW w:w="1080" w:type="dxa"/>
            <w:vAlign w:val="bottom"/>
            <w:shd w:val="clear" w:color="auto" w:fill="9DBDE4"/>
          </w:tcPr>
          <w:p>
            <w:pPr>
              <w:spacing w:after="0"/>
              <w:rPr>
                <w:sz w:val="14"/>
                <w:szCs w:val="14"/>
                <w:color w:val="auto"/>
              </w:rPr>
            </w:pPr>
          </w:p>
        </w:tc>
        <w:tc>
          <w:tcPr>
            <w:tcW w:w="1080" w:type="dxa"/>
            <w:vAlign w:val="bottom"/>
            <w:shd w:val="clear" w:color="auto" w:fill="9DBDE4"/>
          </w:tcPr>
          <w:p>
            <w:pPr>
              <w:spacing w:after="0"/>
              <w:rPr>
                <w:sz w:val="14"/>
                <w:szCs w:val="14"/>
                <w:color w:val="auto"/>
              </w:rPr>
            </w:pPr>
          </w:p>
        </w:tc>
        <w:tc>
          <w:tcPr>
            <w:tcW w:w="1060" w:type="dxa"/>
            <w:vAlign w:val="bottom"/>
            <w:shd w:val="clear" w:color="auto" w:fill="9DBDE4"/>
          </w:tcPr>
          <w:p>
            <w:pPr>
              <w:spacing w:after="0"/>
              <w:rPr>
                <w:sz w:val="14"/>
                <w:szCs w:val="14"/>
                <w:color w:val="auto"/>
              </w:rPr>
            </w:pPr>
          </w:p>
        </w:tc>
      </w:tr>
      <w:tr>
        <w:trPr>
          <w:trHeight w:val="181"/>
        </w:trPr>
        <w:tc>
          <w:tcPr>
            <w:tcW w:w="340" w:type="dxa"/>
            <w:vAlign w:val="bottom"/>
            <w:shd w:val="clear" w:color="auto" w:fill="9DBDE4"/>
          </w:tcPr>
          <w:p>
            <w:pPr>
              <w:spacing w:after="0"/>
              <w:rPr>
                <w:sz w:val="15"/>
                <w:szCs w:val="15"/>
                <w:color w:val="auto"/>
              </w:rPr>
            </w:pPr>
          </w:p>
        </w:tc>
        <w:tc>
          <w:tcPr>
            <w:tcW w:w="548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w w:val="99"/>
              </w:rPr>
              <w:t>Granted in Prior Fiscal Years For Which Applicable Vesting Conditions Were</w:t>
            </w:r>
          </w:p>
        </w:tc>
        <w:tc>
          <w:tcPr>
            <w:tcW w:w="280" w:type="dxa"/>
            <w:vAlign w:val="bottom"/>
            <w:shd w:val="clear" w:color="auto" w:fill="9DBDE4"/>
          </w:tcPr>
          <w:p>
            <w:pPr>
              <w:spacing w:after="0"/>
              <w:rPr>
                <w:sz w:val="15"/>
                <w:szCs w:val="15"/>
                <w:color w:val="auto"/>
              </w:rPr>
            </w:pPr>
          </w:p>
        </w:tc>
        <w:tc>
          <w:tcPr>
            <w:tcW w:w="1080" w:type="dxa"/>
            <w:vAlign w:val="bottom"/>
            <w:shd w:val="clear" w:color="auto" w:fill="9DBDE4"/>
          </w:tcPr>
          <w:p>
            <w:pPr>
              <w:spacing w:after="0"/>
              <w:rPr>
                <w:sz w:val="15"/>
                <w:szCs w:val="15"/>
                <w:color w:val="auto"/>
              </w:rPr>
            </w:pPr>
          </w:p>
        </w:tc>
        <w:tc>
          <w:tcPr>
            <w:tcW w:w="1080" w:type="dxa"/>
            <w:vAlign w:val="bottom"/>
            <w:shd w:val="clear" w:color="auto" w:fill="9DBDE4"/>
          </w:tcPr>
          <w:p>
            <w:pPr>
              <w:spacing w:after="0"/>
              <w:rPr>
                <w:sz w:val="15"/>
                <w:szCs w:val="15"/>
                <w:color w:val="auto"/>
              </w:rPr>
            </w:pPr>
          </w:p>
        </w:tc>
        <w:tc>
          <w:tcPr>
            <w:tcW w:w="1060" w:type="dxa"/>
            <w:vAlign w:val="bottom"/>
            <w:shd w:val="clear" w:color="auto" w:fill="9DBDE4"/>
          </w:tcPr>
          <w:p>
            <w:pPr>
              <w:spacing w:after="0"/>
              <w:rPr>
                <w:sz w:val="15"/>
                <w:szCs w:val="15"/>
                <w:color w:val="auto"/>
              </w:rPr>
            </w:pPr>
          </w:p>
        </w:tc>
      </w:tr>
      <w:tr>
        <w:trPr>
          <w:trHeight w:val="193"/>
        </w:trPr>
        <w:tc>
          <w:tcPr>
            <w:tcW w:w="340" w:type="dxa"/>
            <w:vAlign w:val="bottom"/>
            <w:shd w:val="clear" w:color="auto" w:fill="9DBDE4"/>
          </w:tcPr>
          <w:p>
            <w:pPr>
              <w:spacing w:after="0"/>
              <w:rPr>
                <w:sz w:val="16"/>
                <w:szCs w:val="16"/>
                <w:color w:val="auto"/>
              </w:rPr>
            </w:pPr>
          </w:p>
        </w:tc>
        <w:tc>
          <w:tcPr>
            <w:tcW w:w="5480" w:type="dxa"/>
            <w:vAlign w:val="bottom"/>
            <w:shd w:val="clear" w:color="auto" w:fill="9DBDE4"/>
          </w:tcPr>
          <w:p>
            <w:pPr>
              <w:ind w:left="80"/>
              <w:spacing w:after="0"/>
              <w:rPr>
                <w:sz w:val="20"/>
                <w:szCs w:val="20"/>
                <w:color w:val="auto"/>
              </w:rPr>
            </w:pPr>
            <w:r>
              <w:rPr>
                <w:rFonts w:ascii="Arial" w:cs="Arial" w:eastAsia="Arial" w:hAnsi="Arial"/>
                <w:sz w:val="16"/>
                <w:szCs w:val="16"/>
                <w:color w:val="auto"/>
              </w:rPr>
              <w:t>Satisfied During Fiscal Year</w:t>
            </w:r>
          </w:p>
        </w:tc>
        <w:tc>
          <w:tcPr>
            <w:tcW w:w="280" w:type="dxa"/>
            <w:vAlign w:val="bottom"/>
            <w:shd w:val="clear" w:color="auto" w:fill="9DBDE4"/>
          </w:tcPr>
          <w:p>
            <w:pPr>
              <w:jc w:val="center"/>
              <w:spacing w:after="0"/>
              <w:rPr>
                <w:sz w:val="20"/>
                <w:szCs w:val="20"/>
                <w:color w:val="auto"/>
              </w:rPr>
            </w:pPr>
            <w:r>
              <w:rPr>
                <w:rFonts w:ascii="Arial" w:cs="Arial" w:eastAsia="Arial" w:hAnsi="Arial"/>
                <w:sz w:val="16"/>
                <w:szCs w:val="16"/>
                <w:color w:val="auto"/>
                <w:w w:val="92"/>
              </w:rPr>
              <w:t>(f)</w:t>
            </w:r>
          </w:p>
        </w:tc>
        <w:tc>
          <w:tcPr>
            <w:tcW w:w="1080" w:type="dxa"/>
            <w:vAlign w:val="bottom"/>
            <w:shd w:val="clear" w:color="auto" w:fill="9DBDE4"/>
          </w:tcPr>
          <w:p>
            <w:pPr>
              <w:jc w:val="right"/>
              <w:ind w:right="62"/>
              <w:spacing w:after="0"/>
              <w:rPr>
                <w:sz w:val="20"/>
                <w:szCs w:val="20"/>
                <w:color w:val="auto"/>
              </w:rPr>
            </w:pPr>
            <w:r>
              <w:rPr>
                <w:rFonts w:ascii="Arial" w:cs="Arial" w:eastAsia="Arial" w:hAnsi="Arial"/>
                <w:sz w:val="16"/>
                <w:szCs w:val="16"/>
                <w:color w:val="auto"/>
              </w:rPr>
              <w:t>$0</w:t>
            </w:r>
          </w:p>
        </w:tc>
        <w:tc>
          <w:tcPr>
            <w:tcW w:w="1080" w:type="dxa"/>
            <w:vAlign w:val="bottom"/>
            <w:shd w:val="clear" w:color="auto" w:fill="9DBDE4"/>
          </w:tcPr>
          <w:p>
            <w:pPr>
              <w:jc w:val="right"/>
              <w:ind w:right="82"/>
              <w:spacing w:after="0"/>
              <w:rPr>
                <w:sz w:val="20"/>
                <w:szCs w:val="20"/>
                <w:color w:val="auto"/>
              </w:rPr>
            </w:pPr>
            <w:r>
              <w:rPr>
                <w:rFonts w:ascii="Arial" w:cs="Arial" w:eastAsia="Arial" w:hAnsi="Arial"/>
                <w:sz w:val="16"/>
                <w:szCs w:val="16"/>
                <w:color w:val="auto"/>
              </w:rPr>
              <w:t>$0</w:t>
            </w:r>
          </w:p>
        </w:tc>
        <w:tc>
          <w:tcPr>
            <w:tcW w:w="1060" w:type="dxa"/>
            <w:vAlign w:val="bottom"/>
            <w:shd w:val="clear" w:color="auto" w:fill="9DBDE4"/>
          </w:tcPr>
          <w:p>
            <w:pPr>
              <w:jc w:val="right"/>
              <w:spacing w:after="0"/>
              <w:rPr>
                <w:sz w:val="20"/>
                <w:szCs w:val="20"/>
                <w:color w:val="auto"/>
              </w:rPr>
            </w:pPr>
            <w:r>
              <w:rPr>
                <w:rFonts w:ascii="Arial" w:cs="Arial" w:eastAsia="Arial" w:hAnsi="Arial"/>
                <w:sz w:val="16"/>
                <w:szCs w:val="16"/>
                <w:color w:val="auto"/>
              </w:rPr>
              <w:t>($429,451)</w:t>
            </w:r>
          </w:p>
        </w:tc>
      </w:tr>
      <w:tr>
        <w:trPr>
          <w:trHeight w:val="169"/>
        </w:trPr>
        <w:tc>
          <w:tcPr>
            <w:tcW w:w="340" w:type="dxa"/>
            <w:vAlign w:val="bottom"/>
          </w:tcPr>
          <w:p>
            <w:pPr>
              <w:jc w:val="center"/>
              <w:spacing w:after="0" w:line="169" w:lineRule="exact"/>
              <w:rPr>
                <w:sz w:val="20"/>
                <w:szCs w:val="20"/>
                <w:color w:val="auto"/>
              </w:rPr>
            </w:pPr>
            <w:r>
              <w:rPr>
                <w:rFonts w:ascii="Arial" w:cs="Arial" w:eastAsia="Arial" w:hAnsi="Arial"/>
                <w:sz w:val="16"/>
                <w:szCs w:val="16"/>
                <w:color w:val="auto"/>
              </w:rPr>
              <w:t>-</w:t>
            </w:r>
          </w:p>
        </w:tc>
        <w:tc>
          <w:tcPr>
            <w:tcW w:w="5480" w:type="dxa"/>
            <w:vAlign w:val="bottom"/>
          </w:tcPr>
          <w:p>
            <w:pPr>
              <w:ind w:left="80"/>
              <w:spacing w:after="0" w:line="169" w:lineRule="exact"/>
              <w:rPr>
                <w:sz w:val="20"/>
                <w:szCs w:val="20"/>
                <w:color w:val="auto"/>
              </w:rPr>
            </w:pPr>
            <w:r>
              <w:rPr>
                <w:rFonts w:ascii="Arial" w:cs="Arial" w:eastAsia="Arial" w:hAnsi="Arial"/>
                <w:sz w:val="16"/>
                <w:szCs w:val="16"/>
                <w:color w:val="auto"/>
              </w:rPr>
              <w:t>Fair Value as of Prior Fiscal Year End of Stock Awards and Option Awards</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1"/>
        </w:trPr>
        <w:tc>
          <w:tcPr>
            <w:tcW w:w="340" w:type="dxa"/>
            <w:vAlign w:val="bottom"/>
          </w:tcPr>
          <w:p>
            <w:pPr>
              <w:spacing w:after="0"/>
              <w:rPr>
                <w:sz w:val="15"/>
                <w:szCs w:val="15"/>
                <w:color w:val="auto"/>
              </w:rPr>
            </w:pPr>
          </w:p>
        </w:tc>
        <w:tc>
          <w:tcPr>
            <w:tcW w:w="5480" w:type="dxa"/>
            <w:vAlign w:val="bottom"/>
          </w:tcPr>
          <w:p>
            <w:pPr>
              <w:ind w:left="80"/>
              <w:spacing w:after="0" w:line="181" w:lineRule="exact"/>
              <w:rPr>
                <w:sz w:val="20"/>
                <w:szCs w:val="20"/>
                <w:color w:val="auto"/>
              </w:rPr>
            </w:pPr>
            <w:r>
              <w:rPr>
                <w:rFonts w:ascii="Arial" w:cs="Arial" w:eastAsia="Arial" w:hAnsi="Arial"/>
                <w:sz w:val="16"/>
                <w:szCs w:val="16"/>
                <w:color w:val="auto"/>
              </w:rPr>
              <w:t>Granted in Prior Fiscal Years That Failed to Meet Applicable Vesting</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3"/>
        </w:trPr>
        <w:tc>
          <w:tcPr>
            <w:tcW w:w="340" w:type="dxa"/>
            <w:vAlign w:val="bottom"/>
          </w:tcPr>
          <w:p>
            <w:pPr>
              <w:spacing w:after="0"/>
              <w:rPr>
                <w:sz w:val="16"/>
                <w:szCs w:val="16"/>
                <w:color w:val="auto"/>
              </w:rPr>
            </w:pPr>
          </w:p>
        </w:tc>
        <w:tc>
          <w:tcPr>
            <w:tcW w:w="5480" w:type="dxa"/>
            <w:vAlign w:val="bottom"/>
          </w:tcPr>
          <w:p>
            <w:pPr>
              <w:ind w:left="80"/>
              <w:spacing w:after="0"/>
              <w:rPr>
                <w:sz w:val="20"/>
                <w:szCs w:val="20"/>
                <w:color w:val="auto"/>
              </w:rPr>
            </w:pPr>
            <w:r>
              <w:rPr>
                <w:rFonts w:ascii="Arial" w:cs="Arial" w:eastAsia="Arial" w:hAnsi="Arial"/>
                <w:sz w:val="16"/>
                <w:szCs w:val="16"/>
                <w:color w:val="auto"/>
              </w:rPr>
              <w:t>Conditions During Fiscal Year</w:t>
            </w:r>
          </w:p>
        </w:tc>
        <w:tc>
          <w:tcPr>
            <w:tcW w:w="280" w:type="dxa"/>
            <w:vAlign w:val="bottom"/>
          </w:tcPr>
          <w:p>
            <w:pPr>
              <w:jc w:val="center"/>
              <w:spacing w:after="0"/>
              <w:rPr>
                <w:sz w:val="20"/>
                <w:szCs w:val="20"/>
                <w:color w:val="auto"/>
              </w:rPr>
            </w:pPr>
            <w:r>
              <w:rPr>
                <w:rFonts w:ascii="Arial" w:cs="Arial" w:eastAsia="Arial" w:hAnsi="Arial"/>
                <w:sz w:val="16"/>
                <w:szCs w:val="16"/>
                <w:color w:val="auto"/>
                <w:w w:val="91"/>
              </w:rPr>
              <w:t>(g)</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$0</w:t>
            </w:r>
          </w:p>
        </w:tc>
        <w:tc>
          <w:tcPr>
            <w:tcW w:w="1060" w:type="dxa"/>
            <w:vAlign w:val="bottom"/>
          </w:tcPr>
          <w:p>
            <w:pPr>
              <w:jc w:val="right"/>
              <w:spacing w:after="0"/>
              <w:rPr>
                <w:sz w:val="20"/>
                <w:szCs w:val="20"/>
                <w:color w:val="auto"/>
              </w:rPr>
            </w:pPr>
            <w:r>
              <w:rPr>
                <w:rFonts w:ascii="Arial" w:cs="Arial" w:eastAsia="Arial" w:hAnsi="Arial"/>
                <w:sz w:val="16"/>
                <w:szCs w:val="16"/>
                <w:color w:val="auto"/>
              </w:rPr>
              <w:t>($7,446,046)</w:t>
            </w:r>
          </w:p>
        </w:tc>
      </w:tr>
      <w:tr>
        <w:trPr>
          <w:trHeight w:val="181"/>
        </w:trPr>
        <w:tc>
          <w:tcPr>
            <w:tcW w:w="340" w:type="dxa"/>
            <w:vAlign w:val="bottom"/>
            <w:tcBorders>
              <w:bottom w:val="single" w:sz="8" w:color="284993"/>
            </w:tcBorders>
            <w:shd w:val="clear" w:color="auto" w:fill="9DBDE4"/>
          </w:tcPr>
          <w:p>
            <w:pPr>
              <w:jc w:val="center"/>
              <w:spacing w:after="0" w:line="181" w:lineRule="exact"/>
              <w:rPr>
                <w:sz w:val="20"/>
                <w:szCs w:val="20"/>
                <w:color w:val="auto"/>
              </w:rPr>
            </w:pPr>
            <w:r>
              <w:rPr>
                <w:rFonts w:ascii="Arial" w:cs="Arial" w:eastAsia="Arial" w:hAnsi="Arial"/>
                <w:sz w:val="16"/>
                <w:szCs w:val="16"/>
                <w:color w:val="auto"/>
              </w:rPr>
              <w:t>=</w:t>
            </w:r>
          </w:p>
        </w:tc>
        <w:tc>
          <w:tcPr>
            <w:tcW w:w="5480" w:type="dxa"/>
            <w:vAlign w:val="bottom"/>
            <w:tcBorders>
              <w:bottom w:val="single" w:sz="8" w:color="284993"/>
            </w:tcBorders>
            <w:shd w:val="clear" w:color="auto" w:fill="9DBDE4"/>
          </w:tcPr>
          <w:p>
            <w:pPr>
              <w:ind w:left="80"/>
              <w:spacing w:after="0" w:line="181" w:lineRule="exact"/>
              <w:rPr>
                <w:sz w:val="20"/>
                <w:szCs w:val="20"/>
                <w:color w:val="auto"/>
              </w:rPr>
            </w:pPr>
            <w:r>
              <w:rPr>
                <w:rFonts w:ascii="Arial" w:cs="Arial" w:eastAsia="Arial" w:hAnsi="Arial"/>
                <w:sz w:val="16"/>
                <w:szCs w:val="16"/>
                <w:color w:val="auto"/>
              </w:rPr>
              <w:t>Compensation Actually Paid</w:t>
            </w:r>
          </w:p>
        </w:tc>
        <w:tc>
          <w:tcPr>
            <w:tcW w:w="280" w:type="dxa"/>
            <w:vAlign w:val="bottom"/>
            <w:tcBorders>
              <w:bottom w:val="single" w:sz="8" w:color="284993"/>
            </w:tcBorders>
            <w:shd w:val="clear" w:color="auto" w:fill="9DBDE4"/>
          </w:tcPr>
          <w:p>
            <w:pPr>
              <w:spacing w:after="0"/>
              <w:rPr>
                <w:sz w:val="15"/>
                <w:szCs w:val="15"/>
                <w:color w:val="auto"/>
              </w:rPr>
            </w:pPr>
          </w:p>
        </w:tc>
        <w:tc>
          <w:tcPr>
            <w:tcW w:w="1080" w:type="dxa"/>
            <w:vAlign w:val="bottom"/>
            <w:tcBorders>
              <w:bottom w:val="single" w:sz="8" w:color="284993"/>
            </w:tcBorders>
            <w:shd w:val="clear" w:color="auto" w:fill="9DBDE4"/>
          </w:tcPr>
          <w:p>
            <w:pPr>
              <w:jc w:val="right"/>
              <w:ind w:right="62"/>
              <w:spacing w:after="0" w:line="181" w:lineRule="exact"/>
              <w:rPr>
                <w:sz w:val="20"/>
                <w:szCs w:val="20"/>
                <w:color w:val="auto"/>
              </w:rPr>
            </w:pPr>
            <w:r>
              <w:rPr>
                <w:rFonts w:ascii="Arial" w:cs="Arial" w:eastAsia="Arial" w:hAnsi="Arial"/>
                <w:sz w:val="16"/>
                <w:szCs w:val="16"/>
                <w:color w:val="auto"/>
              </w:rPr>
              <w:t>$10,687,663</w:t>
            </w:r>
          </w:p>
        </w:tc>
        <w:tc>
          <w:tcPr>
            <w:tcW w:w="1080" w:type="dxa"/>
            <w:vAlign w:val="bottom"/>
            <w:tcBorders>
              <w:bottom w:val="single" w:sz="8" w:color="284993"/>
            </w:tcBorders>
            <w:shd w:val="clear" w:color="auto" w:fill="9DBDE4"/>
          </w:tcPr>
          <w:p>
            <w:pPr>
              <w:jc w:val="right"/>
              <w:ind w:right="82"/>
              <w:spacing w:after="0" w:line="181" w:lineRule="exact"/>
              <w:rPr>
                <w:sz w:val="20"/>
                <w:szCs w:val="20"/>
                <w:color w:val="auto"/>
              </w:rPr>
            </w:pPr>
            <w:r>
              <w:rPr>
                <w:rFonts w:ascii="Arial" w:cs="Arial" w:eastAsia="Arial" w:hAnsi="Arial"/>
                <w:sz w:val="16"/>
                <w:szCs w:val="16"/>
                <w:color w:val="auto"/>
              </w:rPr>
              <w:t>$2,003,203</w:t>
            </w:r>
          </w:p>
        </w:tc>
        <w:tc>
          <w:tcPr>
            <w:tcW w:w="1060" w:type="dxa"/>
            <w:vAlign w:val="bottom"/>
            <w:tcBorders>
              <w:bottom w:val="single" w:sz="8" w:color="284993"/>
            </w:tcBorders>
            <w:shd w:val="clear" w:color="auto" w:fill="9DBDE4"/>
          </w:tcPr>
          <w:p>
            <w:pPr>
              <w:jc w:val="right"/>
              <w:spacing w:after="0" w:line="181" w:lineRule="exact"/>
              <w:rPr>
                <w:sz w:val="20"/>
                <w:szCs w:val="20"/>
                <w:color w:val="auto"/>
              </w:rPr>
            </w:pPr>
            <w:r>
              <w:rPr>
                <w:rFonts w:ascii="Arial" w:cs="Arial" w:eastAsia="Arial" w:hAnsi="Arial"/>
                <w:sz w:val="16"/>
                <w:szCs w:val="16"/>
                <w:color w:val="auto"/>
              </w:rPr>
              <w:t>($5,735,389)</w:t>
            </w:r>
          </w:p>
        </w:tc>
      </w:tr>
      <w:tr>
        <w:trPr>
          <w:trHeight w:val="367"/>
        </w:trPr>
        <w:tc>
          <w:tcPr>
            <w:tcW w:w="340" w:type="dxa"/>
            <w:vAlign w:val="bottom"/>
          </w:tcPr>
          <w:p>
            <w:pPr>
              <w:jc w:val="right"/>
              <w:ind w:right="103"/>
              <w:spacing w:after="0"/>
              <w:rPr>
                <w:sz w:val="20"/>
                <w:szCs w:val="20"/>
                <w:color w:val="auto"/>
              </w:rPr>
            </w:pPr>
            <w:r>
              <w:rPr>
                <w:rFonts w:ascii="Arial" w:cs="Arial" w:eastAsia="Arial" w:hAnsi="Arial"/>
                <w:sz w:val="14"/>
                <w:szCs w:val="14"/>
                <w:b w:val="1"/>
                <w:bCs w:val="1"/>
                <w:color w:val="284993"/>
                <w:w w:val="89"/>
              </w:rPr>
              <w:t>82</w:t>
            </w:r>
          </w:p>
        </w:tc>
        <w:tc>
          <w:tcPr>
            <w:tcW w:w="5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-146050</wp:posOffset>
            </wp:positionV>
            <wp:extent cx="699135" cy="1314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ectPr>
          <w:pgSz w:w="11900" w:h="16838" w:orient="portrait"/>
          <w:cols w:equalWidth="0" w:num="1">
            <w:col w:w="9520"/>
          </w:cols>
          <w:pgMar w:left="1280" w:top="85" w:right="1099" w:bottom="1440" w:gutter="0" w:footer="0" w:header="0"/>
        </w:sectPr>
      </w:pPr>
    </w:p>
    <w:bookmarkStart w:id="89" w:name="page90"/>
    <w:bookmarkEnd w:id="89"/>
    <w:p>
      <w:pPr>
        <w:jc w:val="center"/>
        <w:ind w:right="224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PEO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5920740" cy="17430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20740" cy="17430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ind w:right="22"/>
              <w:spacing w:after="0"/>
              <w:rPr>
                <w:sz w:val="20"/>
                <w:szCs w:val="20"/>
                <w:color w:val="auto"/>
              </w:rPr>
            </w:pPr>
            <w:r>
              <w:rPr>
                <w:rFonts w:ascii="Arial" w:cs="Arial" w:eastAsia="Arial" w:hAnsi="Arial"/>
                <w:sz w:val="16"/>
                <w:szCs w:val="16"/>
                <w:b w:val="1"/>
                <w:bCs w:val="1"/>
                <w:color w:val="FFFFFF"/>
              </w:rPr>
              <w:t>2020</w:t>
            </w:r>
          </w:p>
        </w:tc>
        <w:tc>
          <w:tcPr>
            <w:tcW w:w="560" w:type="dxa"/>
            <w:vAlign w:val="bottom"/>
          </w:tcPr>
          <w:p>
            <w:pPr>
              <w:jc w:val="right"/>
              <w:ind w:right="42"/>
              <w:spacing w:after="0"/>
              <w:rPr>
                <w:sz w:val="20"/>
                <w:szCs w:val="20"/>
                <w:color w:val="auto"/>
              </w:rPr>
            </w:pPr>
            <w:r>
              <w:rPr>
                <w:rFonts w:ascii="Arial" w:cs="Arial" w:eastAsia="Arial" w:hAnsi="Arial"/>
                <w:sz w:val="16"/>
                <w:szCs w:val="16"/>
                <w:b w:val="1"/>
                <w:bCs w:val="1"/>
                <w:color w:val="FFFFFF"/>
              </w:rPr>
              <w:t>2021</w:t>
            </w:r>
          </w:p>
        </w:tc>
        <w:tc>
          <w:tcPr>
            <w:tcW w:w="860" w:type="dxa"/>
            <w:vAlign w:val="bottom"/>
          </w:tcPr>
          <w:p>
            <w:pPr>
              <w:jc w:val="right"/>
              <w:ind w:right="182"/>
              <w:spacing w:after="0"/>
              <w:rPr>
                <w:sz w:val="20"/>
                <w:szCs w:val="20"/>
                <w:color w:val="auto"/>
              </w:rPr>
            </w:pPr>
            <w:r>
              <w:rPr>
                <w:rFonts w:ascii="Arial" w:cs="Arial" w:eastAsia="Arial" w:hAnsi="Arial"/>
                <w:sz w:val="16"/>
                <w:szCs w:val="16"/>
                <w:b w:val="1"/>
                <w:bCs w:val="1"/>
                <w:color w:val="FFFFFF"/>
              </w:rPr>
              <w:t>2022</w:t>
            </w:r>
          </w:p>
        </w:tc>
      </w:tr>
      <w:tr>
        <w:trPr>
          <w:trHeight w:val="193"/>
        </w:trPr>
        <w:tc>
          <w:tcPr>
            <w:tcW w:w="380" w:type="dxa"/>
            <w:vAlign w:val="bottom"/>
          </w:tcPr>
          <w:p>
            <w:pPr>
              <w:spacing w:after="0"/>
              <w:rPr>
                <w:sz w:val="16"/>
                <w:szCs w:val="16"/>
                <w:color w:val="auto"/>
              </w:rPr>
            </w:pPr>
          </w:p>
        </w:tc>
        <w:tc>
          <w:tcPr>
            <w:tcW w:w="6700" w:type="dxa"/>
            <w:vAlign w:val="bottom"/>
          </w:tcPr>
          <w:p>
            <w:pPr>
              <w:ind w:left="120"/>
              <w:spacing w:after="0"/>
              <w:rPr>
                <w:sz w:val="20"/>
                <w:szCs w:val="20"/>
                <w:color w:val="auto"/>
              </w:rPr>
            </w:pPr>
            <w:r>
              <w:rPr>
                <w:rFonts w:ascii="Arial" w:cs="Arial" w:eastAsia="Arial" w:hAnsi="Arial"/>
                <w:sz w:val="16"/>
                <w:szCs w:val="16"/>
                <w:color w:val="auto"/>
              </w:rPr>
              <w:t>Summary Compensation Table – Total Compensation</w:t>
            </w:r>
          </w:p>
        </w:tc>
        <w:tc>
          <w:tcPr>
            <w:tcW w:w="34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$577,608</w:t>
            </w:r>
          </w:p>
        </w:tc>
      </w:tr>
      <w:tr>
        <w:trPr>
          <w:trHeight w:val="181"/>
        </w:trPr>
        <w:tc>
          <w:tcPr>
            <w:tcW w:w="380" w:type="dxa"/>
            <w:vAlign w:val="bottom"/>
            <w:shd w:val="clear" w:color="auto" w:fill="9DBDE4"/>
          </w:tcPr>
          <w:p>
            <w:pPr>
              <w:jc w:val="center"/>
              <w:spacing w:after="0" w:line="181" w:lineRule="exact"/>
              <w:rPr>
                <w:sz w:val="20"/>
                <w:szCs w:val="20"/>
                <w:color w:val="auto"/>
              </w:rPr>
            </w:pPr>
            <w:r>
              <w:rPr>
                <w:rFonts w:ascii="Arial" w:cs="Arial" w:eastAsia="Arial" w:hAnsi="Arial"/>
                <w:sz w:val="16"/>
                <w:szCs w:val="16"/>
                <w:color w:val="auto"/>
              </w:rPr>
              <w:t>-</w:t>
            </w:r>
          </w:p>
        </w:tc>
        <w:tc>
          <w:tcPr>
            <w:tcW w:w="6700" w:type="dxa"/>
            <w:vAlign w:val="bottom"/>
            <w:shd w:val="clear" w:color="auto" w:fill="9DBDE4"/>
          </w:tcPr>
          <w:p>
            <w:pPr>
              <w:ind w:left="120"/>
              <w:spacing w:after="0" w:line="181" w:lineRule="exact"/>
              <w:rPr>
                <w:sz w:val="20"/>
                <w:szCs w:val="20"/>
                <w:color w:val="auto"/>
              </w:rPr>
            </w:pPr>
            <w:r>
              <w:rPr>
                <w:rFonts w:ascii="Arial" w:cs="Arial" w:eastAsia="Arial" w:hAnsi="Arial"/>
                <w:sz w:val="16"/>
                <w:szCs w:val="16"/>
                <w:color w:val="auto"/>
              </w:rPr>
              <w:t>Grant Date Fair Value of Stock Awards and Option Awards Granted in Fiscal Year</w:t>
            </w:r>
          </w:p>
        </w:tc>
        <w:tc>
          <w:tcPr>
            <w:tcW w:w="340" w:type="dxa"/>
            <w:vAlign w:val="bottom"/>
            <w:shd w:val="clear" w:color="auto" w:fill="9DBDE4"/>
          </w:tcPr>
          <w:p>
            <w:pPr>
              <w:jc w:val="center"/>
              <w:spacing w:after="0" w:line="181" w:lineRule="exact"/>
              <w:rPr>
                <w:sz w:val="20"/>
                <w:szCs w:val="20"/>
                <w:color w:val="auto"/>
              </w:rPr>
            </w:pPr>
            <w:r>
              <w:rPr>
                <w:rFonts w:ascii="Arial" w:cs="Arial" w:eastAsia="Arial" w:hAnsi="Arial"/>
                <w:sz w:val="16"/>
                <w:szCs w:val="16"/>
                <w:color w:val="auto"/>
                <w:w w:val="91"/>
              </w:rPr>
              <w:t>(b)</w:t>
            </w:r>
          </w:p>
        </w:tc>
        <w:tc>
          <w:tcPr>
            <w:tcW w:w="480" w:type="dxa"/>
            <w:vAlign w:val="bottom"/>
            <w:shd w:val="clear" w:color="auto" w:fill="9DBDE4"/>
          </w:tcPr>
          <w:p>
            <w:pPr>
              <w:jc w:val="right"/>
              <w:ind w:right="2"/>
              <w:spacing w:after="0" w:line="181" w:lineRule="exact"/>
              <w:rPr>
                <w:sz w:val="20"/>
                <w:szCs w:val="20"/>
                <w:color w:val="auto"/>
              </w:rPr>
            </w:pPr>
            <w:r>
              <w:rPr>
                <w:rFonts w:ascii="Arial" w:cs="Arial" w:eastAsia="Arial" w:hAnsi="Arial"/>
                <w:sz w:val="16"/>
                <w:szCs w:val="16"/>
                <w:color w:val="auto"/>
              </w:rPr>
              <w:t>-</w:t>
            </w:r>
          </w:p>
        </w:tc>
        <w:tc>
          <w:tcPr>
            <w:tcW w:w="560" w:type="dxa"/>
            <w:vAlign w:val="bottom"/>
            <w:shd w:val="clear" w:color="auto" w:fill="9DBDE4"/>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860" w:type="dxa"/>
            <w:vAlign w:val="bottom"/>
            <w:shd w:val="clear" w:color="auto" w:fill="9DBDE4"/>
          </w:tcPr>
          <w:p>
            <w:pPr>
              <w:jc w:val="right"/>
              <w:ind w:right="2"/>
              <w:spacing w:after="0" w:line="181" w:lineRule="exact"/>
              <w:rPr>
                <w:sz w:val="20"/>
                <w:szCs w:val="20"/>
                <w:color w:val="auto"/>
              </w:rPr>
            </w:pPr>
            <w:r>
              <w:rPr>
                <w:rFonts w:ascii="Arial" w:cs="Arial" w:eastAsia="Arial" w:hAnsi="Arial"/>
                <w:sz w:val="16"/>
                <w:szCs w:val="16"/>
                <w:color w:val="auto"/>
              </w:rPr>
              <w:t>$0</w:t>
            </w:r>
          </w:p>
        </w:tc>
      </w:tr>
      <w:tr>
        <w:trPr>
          <w:trHeight w:val="169"/>
        </w:trPr>
        <w:tc>
          <w:tcPr>
            <w:tcW w:w="380" w:type="dxa"/>
            <w:vAlign w:val="bottom"/>
          </w:tcPr>
          <w:p>
            <w:pPr>
              <w:jc w:val="center"/>
              <w:spacing w:after="0" w:line="169" w:lineRule="exact"/>
              <w:rPr>
                <w:sz w:val="20"/>
                <w:szCs w:val="20"/>
                <w:color w:val="auto"/>
              </w:rPr>
            </w:pPr>
            <w:r>
              <w:rPr>
                <w:rFonts w:ascii="Arial" w:cs="Arial" w:eastAsia="Arial" w:hAnsi="Arial"/>
                <w:sz w:val="16"/>
                <w:szCs w:val="16"/>
                <w:color w:val="auto"/>
              </w:rPr>
              <w:t>+</w:t>
            </w:r>
          </w:p>
        </w:tc>
        <w:tc>
          <w:tcPr>
            <w:tcW w:w="6700" w:type="dxa"/>
            <w:vAlign w:val="bottom"/>
          </w:tcPr>
          <w:p>
            <w:pPr>
              <w:ind w:left="120"/>
              <w:spacing w:after="0" w:line="169" w:lineRule="exact"/>
              <w:rPr>
                <w:sz w:val="20"/>
                <w:szCs w:val="20"/>
                <w:color w:val="auto"/>
              </w:rPr>
            </w:pPr>
            <w:r>
              <w:rPr>
                <w:rFonts w:ascii="Arial" w:cs="Arial" w:eastAsia="Arial" w:hAnsi="Arial"/>
                <w:sz w:val="16"/>
                <w:szCs w:val="16"/>
                <w:color w:val="auto"/>
                <w:w w:val="99"/>
              </w:rPr>
              <w:t>Fair Value at Fiscal Year End of Outstanding and Unvested Stock Awards and Option Awards</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3"/>
        </w:trPr>
        <w:tc>
          <w:tcPr>
            <w:tcW w:w="380" w:type="dxa"/>
            <w:vAlign w:val="bottom"/>
          </w:tcPr>
          <w:p>
            <w:pPr>
              <w:spacing w:after="0"/>
              <w:rPr>
                <w:sz w:val="16"/>
                <w:szCs w:val="16"/>
                <w:color w:val="auto"/>
              </w:rPr>
            </w:pPr>
          </w:p>
        </w:tc>
        <w:tc>
          <w:tcPr>
            <w:tcW w:w="6700" w:type="dxa"/>
            <w:vAlign w:val="bottom"/>
          </w:tcPr>
          <w:p>
            <w:pPr>
              <w:ind w:left="120"/>
              <w:spacing w:after="0"/>
              <w:rPr>
                <w:sz w:val="20"/>
                <w:szCs w:val="20"/>
                <w:color w:val="auto"/>
              </w:rPr>
            </w:pPr>
            <w:r>
              <w:rPr>
                <w:rFonts w:ascii="Arial" w:cs="Arial" w:eastAsia="Arial" w:hAnsi="Arial"/>
                <w:sz w:val="16"/>
                <w:szCs w:val="16"/>
                <w:color w:val="auto"/>
              </w:rPr>
              <w:t>Granted in Fiscal Year</w:t>
            </w:r>
          </w:p>
        </w:tc>
        <w:tc>
          <w:tcPr>
            <w:tcW w:w="340" w:type="dxa"/>
            <w:vAlign w:val="bottom"/>
          </w:tcPr>
          <w:p>
            <w:pPr>
              <w:jc w:val="center"/>
              <w:spacing w:after="0"/>
              <w:rPr>
                <w:sz w:val="20"/>
                <w:szCs w:val="20"/>
                <w:color w:val="auto"/>
              </w:rPr>
            </w:pPr>
            <w:r>
              <w:rPr>
                <w:rFonts w:ascii="Arial" w:cs="Arial" w:eastAsia="Arial" w:hAnsi="Arial"/>
                <w:sz w:val="16"/>
                <w:szCs w:val="16"/>
                <w:color w:val="auto"/>
                <w:w w:val="96"/>
              </w:rPr>
              <w:t>(c)</w:t>
            </w: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$222,341</w:t>
            </w:r>
          </w:p>
        </w:tc>
      </w:tr>
      <w:tr>
        <w:trPr>
          <w:trHeight w:val="169"/>
        </w:trPr>
        <w:tc>
          <w:tcPr>
            <w:tcW w:w="380" w:type="dxa"/>
            <w:vAlign w:val="bottom"/>
            <w:shd w:val="clear" w:color="auto" w:fill="9DBDE4"/>
          </w:tcPr>
          <w:p>
            <w:pPr>
              <w:jc w:val="center"/>
              <w:spacing w:after="0" w:line="169" w:lineRule="exact"/>
              <w:rPr>
                <w:sz w:val="20"/>
                <w:szCs w:val="20"/>
                <w:color w:val="auto"/>
              </w:rPr>
            </w:pPr>
            <w:r>
              <w:rPr>
                <w:rFonts w:ascii="Arial" w:cs="Arial" w:eastAsia="Arial" w:hAnsi="Arial"/>
                <w:sz w:val="16"/>
                <w:szCs w:val="16"/>
                <w:color w:val="auto"/>
                <w:w w:val="93"/>
              </w:rPr>
              <w:t>+/-</w:t>
            </w:r>
          </w:p>
        </w:tc>
        <w:tc>
          <w:tcPr>
            <w:tcW w:w="6700" w:type="dxa"/>
            <w:vAlign w:val="bottom"/>
            <w:shd w:val="clear" w:color="auto" w:fill="9DBDE4"/>
          </w:tcPr>
          <w:p>
            <w:pPr>
              <w:ind w:left="120"/>
              <w:spacing w:after="0" w:line="169" w:lineRule="exact"/>
              <w:rPr>
                <w:sz w:val="20"/>
                <w:szCs w:val="20"/>
                <w:color w:val="auto"/>
              </w:rPr>
            </w:pPr>
            <w:r>
              <w:rPr>
                <w:rFonts w:ascii="Arial" w:cs="Arial" w:eastAsia="Arial" w:hAnsi="Arial"/>
                <w:sz w:val="16"/>
                <w:szCs w:val="16"/>
                <w:color w:val="auto"/>
                <w:w w:val="98"/>
              </w:rPr>
              <w:t>Change in Fair Value of Outstanding and Unvested Stock Awards and Option Awards Granted</w:t>
            </w:r>
          </w:p>
        </w:tc>
        <w:tc>
          <w:tcPr>
            <w:tcW w:w="340" w:type="dxa"/>
            <w:vAlign w:val="bottom"/>
            <w:shd w:val="clear" w:color="auto" w:fill="9DBDE4"/>
          </w:tcPr>
          <w:p>
            <w:pPr>
              <w:spacing w:after="0"/>
              <w:rPr>
                <w:sz w:val="14"/>
                <w:szCs w:val="14"/>
                <w:color w:val="auto"/>
              </w:rPr>
            </w:pPr>
          </w:p>
        </w:tc>
        <w:tc>
          <w:tcPr>
            <w:tcW w:w="480" w:type="dxa"/>
            <w:vAlign w:val="bottom"/>
            <w:shd w:val="clear" w:color="auto" w:fill="9DBDE4"/>
          </w:tcPr>
          <w:p>
            <w:pPr>
              <w:spacing w:after="0"/>
              <w:rPr>
                <w:sz w:val="14"/>
                <w:szCs w:val="14"/>
                <w:color w:val="auto"/>
              </w:rPr>
            </w:pPr>
          </w:p>
        </w:tc>
        <w:tc>
          <w:tcPr>
            <w:tcW w:w="560" w:type="dxa"/>
            <w:vAlign w:val="bottom"/>
            <w:shd w:val="clear" w:color="auto" w:fill="9DBDE4"/>
          </w:tcPr>
          <w:p>
            <w:pPr>
              <w:spacing w:after="0"/>
              <w:rPr>
                <w:sz w:val="14"/>
                <w:szCs w:val="14"/>
                <w:color w:val="auto"/>
              </w:rPr>
            </w:pPr>
          </w:p>
        </w:tc>
        <w:tc>
          <w:tcPr>
            <w:tcW w:w="860" w:type="dxa"/>
            <w:vAlign w:val="bottom"/>
            <w:shd w:val="clear" w:color="auto" w:fill="9DBDE4"/>
          </w:tcPr>
          <w:p>
            <w:pPr>
              <w:spacing w:after="0"/>
              <w:rPr>
                <w:sz w:val="14"/>
                <w:szCs w:val="14"/>
                <w:color w:val="auto"/>
              </w:rPr>
            </w:pPr>
          </w:p>
        </w:tc>
      </w:tr>
      <w:tr>
        <w:trPr>
          <w:trHeight w:val="193"/>
        </w:trPr>
        <w:tc>
          <w:tcPr>
            <w:tcW w:w="380" w:type="dxa"/>
            <w:vAlign w:val="bottom"/>
            <w:shd w:val="clear" w:color="auto" w:fill="9DBDE4"/>
          </w:tcPr>
          <w:p>
            <w:pPr>
              <w:spacing w:after="0"/>
              <w:rPr>
                <w:sz w:val="16"/>
                <w:szCs w:val="16"/>
                <w:color w:val="auto"/>
              </w:rPr>
            </w:pPr>
          </w:p>
        </w:tc>
        <w:tc>
          <w:tcPr>
            <w:tcW w:w="6700" w:type="dxa"/>
            <w:vAlign w:val="bottom"/>
            <w:shd w:val="clear" w:color="auto" w:fill="9DBDE4"/>
          </w:tcPr>
          <w:p>
            <w:pPr>
              <w:ind w:left="120"/>
              <w:spacing w:after="0"/>
              <w:rPr>
                <w:sz w:val="20"/>
                <w:szCs w:val="20"/>
                <w:color w:val="auto"/>
              </w:rPr>
            </w:pPr>
            <w:r>
              <w:rPr>
                <w:rFonts w:ascii="Arial" w:cs="Arial" w:eastAsia="Arial" w:hAnsi="Arial"/>
                <w:sz w:val="16"/>
                <w:szCs w:val="16"/>
                <w:color w:val="auto"/>
              </w:rPr>
              <w:t>in Prior Fiscal Years</w:t>
            </w:r>
          </w:p>
        </w:tc>
        <w:tc>
          <w:tcPr>
            <w:tcW w:w="340" w:type="dxa"/>
            <w:vAlign w:val="bottom"/>
            <w:shd w:val="clear" w:color="auto" w:fill="9DBDE4"/>
          </w:tcPr>
          <w:p>
            <w:pPr>
              <w:jc w:val="center"/>
              <w:spacing w:after="0"/>
              <w:rPr>
                <w:sz w:val="20"/>
                <w:szCs w:val="20"/>
                <w:color w:val="auto"/>
              </w:rPr>
            </w:pPr>
            <w:r>
              <w:rPr>
                <w:rFonts w:ascii="Arial" w:cs="Arial" w:eastAsia="Arial" w:hAnsi="Arial"/>
                <w:sz w:val="16"/>
                <w:szCs w:val="16"/>
                <w:color w:val="auto"/>
                <w:w w:val="91"/>
              </w:rPr>
              <w:t>(d)</w:t>
            </w:r>
          </w:p>
        </w:tc>
        <w:tc>
          <w:tcPr>
            <w:tcW w:w="480" w:type="dxa"/>
            <w:vAlign w:val="bottom"/>
            <w:shd w:val="clear" w:color="auto" w:fill="9DBDE4"/>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shd w:val="clear" w:color="auto" w:fill="9DBDE4"/>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shd w:val="clear" w:color="auto" w:fill="9DBDE4"/>
          </w:tcPr>
          <w:p>
            <w:pPr>
              <w:jc w:val="right"/>
              <w:ind w:right="2"/>
              <w:spacing w:after="0"/>
              <w:rPr>
                <w:sz w:val="20"/>
                <w:szCs w:val="20"/>
                <w:color w:val="auto"/>
              </w:rPr>
            </w:pPr>
            <w:r>
              <w:rPr>
                <w:rFonts w:ascii="Arial" w:cs="Arial" w:eastAsia="Arial" w:hAnsi="Arial"/>
                <w:sz w:val="16"/>
                <w:szCs w:val="16"/>
                <w:color w:val="auto"/>
              </w:rPr>
              <w:t>$0</w:t>
            </w:r>
          </w:p>
        </w:tc>
      </w:tr>
      <w:tr>
        <w:trPr>
          <w:trHeight w:val="169"/>
        </w:trPr>
        <w:tc>
          <w:tcPr>
            <w:tcW w:w="380" w:type="dxa"/>
            <w:vAlign w:val="bottom"/>
          </w:tcPr>
          <w:p>
            <w:pPr>
              <w:jc w:val="center"/>
              <w:spacing w:after="0" w:line="169" w:lineRule="exact"/>
              <w:rPr>
                <w:sz w:val="20"/>
                <w:szCs w:val="20"/>
                <w:color w:val="auto"/>
              </w:rPr>
            </w:pPr>
            <w:r>
              <w:rPr>
                <w:rFonts w:ascii="Arial" w:cs="Arial" w:eastAsia="Arial" w:hAnsi="Arial"/>
                <w:sz w:val="16"/>
                <w:szCs w:val="16"/>
                <w:color w:val="auto"/>
              </w:rPr>
              <w:t>+</w:t>
            </w:r>
          </w:p>
        </w:tc>
        <w:tc>
          <w:tcPr>
            <w:tcW w:w="6700" w:type="dxa"/>
            <w:vAlign w:val="bottom"/>
          </w:tcPr>
          <w:p>
            <w:pPr>
              <w:ind w:left="120"/>
              <w:spacing w:after="0" w:line="169" w:lineRule="exact"/>
              <w:rPr>
                <w:sz w:val="20"/>
                <w:szCs w:val="20"/>
                <w:color w:val="auto"/>
              </w:rPr>
            </w:pPr>
            <w:r>
              <w:rPr>
                <w:rFonts w:ascii="Arial" w:cs="Arial" w:eastAsia="Arial" w:hAnsi="Arial"/>
                <w:sz w:val="16"/>
                <w:szCs w:val="16"/>
                <w:color w:val="auto"/>
                <w:w w:val="98"/>
              </w:rPr>
              <w:t>Fair Value at Vesting of Stock Awards and Option Awards Granted in Fiscal Year That Vested</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3"/>
        </w:trPr>
        <w:tc>
          <w:tcPr>
            <w:tcW w:w="380" w:type="dxa"/>
            <w:vAlign w:val="bottom"/>
          </w:tcPr>
          <w:p>
            <w:pPr>
              <w:spacing w:after="0"/>
              <w:rPr>
                <w:sz w:val="16"/>
                <w:szCs w:val="16"/>
                <w:color w:val="auto"/>
              </w:rPr>
            </w:pPr>
          </w:p>
        </w:tc>
        <w:tc>
          <w:tcPr>
            <w:tcW w:w="6700" w:type="dxa"/>
            <w:vAlign w:val="bottom"/>
          </w:tcPr>
          <w:p>
            <w:pPr>
              <w:ind w:left="120"/>
              <w:spacing w:after="0"/>
              <w:rPr>
                <w:sz w:val="20"/>
                <w:szCs w:val="20"/>
                <w:color w:val="auto"/>
              </w:rPr>
            </w:pPr>
            <w:r>
              <w:rPr>
                <w:rFonts w:ascii="Arial" w:cs="Arial" w:eastAsia="Arial" w:hAnsi="Arial"/>
                <w:sz w:val="16"/>
                <w:szCs w:val="16"/>
                <w:color w:val="auto"/>
              </w:rPr>
              <w:t>During Fiscal Year</w:t>
            </w:r>
          </w:p>
        </w:tc>
        <w:tc>
          <w:tcPr>
            <w:tcW w:w="340" w:type="dxa"/>
            <w:vAlign w:val="bottom"/>
          </w:tcPr>
          <w:p>
            <w:pPr>
              <w:jc w:val="center"/>
              <w:spacing w:after="0"/>
              <w:rPr>
                <w:sz w:val="20"/>
                <w:szCs w:val="20"/>
                <w:color w:val="auto"/>
              </w:rPr>
            </w:pPr>
            <w:r>
              <w:rPr>
                <w:rFonts w:ascii="Arial" w:cs="Arial" w:eastAsia="Arial" w:hAnsi="Arial"/>
                <w:sz w:val="16"/>
                <w:szCs w:val="16"/>
                <w:color w:val="auto"/>
                <w:w w:val="91"/>
              </w:rPr>
              <w:t>(e)</w:t>
            </w: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$0</w:t>
            </w:r>
          </w:p>
        </w:tc>
      </w:tr>
      <w:tr>
        <w:trPr>
          <w:trHeight w:val="169"/>
        </w:trPr>
        <w:tc>
          <w:tcPr>
            <w:tcW w:w="380" w:type="dxa"/>
            <w:vAlign w:val="bottom"/>
            <w:shd w:val="clear" w:color="auto" w:fill="9DBDE4"/>
          </w:tcPr>
          <w:p>
            <w:pPr>
              <w:jc w:val="center"/>
              <w:spacing w:after="0" w:line="169" w:lineRule="exact"/>
              <w:rPr>
                <w:sz w:val="20"/>
                <w:szCs w:val="20"/>
                <w:color w:val="auto"/>
              </w:rPr>
            </w:pPr>
            <w:r>
              <w:rPr>
                <w:rFonts w:ascii="Arial" w:cs="Arial" w:eastAsia="Arial" w:hAnsi="Arial"/>
                <w:sz w:val="16"/>
                <w:szCs w:val="16"/>
                <w:color w:val="auto"/>
                <w:w w:val="93"/>
              </w:rPr>
              <w:t>+/-</w:t>
            </w:r>
          </w:p>
        </w:tc>
        <w:tc>
          <w:tcPr>
            <w:tcW w:w="6700" w:type="dxa"/>
            <w:vAlign w:val="bottom"/>
            <w:shd w:val="clear" w:color="auto" w:fill="9DBDE4"/>
          </w:tcPr>
          <w:p>
            <w:pPr>
              <w:ind w:left="120"/>
              <w:spacing w:after="0" w:line="169" w:lineRule="exact"/>
              <w:rPr>
                <w:sz w:val="20"/>
                <w:szCs w:val="20"/>
                <w:color w:val="auto"/>
              </w:rPr>
            </w:pPr>
            <w:r>
              <w:rPr>
                <w:rFonts w:ascii="Arial" w:cs="Arial" w:eastAsia="Arial" w:hAnsi="Arial"/>
                <w:sz w:val="16"/>
                <w:szCs w:val="16"/>
                <w:color w:val="auto"/>
                <w:w w:val="98"/>
              </w:rPr>
              <w:t>Change in Fair Value as of Vesting Date of Stock Awards and Option Awards Granted in Prior</w:t>
            </w:r>
          </w:p>
        </w:tc>
        <w:tc>
          <w:tcPr>
            <w:tcW w:w="340" w:type="dxa"/>
            <w:vAlign w:val="bottom"/>
            <w:shd w:val="clear" w:color="auto" w:fill="9DBDE4"/>
          </w:tcPr>
          <w:p>
            <w:pPr>
              <w:spacing w:after="0"/>
              <w:rPr>
                <w:sz w:val="14"/>
                <w:szCs w:val="14"/>
                <w:color w:val="auto"/>
              </w:rPr>
            </w:pPr>
          </w:p>
        </w:tc>
        <w:tc>
          <w:tcPr>
            <w:tcW w:w="480" w:type="dxa"/>
            <w:vAlign w:val="bottom"/>
            <w:shd w:val="clear" w:color="auto" w:fill="9DBDE4"/>
          </w:tcPr>
          <w:p>
            <w:pPr>
              <w:spacing w:after="0"/>
              <w:rPr>
                <w:sz w:val="14"/>
                <w:szCs w:val="14"/>
                <w:color w:val="auto"/>
              </w:rPr>
            </w:pPr>
          </w:p>
        </w:tc>
        <w:tc>
          <w:tcPr>
            <w:tcW w:w="560" w:type="dxa"/>
            <w:vAlign w:val="bottom"/>
            <w:shd w:val="clear" w:color="auto" w:fill="9DBDE4"/>
          </w:tcPr>
          <w:p>
            <w:pPr>
              <w:spacing w:after="0"/>
              <w:rPr>
                <w:sz w:val="14"/>
                <w:szCs w:val="14"/>
                <w:color w:val="auto"/>
              </w:rPr>
            </w:pPr>
          </w:p>
        </w:tc>
        <w:tc>
          <w:tcPr>
            <w:tcW w:w="860" w:type="dxa"/>
            <w:vAlign w:val="bottom"/>
            <w:shd w:val="clear" w:color="auto" w:fill="9DBDE4"/>
          </w:tcPr>
          <w:p>
            <w:pPr>
              <w:spacing w:after="0"/>
              <w:rPr>
                <w:sz w:val="14"/>
                <w:szCs w:val="14"/>
                <w:color w:val="auto"/>
              </w:rPr>
            </w:pPr>
          </w:p>
        </w:tc>
      </w:tr>
      <w:tr>
        <w:trPr>
          <w:trHeight w:val="193"/>
        </w:trPr>
        <w:tc>
          <w:tcPr>
            <w:tcW w:w="380" w:type="dxa"/>
            <w:vAlign w:val="bottom"/>
            <w:shd w:val="clear" w:color="auto" w:fill="9DBDE4"/>
          </w:tcPr>
          <w:p>
            <w:pPr>
              <w:spacing w:after="0"/>
              <w:rPr>
                <w:sz w:val="16"/>
                <w:szCs w:val="16"/>
                <w:color w:val="auto"/>
              </w:rPr>
            </w:pPr>
          </w:p>
        </w:tc>
        <w:tc>
          <w:tcPr>
            <w:tcW w:w="6700" w:type="dxa"/>
            <w:vAlign w:val="bottom"/>
            <w:shd w:val="clear" w:color="auto" w:fill="9DBDE4"/>
          </w:tcPr>
          <w:p>
            <w:pPr>
              <w:ind w:left="120"/>
              <w:spacing w:after="0"/>
              <w:rPr>
                <w:sz w:val="20"/>
                <w:szCs w:val="20"/>
                <w:color w:val="auto"/>
              </w:rPr>
            </w:pPr>
            <w:r>
              <w:rPr>
                <w:rFonts w:ascii="Arial" w:cs="Arial" w:eastAsia="Arial" w:hAnsi="Arial"/>
                <w:sz w:val="16"/>
                <w:szCs w:val="16"/>
                <w:color w:val="auto"/>
              </w:rPr>
              <w:t>Fiscal Years For Which Applicable Vesting Conditions Were Satisfied During Fiscal Year</w:t>
            </w:r>
          </w:p>
        </w:tc>
        <w:tc>
          <w:tcPr>
            <w:tcW w:w="340" w:type="dxa"/>
            <w:vAlign w:val="bottom"/>
            <w:shd w:val="clear" w:color="auto" w:fill="9DBDE4"/>
          </w:tcPr>
          <w:p>
            <w:pPr>
              <w:jc w:val="center"/>
              <w:spacing w:after="0"/>
              <w:rPr>
                <w:sz w:val="20"/>
                <w:szCs w:val="20"/>
                <w:color w:val="auto"/>
              </w:rPr>
            </w:pPr>
            <w:r>
              <w:rPr>
                <w:rFonts w:ascii="Arial" w:cs="Arial" w:eastAsia="Arial" w:hAnsi="Arial"/>
                <w:sz w:val="16"/>
                <w:szCs w:val="16"/>
                <w:color w:val="auto"/>
                <w:w w:val="92"/>
              </w:rPr>
              <w:t>(f)</w:t>
            </w:r>
          </w:p>
        </w:tc>
        <w:tc>
          <w:tcPr>
            <w:tcW w:w="480" w:type="dxa"/>
            <w:vAlign w:val="bottom"/>
            <w:shd w:val="clear" w:color="auto" w:fill="9DBDE4"/>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shd w:val="clear" w:color="auto" w:fill="9DBDE4"/>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shd w:val="clear" w:color="auto" w:fill="9DBDE4"/>
          </w:tcPr>
          <w:p>
            <w:pPr>
              <w:jc w:val="right"/>
              <w:ind w:right="2"/>
              <w:spacing w:after="0"/>
              <w:rPr>
                <w:sz w:val="20"/>
                <w:szCs w:val="20"/>
                <w:color w:val="auto"/>
              </w:rPr>
            </w:pPr>
            <w:r>
              <w:rPr>
                <w:rFonts w:ascii="Arial" w:cs="Arial" w:eastAsia="Arial" w:hAnsi="Arial"/>
                <w:sz w:val="16"/>
                <w:szCs w:val="16"/>
                <w:color w:val="auto"/>
              </w:rPr>
              <w:t>$0</w:t>
            </w:r>
          </w:p>
        </w:tc>
      </w:tr>
      <w:tr>
        <w:trPr>
          <w:trHeight w:val="169"/>
        </w:trPr>
        <w:tc>
          <w:tcPr>
            <w:tcW w:w="380" w:type="dxa"/>
            <w:vAlign w:val="bottom"/>
          </w:tcPr>
          <w:p>
            <w:pPr>
              <w:jc w:val="center"/>
              <w:spacing w:after="0" w:line="169" w:lineRule="exact"/>
              <w:rPr>
                <w:sz w:val="20"/>
                <w:szCs w:val="20"/>
                <w:color w:val="auto"/>
              </w:rPr>
            </w:pPr>
            <w:r>
              <w:rPr>
                <w:rFonts w:ascii="Arial" w:cs="Arial" w:eastAsia="Arial" w:hAnsi="Arial"/>
                <w:sz w:val="16"/>
                <w:szCs w:val="16"/>
                <w:color w:val="auto"/>
              </w:rPr>
              <w:t>-</w:t>
            </w:r>
          </w:p>
        </w:tc>
        <w:tc>
          <w:tcPr>
            <w:tcW w:w="6700" w:type="dxa"/>
            <w:vAlign w:val="bottom"/>
          </w:tcPr>
          <w:p>
            <w:pPr>
              <w:ind w:left="120"/>
              <w:spacing w:after="0" w:line="169" w:lineRule="exact"/>
              <w:rPr>
                <w:sz w:val="20"/>
                <w:szCs w:val="20"/>
                <w:color w:val="auto"/>
              </w:rPr>
            </w:pPr>
            <w:r>
              <w:rPr>
                <w:rFonts w:ascii="Arial" w:cs="Arial" w:eastAsia="Arial" w:hAnsi="Arial"/>
                <w:sz w:val="16"/>
                <w:szCs w:val="16"/>
                <w:color w:val="auto"/>
              </w:rPr>
              <w:t>Fair Value as of Prior Fiscal Year End of Stock Awards and Option Awards Granted in Prior</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3"/>
        </w:trPr>
        <w:tc>
          <w:tcPr>
            <w:tcW w:w="380" w:type="dxa"/>
            <w:vAlign w:val="bottom"/>
          </w:tcPr>
          <w:p>
            <w:pPr>
              <w:spacing w:after="0"/>
              <w:rPr>
                <w:sz w:val="16"/>
                <w:szCs w:val="16"/>
                <w:color w:val="auto"/>
              </w:rPr>
            </w:pPr>
          </w:p>
        </w:tc>
        <w:tc>
          <w:tcPr>
            <w:tcW w:w="6700" w:type="dxa"/>
            <w:vAlign w:val="bottom"/>
          </w:tcPr>
          <w:p>
            <w:pPr>
              <w:ind w:left="120"/>
              <w:spacing w:after="0"/>
              <w:rPr>
                <w:sz w:val="20"/>
                <w:szCs w:val="20"/>
                <w:color w:val="auto"/>
              </w:rPr>
            </w:pPr>
            <w:r>
              <w:rPr>
                <w:rFonts w:ascii="Arial" w:cs="Arial" w:eastAsia="Arial" w:hAnsi="Arial"/>
                <w:sz w:val="16"/>
                <w:szCs w:val="16"/>
                <w:color w:val="auto"/>
              </w:rPr>
              <w:t>Fiscal Years That Failed to Meet Applicable Vesting Conditions During Fiscal Year</w:t>
            </w:r>
          </w:p>
        </w:tc>
        <w:tc>
          <w:tcPr>
            <w:tcW w:w="340" w:type="dxa"/>
            <w:vAlign w:val="bottom"/>
          </w:tcPr>
          <w:p>
            <w:pPr>
              <w:jc w:val="center"/>
              <w:spacing w:after="0"/>
              <w:rPr>
                <w:sz w:val="20"/>
                <w:szCs w:val="20"/>
                <w:color w:val="auto"/>
              </w:rPr>
            </w:pPr>
            <w:r>
              <w:rPr>
                <w:rFonts w:ascii="Arial" w:cs="Arial" w:eastAsia="Arial" w:hAnsi="Arial"/>
                <w:sz w:val="16"/>
                <w:szCs w:val="16"/>
                <w:color w:val="auto"/>
                <w:w w:val="91"/>
              </w:rPr>
              <w:t>(g)</w:t>
            </w: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$0</w:t>
            </w:r>
          </w:p>
        </w:tc>
      </w:tr>
      <w:tr>
        <w:trPr>
          <w:trHeight w:val="181"/>
        </w:trPr>
        <w:tc>
          <w:tcPr>
            <w:tcW w:w="380" w:type="dxa"/>
            <w:vAlign w:val="bottom"/>
            <w:tcBorders>
              <w:bottom w:val="single" w:sz="8" w:color="284993"/>
            </w:tcBorders>
            <w:shd w:val="clear" w:color="auto" w:fill="9DBDE4"/>
          </w:tcPr>
          <w:p>
            <w:pPr>
              <w:jc w:val="center"/>
              <w:spacing w:after="0" w:line="181" w:lineRule="exact"/>
              <w:rPr>
                <w:sz w:val="20"/>
                <w:szCs w:val="20"/>
                <w:color w:val="auto"/>
              </w:rPr>
            </w:pPr>
            <w:r>
              <w:rPr>
                <w:rFonts w:ascii="Arial" w:cs="Arial" w:eastAsia="Arial" w:hAnsi="Arial"/>
                <w:sz w:val="16"/>
                <w:szCs w:val="16"/>
                <w:color w:val="auto"/>
              </w:rPr>
              <w:t>=</w:t>
            </w:r>
          </w:p>
        </w:tc>
        <w:tc>
          <w:tcPr>
            <w:tcW w:w="6700" w:type="dxa"/>
            <w:vAlign w:val="bottom"/>
            <w:tcBorders>
              <w:bottom w:val="single" w:sz="8" w:color="284993"/>
            </w:tcBorders>
            <w:shd w:val="clear" w:color="auto" w:fill="9DBDE4"/>
          </w:tcPr>
          <w:p>
            <w:pPr>
              <w:ind w:left="120"/>
              <w:spacing w:after="0" w:line="181" w:lineRule="exact"/>
              <w:rPr>
                <w:sz w:val="20"/>
                <w:szCs w:val="20"/>
                <w:color w:val="auto"/>
              </w:rPr>
            </w:pPr>
            <w:r>
              <w:rPr>
                <w:rFonts w:ascii="Arial" w:cs="Arial" w:eastAsia="Arial" w:hAnsi="Arial"/>
                <w:sz w:val="16"/>
                <w:szCs w:val="16"/>
                <w:color w:val="auto"/>
              </w:rPr>
              <w:t>Compensation Actually Paid</w:t>
            </w:r>
          </w:p>
        </w:tc>
        <w:tc>
          <w:tcPr>
            <w:tcW w:w="340" w:type="dxa"/>
            <w:vAlign w:val="bottom"/>
            <w:tcBorders>
              <w:bottom w:val="single" w:sz="8" w:color="284993"/>
            </w:tcBorders>
            <w:shd w:val="clear" w:color="auto" w:fill="9DBDE4"/>
          </w:tcPr>
          <w:p>
            <w:pPr>
              <w:spacing w:after="0"/>
              <w:rPr>
                <w:sz w:val="15"/>
                <w:szCs w:val="15"/>
                <w:color w:val="auto"/>
              </w:rPr>
            </w:pPr>
          </w:p>
        </w:tc>
        <w:tc>
          <w:tcPr>
            <w:tcW w:w="480" w:type="dxa"/>
            <w:vAlign w:val="bottom"/>
            <w:tcBorders>
              <w:bottom w:val="single" w:sz="8" w:color="284993"/>
            </w:tcBorders>
            <w:shd w:val="clear" w:color="auto" w:fill="9DBDE4"/>
          </w:tcPr>
          <w:p>
            <w:pPr>
              <w:jc w:val="right"/>
              <w:ind w:right="2"/>
              <w:spacing w:after="0" w:line="181"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284993"/>
            </w:tcBorders>
            <w:shd w:val="clear" w:color="auto" w:fill="9DBDE4"/>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284993"/>
            </w:tcBorders>
            <w:shd w:val="clear" w:color="auto" w:fill="9DBDE4"/>
          </w:tcPr>
          <w:p>
            <w:pPr>
              <w:jc w:val="right"/>
              <w:ind w:right="2"/>
              <w:spacing w:after="0" w:line="181" w:lineRule="exact"/>
              <w:rPr>
                <w:sz w:val="20"/>
                <w:szCs w:val="20"/>
                <w:color w:val="auto"/>
              </w:rPr>
            </w:pPr>
            <w:r>
              <w:rPr>
                <w:rFonts w:ascii="Arial" w:cs="Arial" w:eastAsia="Arial" w:hAnsi="Arial"/>
                <w:sz w:val="16"/>
                <w:szCs w:val="16"/>
                <w:color w:val="auto"/>
              </w:rPr>
              <w:t>$799,949</w:t>
            </w:r>
          </w:p>
        </w:tc>
      </w:tr>
    </w:tbl>
    <w:p>
      <w:pPr>
        <w:spacing w:after="0" w:line="99" w:lineRule="exact"/>
        <w:rPr>
          <w:sz w:val="20"/>
          <w:szCs w:val="20"/>
          <w:color w:val="auto"/>
        </w:rPr>
      </w:pPr>
    </w:p>
    <w:p>
      <w:pPr>
        <w:ind w:left="540" w:hanging="266"/>
        <w:spacing w:after="0"/>
        <w:tabs>
          <w:tab w:leader="none" w:pos="540" w:val="left"/>
        </w:tabs>
        <w:numPr>
          <w:ilvl w:val="1"/>
          <w:numId w:val="62"/>
        </w:numPr>
        <w:rPr>
          <w:rFonts w:ascii="Arial" w:cs="Arial" w:eastAsia="Arial" w:hAnsi="Arial"/>
          <w:sz w:val="12"/>
          <w:szCs w:val="12"/>
          <w:color w:val="auto"/>
        </w:rPr>
      </w:pPr>
      <w:r>
        <w:rPr>
          <w:rFonts w:ascii="Arial" w:cs="Arial" w:eastAsia="Arial" w:hAnsi="Arial"/>
          <w:sz w:val="12"/>
          <w:szCs w:val="12"/>
          <w:color w:val="auto"/>
        </w:rPr>
        <w:t>Represents “Total” compensation as reported in the Summary Compensation Table for the indicated fiscal year.</w:t>
      </w:r>
    </w:p>
    <w:p>
      <w:pPr>
        <w:spacing w:after="0" w:line="3" w:lineRule="exact"/>
        <w:rPr>
          <w:rFonts w:ascii="Arial" w:cs="Arial" w:eastAsia="Arial" w:hAnsi="Arial"/>
          <w:sz w:val="12"/>
          <w:szCs w:val="12"/>
          <w:color w:val="auto"/>
        </w:rPr>
      </w:pPr>
    </w:p>
    <w:p>
      <w:pPr>
        <w:ind w:left="540" w:hanging="266"/>
        <w:spacing w:after="0" w:line="225" w:lineRule="auto"/>
        <w:tabs>
          <w:tab w:leader="none" w:pos="540" w:val="left"/>
        </w:tabs>
        <w:numPr>
          <w:ilvl w:val="1"/>
          <w:numId w:val="62"/>
        </w:numPr>
        <w:rPr>
          <w:rFonts w:ascii="Arial" w:cs="Arial" w:eastAsia="Arial" w:hAnsi="Arial"/>
          <w:sz w:val="12"/>
          <w:szCs w:val="12"/>
          <w:color w:val="auto"/>
        </w:rPr>
      </w:pPr>
      <w:r>
        <w:rPr>
          <w:rFonts w:ascii="Arial" w:cs="Arial" w:eastAsia="Arial" w:hAnsi="Arial"/>
          <w:sz w:val="12"/>
          <w:szCs w:val="12"/>
          <w:color w:val="auto"/>
        </w:rPr>
        <w:t>Represents the aggregate grant date fair value of the stock awards and option awards granted to the officer during the indicated fiscal year, computed in accordance with FASB ASC 718.</w:t>
      </w:r>
    </w:p>
    <w:p>
      <w:pPr>
        <w:ind w:left="540" w:right="240" w:hanging="266"/>
        <w:spacing w:after="0" w:line="225" w:lineRule="auto"/>
        <w:tabs>
          <w:tab w:leader="none" w:pos="540" w:val="left"/>
        </w:tabs>
        <w:numPr>
          <w:ilvl w:val="1"/>
          <w:numId w:val="62"/>
        </w:numPr>
        <w:rPr>
          <w:rFonts w:ascii="Arial" w:cs="Arial" w:eastAsia="Arial" w:hAnsi="Arial"/>
          <w:sz w:val="12"/>
          <w:szCs w:val="12"/>
          <w:color w:val="auto"/>
        </w:rPr>
      </w:pPr>
      <w:r>
        <w:rPr>
          <w:rFonts w:ascii="Arial" w:cs="Arial" w:eastAsia="Arial" w:hAnsi="Arial"/>
          <w:sz w:val="12"/>
          <w:szCs w:val="12"/>
          <w:color w:val="auto"/>
        </w:rPr>
        <w:t>Represents the aggregate fair value as of the indicated fiscal year-end of the officer’s outstanding and unvested stock awards and option awards granted during such fiscal year, computed in accordance with FASB ASC 718.</w:t>
      </w:r>
    </w:p>
    <w:p>
      <w:pPr>
        <w:ind w:left="540" w:hanging="266"/>
        <w:spacing w:after="0" w:line="225" w:lineRule="auto"/>
        <w:tabs>
          <w:tab w:leader="none" w:pos="540" w:val="left"/>
        </w:tabs>
        <w:numPr>
          <w:ilvl w:val="1"/>
          <w:numId w:val="62"/>
        </w:numPr>
        <w:rPr>
          <w:rFonts w:ascii="Arial" w:cs="Arial" w:eastAsia="Arial" w:hAnsi="Arial"/>
          <w:sz w:val="12"/>
          <w:szCs w:val="12"/>
          <w:color w:val="auto"/>
        </w:rPr>
      </w:pPr>
      <w:r>
        <w:rPr>
          <w:rFonts w:ascii="Arial" w:cs="Arial" w:eastAsia="Arial" w:hAnsi="Arial"/>
          <w:sz w:val="12"/>
          <w:szCs w:val="12"/>
          <w:color w:val="auto"/>
        </w:rPr>
        <w:t>Represents the aggregate change in fair value during the indicated fiscal year of the outstanding and unvested stock awards and option awards held by the officer as of the last day of the indicated fiscal year (as compared to the last day of the preceding fiscal year), computed in accordance with FASB ASC 718 and, for awards subject to performance-based vesting conditions, based on the probable outcome of such performance-based vesting conditions as of the last day of the fiscal year.</w:t>
      </w:r>
    </w:p>
    <w:p>
      <w:pPr>
        <w:ind w:left="540" w:right="220" w:hanging="266"/>
        <w:spacing w:after="0" w:line="225" w:lineRule="auto"/>
        <w:tabs>
          <w:tab w:leader="none" w:pos="540" w:val="left"/>
        </w:tabs>
        <w:numPr>
          <w:ilvl w:val="1"/>
          <w:numId w:val="62"/>
        </w:numPr>
        <w:rPr>
          <w:rFonts w:ascii="Arial" w:cs="Arial" w:eastAsia="Arial" w:hAnsi="Arial"/>
          <w:sz w:val="12"/>
          <w:szCs w:val="12"/>
          <w:color w:val="auto"/>
        </w:rPr>
      </w:pPr>
      <w:r>
        <w:rPr>
          <w:rFonts w:ascii="Arial" w:cs="Arial" w:eastAsia="Arial" w:hAnsi="Arial"/>
          <w:sz w:val="12"/>
          <w:szCs w:val="12"/>
          <w:color w:val="auto"/>
        </w:rPr>
        <w:t>Represents the aggregate fair value at vesting of the stock awards and option awards that were granted to the officer and vested during the indicated fiscal year, computed in accordance with FASB ASC 718.</w:t>
      </w:r>
    </w:p>
    <w:p>
      <w:pPr>
        <w:ind w:left="540" w:right="20" w:hanging="266"/>
        <w:spacing w:after="0" w:line="225" w:lineRule="auto"/>
        <w:tabs>
          <w:tab w:leader="none" w:pos="540" w:val="left"/>
        </w:tabs>
        <w:numPr>
          <w:ilvl w:val="1"/>
          <w:numId w:val="62"/>
        </w:numPr>
        <w:rPr>
          <w:rFonts w:ascii="Arial" w:cs="Arial" w:eastAsia="Arial" w:hAnsi="Arial"/>
          <w:sz w:val="12"/>
          <w:szCs w:val="12"/>
          <w:color w:val="auto"/>
        </w:rPr>
      </w:pPr>
      <w:r>
        <w:rPr>
          <w:rFonts w:ascii="Arial" w:cs="Arial" w:eastAsia="Arial" w:hAnsi="Arial"/>
          <w:sz w:val="12"/>
          <w:szCs w:val="12"/>
          <w:color w:val="auto"/>
        </w:rPr>
        <w:t>Represents the aggregate change in fair value, measured from the prior fiscal year-end to the vesting date, of each stock award and option award held by the officer that was granted in a prior fiscal year and which vested during the indicated fiscal year, computed in accordance with FASB ASC 718.</w:t>
      </w:r>
    </w:p>
    <w:p>
      <w:pPr>
        <w:ind w:left="540" w:right="120" w:hanging="266"/>
        <w:spacing w:after="0" w:line="225" w:lineRule="auto"/>
        <w:tabs>
          <w:tab w:leader="none" w:pos="540" w:val="left"/>
        </w:tabs>
        <w:numPr>
          <w:ilvl w:val="1"/>
          <w:numId w:val="62"/>
        </w:numPr>
        <w:rPr>
          <w:rFonts w:ascii="Arial" w:cs="Arial" w:eastAsia="Arial" w:hAnsi="Arial"/>
          <w:sz w:val="12"/>
          <w:szCs w:val="12"/>
          <w:color w:val="auto"/>
        </w:rPr>
      </w:pPr>
      <w:r>
        <w:rPr>
          <w:rFonts w:ascii="Arial" w:cs="Arial" w:eastAsia="Arial" w:hAnsi="Arial"/>
          <w:sz w:val="12"/>
          <w:szCs w:val="12"/>
          <w:color w:val="auto"/>
        </w:rPr>
        <w:t>Represents the aggregate fair value as of the last day of the prior fiscal year of the officer’s stock awards and option awards that were granted in a prior fiscal year and which failed to meet the applicable vesting conditions in the indicated fiscal year, computed in accordance with FASB ASC 718.</w:t>
      </w:r>
    </w:p>
    <w:p>
      <w:pPr>
        <w:ind w:left="280" w:right="80" w:hanging="278"/>
        <w:spacing w:after="0" w:line="235" w:lineRule="auto"/>
        <w:tabs>
          <w:tab w:leader="none" w:pos="2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Amounts reported in this column represent the compensation actually paid to the NEOs other than the PEO in the indicated fiscal year, based on the average “Total” compensation for such NEOs reported in the Summary Compensation Table for the indicated fiscal years and adjusted as shown in the table below (with the numbers in the table below each representing average amounts for the applicable non-PEO NEOs):</w:t>
      </w:r>
    </w:p>
    <w:p>
      <w:pPr>
        <w:spacing w:after="0" w:line="208" w:lineRule="exact"/>
        <w:rPr>
          <w:sz w:val="20"/>
          <w:szCs w:val="20"/>
          <w:color w:val="auto"/>
        </w:rPr>
      </w:pPr>
    </w:p>
    <w:p>
      <w:pPr>
        <w:jc w:val="center"/>
        <w:ind w:right="3480"/>
        <w:spacing w:after="0"/>
        <w:rPr>
          <w:sz w:val="20"/>
          <w:szCs w:val="20"/>
          <w:color w:val="auto"/>
        </w:rPr>
      </w:pPr>
      <w:r>
        <w:rPr>
          <w:rFonts w:ascii="Arial" w:cs="Arial" w:eastAsia="Arial" w:hAnsi="Arial"/>
          <w:sz w:val="16"/>
          <w:szCs w:val="16"/>
          <w:b w:val="1"/>
          <w:bCs w:val="1"/>
          <w:color w:val="FFFFFF"/>
        </w:rPr>
        <w:t>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5920740" cy="20885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20740" cy="2088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42"/>
              <w:spacing w:after="0"/>
              <w:rPr>
                <w:sz w:val="20"/>
                <w:szCs w:val="20"/>
                <w:color w:val="auto"/>
              </w:rPr>
            </w:pPr>
            <w:r>
              <w:rPr>
                <w:rFonts w:ascii="Arial" w:cs="Arial" w:eastAsia="Arial" w:hAnsi="Arial"/>
                <w:sz w:val="16"/>
                <w:szCs w:val="16"/>
                <w:b w:val="1"/>
                <w:bCs w:val="1"/>
                <w:color w:val="FFFFFF"/>
              </w:rPr>
              <w:t>2020</w:t>
            </w:r>
          </w:p>
        </w:tc>
        <w:tc>
          <w:tcPr>
            <w:tcW w:w="1080" w:type="dxa"/>
            <w:vAlign w:val="bottom"/>
          </w:tcPr>
          <w:p>
            <w:pPr>
              <w:jc w:val="right"/>
              <w:ind w:right="362"/>
              <w:spacing w:after="0"/>
              <w:rPr>
                <w:sz w:val="20"/>
                <w:szCs w:val="20"/>
                <w:color w:val="auto"/>
              </w:rPr>
            </w:pPr>
            <w:r>
              <w:rPr>
                <w:rFonts w:ascii="Arial" w:cs="Arial" w:eastAsia="Arial" w:hAnsi="Arial"/>
                <w:sz w:val="16"/>
                <w:szCs w:val="16"/>
                <w:b w:val="1"/>
                <w:bCs w:val="1"/>
                <w:color w:val="FFFFFF"/>
              </w:rPr>
              <w:t>2021</w:t>
            </w:r>
          </w:p>
        </w:tc>
        <w:tc>
          <w:tcPr>
            <w:tcW w:w="1040" w:type="dxa"/>
            <w:vAlign w:val="bottom"/>
          </w:tcPr>
          <w:p>
            <w:pPr>
              <w:jc w:val="right"/>
              <w:ind w:right="302"/>
              <w:spacing w:after="0"/>
              <w:rPr>
                <w:sz w:val="20"/>
                <w:szCs w:val="20"/>
                <w:color w:val="auto"/>
              </w:rPr>
            </w:pPr>
            <w:r>
              <w:rPr>
                <w:rFonts w:ascii="Arial" w:cs="Arial" w:eastAsia="Arial" w:hAnsi="Arial"/>
                <w:sz w:val="16"/>
                <w:szCs w:val="16"/>
                <w:b w:val="1"/>
                <w:bCs w:val="1"/>
                <w:color w:val="FFFFFF"/>
              </w:rPr>
              <w:t>2022</w:t>
            </w:r>
          </w:p>
        </w:tc>
      </w:tr>
      <w:tr>
        <w:trPr>
          <w:trHeight w:val="193"/>
        </w:trPr>
        <w:tc>
          <w:tcPr>
            <w:tcW w:w="340" w:type="dxa"/>
            <w:vAlign w:val="bottom"/>
          </w:tcPr>
          <w:p>
            <w:pPr>
              <w:spacing w:after="0"/>
              <w:rPr>
                <w:sz w:val="16"/>
                <w:szCs w:val="16"/>
                <w:color w:val="auto"/>
              </w:rPr>
            </w:pPr>
          </w:p>
        </w:tc>
        <w:tc>
          <w:tcPr>
            <w:tcW w:w="5500" w:type="dxa"/>
            <w:vAlign w:val="bottom"/>
          </w:tcPr>
          <w:p>
            <w:pPr>
              <w:ind w:left="80"/>
              <w:spacing w:after="0"/>
              <w:rPr>
                <w:sz w:val="20"/>
                <w:szCs w:val="20"/>
                <w:color w:val="auto"/>
              </w:rPr>
            </w:pPr>
            <w:r>
              <w:rPr>
                <w:rFonts w:ascii="Arial" w:cs="Arial" w:eastAsia="Arial" w:hAnsi="Arial"/>
                <w:sz w:val="16"/>
                <w:szCs w:val="16"/>
                <w:color w:val="auto"/>
              </w:rPr>
              <w:t>Summary Compensation Table – Total Compensation</w:t>
            </w:r>
          </w:p>
        </w:tc>
        <w:tc>
          <w:tcPr>
            <w:tcW w:w="320" w:type="dxa"/>
            <w:vAlign w:val="bottom"/>
          </w:tcPr>
          <w:p>
            <w:pPr>
              <w:jc w:val="center"/>
              <w:spacing w:after="0"/>
              <w:rPr>
                <w:sz w:val="20"/>
                <w:szCs w:val="20"/>
                <w:color w:val="auto"/>
              </w:rPr>
            </w:pPr>
            <w:r>
              <w:rPr>
                <w:rFonts w:ascii="Arial" w:cs="Arial" w:eastAsia="Arial" w:hAnsi="Arial"/>
                <w:sz w:val="16"/>
                <w:szCs w:val="16"/>
                <w:color w:val="auto"/>
              </w:rPr>
              <w:t>(a)</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$2,241,571</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$2,667,749</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$2,450,602</w:t>
            </w:r>
          </w:p>
        </w:tc>
      </w:tr>
      <w:tr>
        <w:trPr>
          <w:trHeight w:val="169"/>
        </w:trPr>
        <w:tc>
          <w:tcPr>
            <w:tcW w:w="340" w:type="dxa"/>
            <w:vAlign w:val="bottom"/>
            <w:shd w:val="clear" w:color="auto" w:fill="9DBDE4"/>
          </w:tcPr>
          <w:p>
            <w:pPr>
              <w:jc w:val="center"/>
              <w:spacing w:after="0" w:line="169" w:lineRule="exact"/>
              <w:rPr>
                <w:sz w:val="20"/>
                <w:szCs w:val="20"/>
                <w:color w:val="auto"/>
              </w:rPr>
            </w:pPr>
            <w:r>
              <w:rPr>
                <w:rFonts w:ascii="Arial" w:cs="Arial" w:eastAsia="Arial" w:hAnsi="Arial"/>
                <w:sz w:val="16"/>
                <w:szCs w:val="16"/>
                <w:color w:val="auto"/>
              </w:rPr>
              <w:t>-</w:t>
            </w:r>
          </w:p>
        </w:tc>
        <w:tc>
          <w:tcPr>
            <w:tcW w:w="5500" w:type="dxa"/>
            <w:vAlign w:val="bottom"/>
            <w:shd w:val="clear" w:color="auto" w:fill="9DBDE4"/>
          </w:tcPr>
          <w:p>
            <w:pPr>
              <w:ind w:left="80"/>
              <w:spacing w:after="0" w:line="169" w:lineRule="exact"/>
              <w:rPr>
                <w:sz w:val="20"/>
                <w:szCs w:val="20"/>
                <w:color w:val="auto"/>
              </w:rPr>
            </w:pPr>
            <w:r>
              <w:rPr>
                <w:rFonts w:ascii="Arial" w:cs="Arial" w:eastAsia="Arial" w:hAnsi="Arial"/>
                <w:sz w:val="16"/>
                <w:szCs w:val="16"/>
                <w:color w:val="auto"/>
                <w:w w:val="99"/>
              </w:rPr>
              <w:t>Grant Date Fair Value of Stock Awards and Option Awards Granted in Fiscal</w:t>
            </w:r>
          </w:p>
        </w:tc>
        <w:tc>
          <w:tcPr>
            <w:tcW w:w="320" w:type="dxa"/>
            <w:vAlign w:val="bottom"/>
            <w:shd w:val="clear" w:color="auto" w:fill="9DBDE4"/>
          </w:tcPr>
          <w:p>
            <w:pPr>
              <w:spacing w:after="0"/>
              <w:rPr>
                <w:sz w:val="14"/>
                <w:szCs w:val="14"/>
                <w:color w:val="auto"/>
              </w:rPr>
            </w:pPr>
          </w:p>
        </w:tc>
        <w:tc>
          <w:tcPr>
            <w:tcW w:w="1040" w:type="dxa"/>
            <w:vAlign w:val="bottom"/>
            <w:shd w:val="clear" w:color="auto" w:fill="9DBDE4"/>
          </w:tcPr>
          <w:p>
            <w:pPr>
              <w:spacing w:after="0"/>
              <w:rPr>
                <w:sz w:val="14"/>
                <w:szCs w:val="14"/>
                <w:color w:val="auto"/>
              </w:rPr>
            </w:pPr>
          </w:p>
        </w:tc>
        <w:tc>
          <w:tcPr>
            <w:tcW w:w="1080" w:type="dxa"/>
            <w:vAlign w:val="bottom"/>
            <w:shd w:val="clear" w:color="auto" w:fill="9DBDE4"/>
          </w:tcPr>
          <w:p>
            <w:pPr>
              <w:spacing w:after="0"/>
              <w:rPr>
                <w:sz w:val="14"/>
                <w:szCs w:val="14"/>
                <w:color w:val="auto"/>
              </w:rPr>
            </w:pPr>
          </w:p>
        </w:tc>
        <w:tc>
          <w:tcPr>
            <w:tcW w:w="1040" w:type="dxa"/>
            <w:vAlign w:val="bottom"/>
            <w:shd w:val="clear" w:color="auto" w:fill="9DBDE4"/>
          </w:tcPr>
          <w:p>
            <w:pPr>
              <w:spacing w:after="0"/>
              <w:rPr>
                <w:sz w:val="14"/>
                <w:szCs w:val="14"/>
                <w:color w:val="auto"/>
              </w:rPr>
            </w:pPr>
          </w:p>
        </w:tc>
      </w:tr>
      <w:tr>
        <w:trPr>
          <w:trHeight w:val="193"/>
        </w:trPr>
        <w:tc>
          <w:tcPr>
            <w:tcW w:w="340" w:type="dxa"/>
            <w:vAlign w:val="bottom"/>
            <w:shd w:val="clear" w:color="auto" w:fill="9DBDE4"/>
          </w:tcPr>
          <w:p>
            <w:pPr>
              <w:spacing w:after="0"/>
              <w:rPr>
                <w:sz w:val="16"/>
                <w:szCs w:val="16"/>
                <w:color w:val="auto"/>
              </w:rPr>
            </w:pPr>
          </w:p>
        </w:tc>
        <w:tc>
          <w:tcPr>
            <w:tcW w:w="5500" w:type="dxa"/>
            <w:vAlign w:val="bottom"/>
            <w:shd w:val="clear" w:color="auto" w:fill="9DBDE4"/>
          </w:tcPr>
          <w:p>
            <w:pPr>
              <w:ind w:left="80"/>
              <w:spacing w:after="0"/>
              <w:rPr>
                <w:sz w:val="20"/>
                <w:szCs w:val="20"/>
                <w:color w:val="auto"/>
              </w:rPr>
            </w:pPr>
            <w:r>
              <w:rPr>
                <w:rFonts w:ascii="Arial" w:cs="Arial" w:eastAsia="Arial" w:hAnsi="Arial"/>
                <w:sz w:val="16"/>
                <w:szCs w:val="16"/>
                <w:color w:val="auto"/>
              </w:rPr>
              <w:t>Year</w:t>
            </w:r>
          </w:p>
        </w:tc>
        <w:tc>
          <w:tcPr>
            <w:tcW w:w="320" w:type="dxa"/>
            <w:vAlign w:val="bottom"/>
            <w:shd w:val="clear" w:color="auto" w:fill="9DBDE4"/>
          </w:tcPr>
          <w:p>
            <w:pPr>
              <w:jc w:val="center"/>
              <w:spacing w:after="0"/>
              <w:rPr>
                <w:sz w:val="20"/>
                <w:szCs w:val="20"/>
                <w:color w:val="auto"/>
              </w:rPr>
            </w:pPr>
            <w:r>
              <w:rPr>
                <w:rFonts w:ascii="Arial" w:cs="Arial" w:eastAsia="Arial" w:hAnsi="Arial"/>
                <w:sz w:val="16"/>
                <w:szCs w:val="16"/>
                <w:color w:val="auto"/>
              </w:rPr>
              <w:t>(b)</w:t>
            </w:r>
          </w:p>
        </w:tc>
        <w:tc>
          <w:tcPr>
            <w:tcW w:w="1040" w:type="dxa"/>
            <w:vAlign w:val="bottom"/>
            <w:shd w:val="clear" w:color="auto" w:fill="9DBDE4"/>
          </w:tcPr>
          <w:p>
            <w:pPr>
              <w:jc w:val="right"/>
              <w:ind w:right="2"/>
              <w:spacing w:after="0"/>
              <w:rPr>
                <w:sz w:val="20"/>
                <w:szCs w:val="20"/>
                <w:color w:val="auto"/>
              </w:rPr>
            </w:pPr>
            <w:r>
              <w:rPr>
                <w:rFonts w:ascii="Arial" w:cs="Arial" w:eastAsia="Arial" w:hAnsi="Arial"/>
                <w:sz w:val="16"/>
                <w:szCs w:val="16"/>
                <w:color w:val="auto"/>
              </w:rPr>
              <w:t>($1,669,991)</w:t>
            </w:r>
          </w:p>
        </w:tc>
        <w:tc>
          <w:tcPr>
            <w:tcW w:w="1080" w:type="dxa"/>
            <w:vAlign w:val="bottom"/>
            <w:shd w:val="clear" w:color="auto" w:fill="9DBDE4"/>
          </w:tcPr>
          <w:p>
            <w:pPr>
              <w:jc w:val="right"/>
              <w:ind w:right="22"/>
              <w:spacing w:after="0"/>
              <w:rPr>
                <w:sz w:val="20"/>
                <w:szCs w:val="20"/>
                <w:color w:val="auto"/>
              </w:rPr>
            </w:pPr>
            <w:r>
              <w:rPr>
                <w:rFonts w:ascii="Arial" w:cs="Arial" w:eastAsia="Arial" w:hAnsi="Arial"/>
                <w:sz w:val="16"/>
                <w:szCs w:val="16"/>
                <w:color w:val="auto"/>
              </w:rPr>
              <w:t>($1,545,208)</w:t>
            </w:r>
          </w:p>
        </w:tc>
        <w:tc>
          <w:tcPr>
            <w:tcW w:w="1040" w:type="dxa"/>
            <w:vAlign w:val="bottom"/>
            <w:shd w:val="clear" w:color="auto" w:fill="9DBDE4"/>
          </w:tcPr>
          <w:p>
            <w:pPr>
              <w:jc w:val="right"/>
              <w:spacing w:after="0"/>
              <w:rPr>
                <w:sz w:val="20"/>
                <w:szCs w:val="20"/>
                <w:color w:val="auto"/>
              </w:rPr>
            </w:pPr>
            <w:r>
              <w:rPr>
                <w:rFonts w:ascii="Arial" w:cs="Arial" w:eastAsia="Arial" w:hAnsi="Arial"/>
                <w:sz w:val="16"/>
                <w:szCs w:val="16"/>
                <w:color w:val="auto"/>
              </w:rPr>
              <w:t>($1,658,331)</w:t>
            </w:r>
          </w:p>
        </w:tc>
      </w:tr>
      <w:tr>
        <w:trPr>
          <w:trHeight w:val="169"/>
        </w:trPr>
        <w:tc>
          <w:tcPr>
            <w:tcW w:w="340" w:type="dxa"/>
            <w:vAlign w:val="bottom"/>
          </w:tcPr>
          <w:p>
            <w:pPr>
              <w:jc w:val="center"/>
              <w:spacing w:after="0" w:line="169" w:lineRule="exact"/>
              <w:rPr>
                <w:sz w:val="20"/>
                <w:szCs w:val="20"/>
                <w:color w:val="auto"/>
              </w:rPr>
            </w:pPr>
            <w:r>
              <w:rPr>
                <w:rFonts w:ascii="Arial" w:cs="Arial" w:eastAsia="Arial" w:hAnsi="Arial"/>
                <w:sz w:val="16"/>
                <w:szCs w:val="16"/>
                <w:color w:val="auto"/>
              </w:rPr>
              <w:t>+</w:t>
            </w:r>
          </w:p>
        </w:tc>
        <w:tc>
          <w:tcPr>
            <w:tcW w:w="5500" w:type="dxa"/>
            <w:vAlign w:val="bottom"/>
          </w:tcPr>
          <w:p>
            <w:pPr>
              <w:ind w:left="80"/>
              <w:spacing w:after="0" w:line="169" w:lineRule="exact"/>
              <w:rPr>
                <w:sz w:val="20"/>
                <w:szCs w:val="20"/>
                <w:color w:val="auto"/>
              </w:rPr>
            </w:pPr>
            <w:r>
              <w:rPr>
                <w:rFonts w:ascii="Arial" w:cs="Arial" w:eastAsia="Arial" w:hAnsi="Arial"/>
                <w:sz w:val="16"/>
                <w:szCs w:val="16"/>
                <w:color w:val="auto"/>
                <w:w w:val="97"/>
              </w:rPr>
              <w:t>Fair Value at Fiscal Year End of Outstanding and Unvested Stock Awards and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3"/>
        </w:trPr>
        <w:tc>
          <w:tcPr>
            <w:tcW w:w="340" w:type="dxa"/>
            <w:vAlign w:val="bottom"/>
          </w:tcPr>
          <w:p>
            <w:pPr>
              <w:spacing w:after="0"/>
              <w:rPr>
                <w:sz w:val="16"/>
                <w:szCs w:val="16"/>
                <w:color w:val="auto"/>
              </w:rPr>
            </w:pPr>
          </w:p>
        </w:tc>
        <w:tc>
          <w:tcPr>
            <w:tcW w:w="5500" w:type="dxa"/>
            <w:vAlign w:val="bottom"/>
          </w:tcPr>
          <w:p>
            <w:pPr>
              <w:ind w:left="80"/>
              <w:spacing w:after="0"/>
              <w:rPr>
                <w:sz w:val="20"/>
                <w:szCs w:val="20"/>
                <w:color w:val="auto"/>
              </w:rPr>
            </w:pPr>
            <w:r>
              <w:rPr>
                <w:rFonts w:ascii="Arial" w:cs="Arial" w:eastAsia="Arial" w:hAnsi="Arial"/>
                <w:sz w:val="16"/>
                <w:szCs w:val="16"/>
                <w:color w:val="auto"/>
              </w:rPr>
              <w:t>Option Awards Granted in Fiscal Year</w:t>
            </w:r>
          </w:p>
        </w:tc>
        <w:tc>
          <w:tcPr>
            <w:tcW w:w="320" w:type="dxa"/>
            <w:vAlign w:val="bottom"/>
          </w:tcPr>
          <w:p>
            <w:pPr>
              <w:jc w:val="center"/>
              <w:spacing w:after="0"/>
              <w:rPr>
                <w:sz w:val="20"/>
                <w:szCs w:val="20"/>
                <w:color w:val="auto"/>
              </w:rPr>
            </w:pPr>
            <w:r>
              <w:rPr>
                <w:rFonts w:ascii="Arial" w:cs="Arial" w:eastAsia="Arial" w:hAnsi="Arial"/>
                <w:sz w:val="16"/>
                <w:szCs w:val="16"/>
                <w:color w:val="auto"/>
                <w:w w:val="96"/>
              </w:rPr>
              <w:t>(c)</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$1,843,117</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$1,213,298</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$846,128</w:t>
            </w:r>
          </w:p>
        </w:tc>
      </w:tr>
      <w:tr>
        <w:trPr>
          <w:trHeight w:val="169"/>
        </w:trPr>
        <w:tc>
          <w:tcPr>
            <w:tcW w:w="340" w:type="dxa"/>
            <w:vAlign w:val="bottom"/>
            <w:shd w:val="clear" w:color="auto" w:fill="9DBDE4"/>
          </w:tcPr>
          <w:p>
            <w:pPr>
              <w:jc w:val="center"/>
              <w:spacing w:after="0" w:line="169" w:lineRule="exact"/>
              <w:rPr>
                <w:sz w:val="20"/>
                <w:szCs w:val="20"/>
                <w:color w:val="auto"/>
              </w:rPr>
            </w:pPr>
            <w:r>
              <w:rPr>
                <w:rFonts w:ascii="Arial" w:cs="Arial" w:eastAsia="Arial" w:hAnsi="Arial"/>
                <w:sz w:val="16"/>
                <w:szCs w:val="16"/>
                <w:color w:val="auto"/>
                <w:w w:val="93"/>
              </w:rPr>
              <w:t>+/-</w:t>
            </w:r>
          </w:p>
        </w:tc>
        <w:tc>
          <w:tcPr>
            <w:tcW w:w="5500" w:type="dxa"/>
            <w:vAlign w:val="bottom"/>
            <w:shd w:val="clear" w:color="auto" w:fill="9DBDE4"/>
          </w:tcPr>
          <w:p>
            <w:pPr>
              <w:ind w:left="80"/>
              <w:spacing w:after="0" w:line="169" w:lineRule="exact"/>
              <w:rPr>
                <w:sz w:val="20"/>
                <w:szCs w:val="20"/>
                <w:color w:val="auto"/>
              </w:rPr>
            </w:pPr>
            <w:r>
              <w:rPr>
                <w:rFonts w:ascii="Arial" w:cs="Arial" w:eastAsia="Arial" w:hAnsi="Arial"/>
                <w:sz w:val="16"/>
                <w:szCs w:val="16"/>
                <w:color w:val="auto"/>
                <w:w w:val="98"/>
              </w:rPr>
              <w:t>Change in Fair Value of Outstanding and Unvested Stock Awards and Option</w:t>
            </w:r>
          </w:p>
        </w:tc>
        <w:tc>
          <w:tcPr>
            <w:tcW w:w="320" w:type="dxa"/>
            <w:vAlign w:val="bottom"/>
            <w:shd w:val="clear" w:color="auto" w:fill="9DBDE4"/>
          </w:tcPr>
          <w:p>
            <w:pPr>
              <w:spacing w:after="0"/>
              <w:rPr>
                <w:sz w:val="14"/>
                <w:szCs w:val="14"/>
                <w:color w:val="auto"/>
              </w:rPr>
            </w:pPr>
          </w:p>
        </w:tc>
        <w:tc>
          <w:tcPr>
            <w:tcW w:w="1040" w:type="dxa"/>
            <w:vAlign w:val="bottom"/>
            <w:shd w:val="clear" w:color="auto" w:fill="9DBDE4"/>
          </w:tcPr>
          <w:p>
            <w:pPr>
              <w:spacing w:after="0"/>
              <w:rPr>
                <w:sz w:val="14"/>
                <w:szCs w:val="14"/>
                <w:color w:val="auto"/>
              </w:rPr>
            </w:pPr>
          </w:p>
        </w:tc>
        <w:tc>
          <w:tcPr>
            <w:tcW w:w="1080" w:type="dxa"/>
            <w:vAlign w:val="bottom"/>
            <w:shd w:val="clear" w:color="auto" w:fill="9DBDE4"/>
          </w:tcPr>
          <w:p>
            <w:pPr>
              <w:spacing w:after="0"/>
              <w:rPr>
                <w:sz w:val="14"/>
                <w:szCs w:val="14"/>
                <w:color w:val="auto"/>
              </w:rPr>
            </w:pPr>
          </w:p>
        </w:tc>
        <w:tc>
          <w:tcPr>
            <w:tcW w:w="1040" w:type="dxa"/>
            <w:vAlign w:val="bottom"/>
            <w:shd w:val="clear" w:color="auto" w:fill="9DBDE4"/>
          </w:tcPr>
          <w:p>
            <w:pPr>
              <w:spacing w:after="0"/>
              <w:rPr>
                <w:sz w:val="14"/>
                <w:szCs w:val="14"/>
                <w:color w:val="auto"/>
              </w:rPr>
            </w:pPr>
          </w:p>
        </w:tc>
      </w:tr>
      <w:tr>
        <w:trPr>
          <w:trHeight w:val="193"/>
        </w:trPr>
        <w:tc>
          <w:tcPr>
            <w:tcW w:w="340" w:type="dxa"/>
            <w:vAlign w:val="bottom"/>
            <w:shd w:val="clear" w:color="auto" w:fill="9DBDE4"/>
          </w:tcPr>
          <w:p>
            <w:pPr>
              <w:spacing w:after="0"/>
              <w:rPr>
                <w:sz w:val="16"/>
                <w:szCs w:val="16"/>
                <w:color w:val="auto"/>
              </w:rPr>
            </w:pPr>
          </w:p>
        </w:tc>
        <w:tc>
          <w:tcPr>
            <w:tcW w:w="5500" w:type="dxa"/>
            <w:vAlign w:val="bottom"/>
            <w:shd w:val="clear" w:color="auto" w:fill="9DBDE4"/>
          </w:tcPr>
          <w:p>
            <w:pPr>
              <w:ind w:left="80"/>
              <w:spacing w:after="0"/>
              <w:rPr>
                <w:sz w:val="20"/>
                <w:szCs w:val="20"/>
                <w:color w:val="auto"/>
              </w:rPr>
            </w:pPr>
            <w:r>
              <w:rPr>
                <w:rFonts w:ascii="Arial" w:cs="Arial" w:eastAsia="Arial" w:hAnsi="Arial"/>
                <w:sz w:val="16"/>
                <w:szCs w:val="16"/>
                <w:color w:val="auto"/>
              </w:rPr>
              <w:t>Awards Granted in Prior Fiscal Years</w:t>
            </w:r>
          </w:p>
        </w:tc>
        <w:tc>
          <w:tcPr>
            <w:tcW w:w="320" w:type="dxa"/>
            <w:vAlign w:val="bottom"/>
            <w:shd w:val="clear" w:color="auto" w:fill="9DBDE4"/>
          </w:tcPr>
          <w:p>
            <w:pPr>
              <w:jc w:val="center"/>
              <w:spacing w:after="0"/>
              <w:rPr>
                <w:sz w:val="20"/>
                <w:szCs w:val="20"/>
                <w:color w:val="auto"/>
              </w:rPr>
            </w:pPr>
            <w:r>
              <w:rPr>
                <w:rFonts w:ascii="Arial" w:cs="Arial" w:eastAsia="Arial" w:hAnsi="Arial"/>
                <w:sz w:val="16"/>
                <w:szCs w:val="16"/>
                <w:color w:val="auto"/>
              </w:rPr>
              <w:t>(d)</w:t>
            </w:r>
          </w:p>
        </w:tc>
        <w:tc>
          <w:tcPr>
            <w:tcW w:w="1040" w:type="dxa"/>
            <w:vAlign w:val="bottom"/>
            <w:shd w:val="clear" w:color="auto" w:fill="9DBDE4"/>
          </w:tcPr>
          <w:p>
            <w:pPr>
              <w:jc w:val="right"/>
              <w:ind w:right="2"/>
              <w:spacing w:after="0"/>
              <w:rPr>
                <w:sz w:val="20"/>
                <w:szCs w:val="20"/>
                <w:color w:val="auto"/>
              </w:rPr>
            </w:pPr>
            <w:r>
              <w:rPr>
                <w:rFonts w:ascii="Arial" w:cs="Arial" w:eastAsia="Arial" w:hAnsi="Arial"/>
                <w:sz w:val="16"/>
                <w:szCs w:val="16"/>
                <w:color w:val="auto"/>
              </w:rPr>
              <w:t>($13,493)</w:t>
            </w:r>
          </w:p>
        </w:tc>
        <w:tc>
          <w:tcPr>
            <w:tcW w:w="1080" w:type="dxa"/>
            <w:vAlign w:val="bottom"/>
            <w:shd w:val="clear" w:color="auto" w:fill="9DBDE4"/>
          </w:tcPr>
          <w:p>
            <w:pPr>
              <w:jc w:val="right"/>
              <w:ind w:right="22"/>
              <w:spacing w:after="0"/>
              <w:rPr>
                <w:sz w:val="20"/>
                <w:szCs w:val="20"/>
                <w:color w:val="auto"/>
              </w:rPr>
            </w:pPr>
            <w:r>
              <w:rPr>
                <w:rFonts w:ascii="Arial" w:cs="Arial" w:eastAsia="Arial" w:hAnsi="Arial"/>
                <w:sz w:val="16"/>
                <w:szCs w:val="16"/>
                <w:color w:val="auto"/>
              </w:rPr>
              <w:t>($726,968)</w:t>
            </w:r>
          </w:p>
        </w:tc>
        <w:tc>
          <w:tcPr>
            <w:tcW w:w="1040" w:type="dxa"/>
            <w:vAlign w:val="bottom"/>
            <w:shd w:val="clear" w:color="auto" w:fill="9DBDE4"/>
          </w:tcPr>
          <w:p>
            <w:pPr>
              <w:jc w:val="right"/>
              <w:spacing w:after="0"/>
              <w:rPr>
                <w:sz w:val="20"/>
                <w:szCs w:val="20"/>
                <w:color w:val="auto"/>
              </w:rPr>
            </w:pPr>
            <w:r>
              <w:rPr>
                <w:rFonts w:ascii="Arial" w:cs="Arial" w:eastAsia="Arial" w:hAnsi="Arial"/>
                <w:sz w:val="16"/>
                <w:szCs w:val="16"/>
                <w:color w:val="auto"/>
              </w:rPr>
              <w:t>($344,896)</w:t>
            </w:r>
          </w:p>
        </w:tc>
      </w:tr>
      <w:tr>
        <w:trPr>
          <w:trHeight w:val="169"/>
        </w:trPr>
        <w:tc>
          <w:tcPr>
            <w:tcW w:w="340" w:type="dxa"/>
            <w:vAlign w:val="bottom"/>
          </w:tcPr>
          <w:p>
            <w:pPr>
              <w:jc w:val="center"/>
              <w:spacing w:after="0" w:line="169" w:lineRule="exact"/>
              <w:rPr>
                <w:sz w:val="20"/>
                <w:szCs w:val="20"/>
                <w:color w:val="auto"/>
              </w:rPr>
            </w:pPr>
            <w:r>
              <w:rPr>
                <w:rFonts w:ascii="Arial" w:cs="Arial" w:eastAsia="Arial" w:hAnsi="Arial"/>
                <w:sz w:val="16"/>
                <w:szCs w:val="16"/>
                <w:color w:val="auto"/>
              </w:rPr>
              <w:t>+</w:t>
            </w:r>
          </w:p>
        </w:tc>
        <w:tc>
          <w:tcPr>
            <w:tcW w:w="5500" w:type="dxa"/>
            <w:vAlign w:val="bottom"/>
          </w:tcPr>
          <w:p>
            <w:pPr>
              <w:ind w:left="80"/>
              <w:spacing w:after="0" w:line="169" w:lineRule="exact"/>
              <w:rPr>
                <w:sz w:val="20"/>
                <w:szCs w:val="20"/>
                <w:color w:val="auto"/>
              </w:rPr>
            </w:pPr>
            <w:r>
              <w:rPr>
                <w:rFonts w:ascii="Arial" w:cs="Arial" w:eastAsia="Arial" w:hAnsi="Arial"/>
                <w:sz w:val="16"/>
                <w:szCs w:val="16"/>
                <w:color w:val="auto"/>
              </w:rPr>
              <w:t>Fair Value at Vesting of Stock Awards and Option Awards Granted in Fiscal</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3"/>
        </w:trPr>
        <w:tc>
          <w:tcPr>
            <w:tcW w:w="340" w:type="dxa"/>
            <w:vAlign w:val="bottom"/>
          </w:tcPr>
          <w:p>
            <w:pPr>
              <w:spacing w:after="0"/>
              <w:rPr>
                <w:sz w:val="16"/>
                <w:szCs w:val="16"/>
                <w:color w:val="auto"/>
              </w:rPr>
            </w:pPr>
          </w:p>
        </w:tc>
        <w:tc>
          <w:tcPr>
            <w:tcW w:w="5500" w:type="dxa"/>
            <w:vAlign w:val="bottom"/>
          </w:tcPr>
          <w:p>
            <w:pPr>
              <w:ind w:left="80"/>
              <w:spacing w:after="0"/>
              <w:rPr>
                <w:sz w:val="20"/>
                <w:szCs w:val="20"/>
                <w:color w:val="auto"/>
              </w:rPr>
            </w:pPr>
            <w:r>
              <w:rPr>
                <w:rFonts w:ascii="Arial" w:cs="Arial" w:eastAsia="Arial" w:hAnsi="Arial"/>
                <w:sz w:val="16"/>
                <w:szCs w:val="16"/>
                <w:color w:val="auto"/>
              </w:rPr>
              <w:t>Year That Vested During Fiscal Year</w:t>
            </w:r>
          </w:p>
        </w:tc>
        <w:tc>
          <w:tcPr>
            <w:tcW w:w="320" w:type="dxa"/>
            <w:vAlign w:val="bottom"/>
          </w:tcPr>
          <w:p>
            <w:pPr>
              <w:jc w:val="center"/>
              <w:spacing w:after="0"/>
              <w:rPr>
                <w:sz w:val="20"/>
                <w:szCs w:val="20"/>
                <w:color w:val="auto"/>
              </w:rPr>
            </w:pPr>
            <w:r>
              <w:rPr>
                <w:rFonts w:ascii="Arial" w:cs="Arial" w:eastAsia="Arial" w:hAnsi="Arial"/>
                <w:sz w:val="16"/>
                <w:szCs w:val="16"/>
                <w:color w:val="auto"/>
              </w:rPr>
              <w:t>(e)</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$0</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$11,817</w:t>
            </w:r>
          </w:p>
        </w:tc>
      </w:tr>
      <w:tr>
        <w:trPr>
          <w:trHeight w:val="169"/>
        </w:trPr>
        <w:tc>
          <w:tcPr>
            <w:tcW w:w="340" w:type="dxa"/>
            <w:vAlign w:val="bottom"/>
            <w:shd w:val="clear" w:color="auto" w:fill="9DBDE4"/>
          </w:tcPr>
          <w:p>
            <w:pPr>
              <w:jc w:val="center"/>
              <w:spacing w:after="0" w:line="169" w:lineRule="exact"/>
              <w:rPr>
                <w:sz w:val="20"/>
                <w:szCs w:val="20"/>
                <w:color w:val="auto"/>
              </w:rPr>
            </w:pPr>
            <w:r>
              <w:rPr>
                <w:rFonts w:ascii="Arial" w:cs="Arial" w:eastAsia="Arial" w:hAnsi="Arial"/>
                <w:sz w:val="16"/>
                <w:szCs w:val="16"/>
                <w:color w:val="auto"/>
                <w:w w:val="93"/>
              </w:rPr>
              <w:t>+/-</w:t>
            </w:r>
          </w:p>
        </w:tc>
        <w:tc>
          <w:tcPr>
            <w:tcW w:w="5500" w:type="dxa"/>
            <w:vAlign w:val="bottom"/>
            <w:shd w:val="clear" w:color="auto" w:fill="9DBDE4"/>
          </w:tcPr>
          <w:p>
            <w:pPr>
              <w:ind w:left="80"/>
              <w:spacing w:after="0" w:line="169" w:lineRule="exact"/>
              <w:rPr>
                <w:sz w:val="20"/>
                <w:szCs w:val="20"/>
                <w:color w:val="auto"/>
              </w:rPr>
            </w:pPr>
            <w:r>
              <w:rPr>
                <w:rFonts w:ascii="Arial" w:cs="Arial" w:eastAsia="Arial" w:hAnsi="Arial"/>
                <w:sz w:val="16"/>
                <w:szCs w:val="16"/>
                <w:color w:val="auto"/>
                <w:w w:val="98"/>
              </w:rPr>
              <w:t>Change in Fair Value as of Vesting Date of Stock Awards and Option Awards</w:t>
            </w:r>
          </w:p>
        </w:tc>
        <w:tc>
          <w:tcPr>
            <w:tcW w:w="320" w:type="dxa"/>
            <w:vAlign w:val="bottom"/>
            <w:shd w:val="clear" w:color="auto" w:fill="9DBDE4"/>
          </w:tcPr>
          <w:p>
            <w:pPr>
              <w:spacing w:after="0"/>
              <w:rPr>
                <w:sz w:val="14"/>
                <w:szCs w:val="14"/>
                <w:color w:val="auto"/>
              </w:rPr>
            </w:pPr>
          </w:p>
        </w:tc>
        <w:tc>
          <w:tcPr>
            <w:tcW w:w="1040" w:type="dxa"/>
            <w:vAlign w:val="bottom"/>
            <w:shd w:val="clear" w:color="auto" w:fill="9DBDE4"/>
          </w:tcPr>
          <w:p>
            <w:pPr>
              <w:spacing w:after="0"/>
              <w:rPr>
                <w:sz w:val="14"/>
                <w:szCs w:val="14"/>
                <w:color w:val="auto"/>
              </w:rPr>
            </w:pPr>
          </w:p>
        </w:tc>
        <w:tc>
          <w:tcPr>
            <w:tcW w:w="1080" w:type="dxa"/>
            <w:vAlign w:val="bottom"/>
            <w:shd w:val="clear" w:color="auto" w:fill="9DBDE4"/>
          </w:tcPr>
          <w:p>
            <w:pPr>
              <w:spacing w:after="0"/>
              <w:rPr>
                <w:sz w:val="14"/>
                <w:szCs w:val="14"/>
                <w:color w:val="auto"/>
              </w:rPr>
            </w:pPr>
          </w:p>
        </w:tc>
        <w:tc>
          <w:tcPr>
            <w:tcW w:w="1040" w:type="dxa"/>
            <w:vAlign w:val="bottom"/>
            <w:shd w:val="clear" w:color="auto" w:fill="9DBDE4"/>
          </w:tcPr>
          <w:p>
            <w:pPr>
              <w:spacing w:after="0"/>
              <w:rPr>
                <w:sz w:val="14"/>
                <w:szCs w:val="14"/>
                <w:color w:val="auto"/>
              </w:rPr>
            </w:pPr>
          </w:p>
        </w:tc>
      </w:tr>
      <w:tr>
        <w:trPr>
          <w:trHeight w:val="181"/>
        </w:trPr>
        <w:tc>
          <w:tcPr>
            <w:tcW w:w="340" w:type="dxa"/>
            <w:vAlign w:val="bottom"/>
            <w:shd w:val="clear" w:color="auto" w:fill="9DBDE4"/>
          </w:tcPr>
          <w:p>
            <w:pPr>
              <w:spacing w:after="0"/>
              <w:rPr>
                <w:sz w:val="15"/>
                <w:szCs w:val="15"/>
                <w:color w:val="auto"/>
              </w:rPr>
            </w:pPr>
          </w:p>
        </w:tc>
        <w:tc>
          <w:tcPr>
            <w:tcW w:w="5500" w:type="dxa"/>
            <w:vAlign w:val="bottom"/>
            <w:shd w:val="clear" w:color="auto" w:fill="9DBDE4"/>
          </w:tcPr>
          <w:p>
            <w:pPr>
              <w:ind w:left="80"/>
              <w:spacing w:after="0" w:line="181" w:lineRule="exact"/>
              <w:rPr>
                <w:sz w:val="20"/>
                <w:szCs w:val="20"/>
                <w:color w:val="auto"/>
              </w:rPr>
            </w:pPr>
            <w:r>
              <w:rPr>
                <w:rFonts w:ascii="Arial" w:cs="Arial" w:eastAsia="Arial" w:hAnsi="Arial"/>
                <w:sz w:val="16"/>
                <w:szCs w:val="16"/>
                <w:color w:val="auto"/>
                <w:w w:val="99"/>
              </w:rPr>
              <w:t>Granted in Prior Fiscal Years For Which Applicable Vesting Conditions Were</w:t>
            </w:r>
          </w:p>
        </w:tc>
        <w:tc>
          <w:tcPr>
            <w:tcW w:w="320" w:type="dxa"/>
            <w:vAlign w:val="bottom"/>
            <w:shd w:val="clear" w:color="auto" w:fill="9DBDE4"/>
          </w:tcPr>
          <w:p>
            <w:pPr>
              <w:spacing w:after="0"/>
              <w:rPr>
                <w:sz w:val="15"/>
                <w:szCs w:val="15"/>
                <w:color w:val="auto"/>
              </w:rPr>
            </w:pPr>
          </w:p>
        </w:tc>
        <w:tc>
          <w:tcPr>
            <w:tcW w:w="1040" w:type="dxa"/>
            <w:vAlign w:val="bottom"/>
            <w:shd w:val="clear" w:color="auto" w:fill="9DBDE4"/>
          </w:tcPr>
          <w:p>
            <w:pPr>
              <w:spacing w:after="0"/>
              <w:rPr>
                <w:sz w:val="15"/>
                <w:szCs w:val="15"/>
                <w:color w:val="auto"/>
              </w:rPr>
            </w:pPr>
          </w:p>
        </w:tc>
        <w:tc>
          <w:tcPr>
            <w:tcW w:w="1080" w:type="dxa"/>
            <w:vAlign w:val="bottom"/>
            <w:shd w:val="clear" w:color="auto" w:fill="9DBDE4"/>
          </w:tcPr>
          <w:p>
            <w:pPr>
              <w:spacing w:after="0"/>
              <w:rPr>
                <w:sz w:val="15"/>
                <w:szCs w:val="15"/>
                <w:color w:val="auto"/>
              </w:rPr>
            </w:pPr>
          </w:p>
        </w:tc>
        <w:tc>
          <w:tcPr>
            <w:tcW w:w="1040" w:type="dxa"/>
            <w:vAlign w:val="bottom"/>
            <w:shd w:val="clear" w:color="auto" w:fill="9DBDE4"/>
          </w:tcPr>
          <w:p>
            <w:pPr>
              <w:spacing w:after="0"/>
              <w:rPr>
                <w:sz w:val="15"/>
                <w:szCs w:val="15"/>
                <w:color w:val="auto"/>
              </w:rPr>
            </w:pPr>
          </w:p>
        </w:tc>
      </w:tr>
      <w:tr>
        <w:trPr>
          <w:trHeight w:val="193"/>
        </w:trPr>
        <w:tc>
          <w:tcPr>
            <w:tcW w:w="340" w:type="dxa"/>
            <w:vAlign w:val="bottom"/>
            <w:shd w:val="clear" w:color="auto" w:fill="9DBDE4"/>
          </w:tcPr>
          <w:p>
            <w:pPr>
              <w:spacing w:after="0"/>
              <w:rPr>
                <w:sz w:val="16"/>
                <w:szCs w:val="16"/>
                <w:color w:val="auto"/>
              </w:rPr>
            </w:pPr>
          </w:p>
        </w:tc>
        <w:tc>
          <w:tcPr>
            <w:tcW w:w="5500" w:type="dxa"/>
            <w:vAlign w:val="bottom"/>
            <w:shd w:val="clear" w:color="auto" w:fill="9DBDE4"/>
          </w:tcPr>
          <w:p>
            <w:pPr>
              <w:ind w:left="80"/>
              <w:spacing w:after="0"/>
              <w:rPr>
                <w:sz w:val="20"/>
                <w:szCs w:val="20"/>
                <w:color w:val="auto"/>
              </w:rPr>
            </w:pPr>
            <w:r>
              <w:rPr>
                <w:rFonts w:ascii="Arial" w:cs="Arial" w:eastAsia="Arial" w:hAnsi="Arial"/>
                <w:sz w:val="16"/>
                <w:szCs w:val="16"/>
                <w:color w:val="auto"/>
              </w:rPr>
              <w:t>Satisfied During Fiscal Year</w:t>
            </w:r>
          </w:p>
        </w:tc>
        <w:tc>
          <w:tcPr>
            <w:tcW w:w="320" w:type="dxa"/>
            <w:vAlign w:val="bottom"/>
            <w:shd w:val="clear" w:color="auto" w:fill="9DBDE4"/>
          </w:tcPr>
          <w:p>
            <w:pPr>
              <w:jc w:val="center"/>
              <w:spacing w:after="0"/>
              <w:rPr>
                <w:sz w:val="20"/>
                <w:szCs w:val="20"/>
                <w:color w:val="auto"/>
              </w:rPr>
            </w:pPr>
            <w:r>
              <w:rPr>
                <w:rFonts w:ascii="Arial" w:cs="Arial" w:eastAsia="Arial" w:hAnsi="Arial"/>
                <w:sz w:val="16"/>
                <w:szCs w:val="16"/>
                <w:color w:val="auto"/>
                <w:w w:val="92"/>
              </w:rPr>
              <w:t>(f)</w:t>
            </w:r>
          </w:p>
        </w:tc>
        <w:tc>
          <w:tcPr>
            <w:tcW w:w="1040" w:type="dxa"/>
            <w:vAlign w:val="bottom"/>
            <w:shd w:val="clear" w:color="auto" w:fill="9DBDE4"/>
          </w:tcPr>
          <w:p>
            <w:pPr>
              <w:jc w:val="right"/>
              <w:ind w:right="62"/>
              <w:spacing w:after="0"/>
              <w:rPr>
                <w:sz w:val="20"/>
                <w:szCs w:val="20"/>
                <w:color w:val="auto"/>
              </w:rPr>
            </w:pPr>
            <w:r>
              <w:rPr>
                <w:rFonts w:ascii="Arial" w:cs="Arial" w:eastAsia="Arial" w:hAnsi="Arial"/>
                <w:sz w:val="16"/>
                <w:szCs w:val="16"/>
                <w:color w:val="auto"/>
              </w:rPr>
              <w:t>$34,993</w:t>
            </w:r>
          </w:p>
        </w:tc>
        <w:tc>
          <w:tcPr>
            <w:tcW w:w="1080" w:type="dxa"/>
            <w:vAlign w:val="bottom"/>
            <w:shd w:val="clear" w:color="auto" w:fill="9DBDE4"/>
          </w:tcPr>
          <w:p>
            <w:pPr>
              <w:jc w:val="right"/>
              <w:ind w:right="22"/>
              <w:spacing w:after="0"/>
              <w:rPr>
                <w:sz w:val="20"/>
                <w:szCs w:val="20"/>
                <w:color w:val="auto"/>
              </w:rPr>
            </w:pPr>
            <w:r>
              <w:rPr>
                <w:rFonts w:ascii="Arial" w:cs="Arial" w:eastAsia="Arial" w:hAnsi="Arial"/>
                <w:sz w:val="16"/>
                <w:szCs w:val="16"/>
                <w:color w:val="auto"/>
              </w:rPr>
              <w:t>($335,364)</w:t>
            </w:r>
          </w:p>
        </w:tc>
        <w:tc>
          <w:tcPr>
            <w:tcW w:w="1040" w:type="dxa"/>
            <w:vAlign w:val="bottom"/>
            <w:shd w:val="clear" w:color="auto" w:fill="9DBDE4"/>
          </w:tcPr>
          <w:p>
            <w:pPr>
              <w:jc w:val="right"/>
              <w:spacing w:after="0"/>
              <w:rPr>
                <w:sz w:val="20"/>
                <w:szCs w:val="20"/>
                <w:color w:val="auto"/>
              </w:rPr>
            </w:pPr>
            <w:r>
              <w:rPr>
                <w:rFonts w:ascii="Arial" w:cs="Arial" w:eastAsia="Arial" w:hAnsi="Arial"/>
                <w:sz w:val="16"/>
                <w:szCs w:val="16"/>
                <w:color w:val="auto"/>
              </w:rPr>
              <w:t>($227,309)</w:t>
            </w:r>
          </w:p>
        </w:tc>
      </w:tr>
      <w:tr>
        <w:trPr>
          <w:trHeight w:val="169"/>
        </w:trPr>
        <w:tc>
          <w:tcPr>
            <w:tcW w:w="340" w:type="dxa"/>
            <w:vAlign w:val="bottom"/>
          </w:tcPr>
          <w:p>
            <w:pPr>
              <w:jc w:val="center"/>
              <w:spacing w:after="0" w:line="169" w:lineRule="exact"/>
              <w:rPr>
                <w:sz w:val="20"/>
                <w:szCs w:val="20"/>
                <w:color w:val="auto"/>
              </w:rPr>
            </w:pPr>
            <w:r>
              <w:rPr>
                <w:rFonts w:ascii="Arial" w:cs="Arial" w:eastAsia="Arial" w:hAnsi="Arial"/>
                <w:sz w:val="16"/>
                <w:szCs w:val="16"/>
                <w:color w:val="auto"/>
              </w:rPr>
              <w:t>-</w:t>
            </w:r>
          </w:p>
        </w:tc>
        <w:tc>
          <w:tcPr>
            <w:tcW w:w="5500" w:type="dxa"/>
            <w:vAlign w:val="bottom"/>
          </w:tcPr>
          <w:p>
            <w:pPr>
              <w:ind w:left="80"/>
              <w:spacing w:after="0" w:line="169" w:lineRule="exact"/>
              <w:rPr>
                <w:sz w:val="20"/>
                <w:szCs w:val="20"/>
                <w:color w:val="auto"/>
              </w:rPr>
            </w:pPr>
            <w:r>
              <w:rPr>
                <w:rFonts w:ascii="Arial" w:cs="Arial" w:eastAsia="Arial" w:hAnsi="Arial"/>
                <w:sz w:val="16"/>
                <w:szCs w:val="16"/>
                <w:color w:val="auto"/>
              </w:rPr>
              <w:t>Fair Value as of Prior Fiscal Year End of Stock Awards and Option Awards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1"/>
        </w:trPr>
        <w:tc>
          <w:tcPr>
            <w:tcW w:w="340" w:type="dxa"/>
            <w:vAlign w:val="bottom"/>
          </w:tcPr>
          <w:p>
            <w:pPr>
              <w:spacing w:after="0"/>
              <w:rPr>
                <w:sz w:val="15"/>
                <w:szCs w:val="15"/>
                <w:color w:val="auto"/>
              </w:rPr>
            </w:pPr>
          </w:p>
        </w:tc>
        <w:tc>
          <w:tcPr>
            <w:tcW w:w="5500" w:type="dxa"/>
            <w:vAlign w:val="bottom"/>
          </w:tcPr>
          <w:p>
            <w:pPr>
              <w:ind w:left="80"/>
              <w:spacing w:after="0" w:line="181" w:lineRule="exact"/>
              <w:rPr>
                <w:sz w:val="20"/>
                <w:szCs w:val="20"/>
                <w:color w:val="auto"/>
              </w:rPr>
            </w:pPr>
            <w:r>
              <w:rPr>
                <w:rFonts w:ascii="Arial" w:cs="Arial" w:eastAsia="Arial" w:hAnsi="Arial"/>
                <w:sz w:val="16"/>
                <w:szCs w:val="16"/>
                <w:color w:val="auto"/>
              </w:rPr>
              <w:t>Granted in Prior Fiscal Years That Failed to Meet Applicable Vesting</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3"/>
        </w:trPr>
        <w:tc>
          <w:tcPr>
            <w:tcW w:w="340" w:type="dxa"/>
            <w:vAlign w:val="bottom"/>
          </w:tcPr>
          <w:p>
            <w:pPr>
              <w:spacing w:after="0"/>
              <w:rPr>
                <w:sz w:val="16"/>
                <w:szCs w:val="16"/>
                <w:color w:val="auto"/>
              </w:rPr>
            </w:pPr>
          </w:p>
        </w:tc>
        <w:tc>
          <w:tcPr>
            <w:tcW w:w="5500" w:type="dxa"/>
            <w:vAlign w:val="bottom"/>
          </w:tcPr>
          <w:p>
            <w:pPr>
              <w:ind w:left="80"/>
              <w:spacing w:after="0"/>
              <w:rPr>
                <w:sz w:val="20"/>
                <w:szCs w:val="20"/>
                <w:color w:val="auto"/>
              </w:rPr>
            </w:pPr>
            <w:r>
              <w:rPr>
                <w:rFonts w:ascii="Arial" w:cs="Arial" w:eastAsia="Arial" w:hAnsi="Arial"/>
                <w:sz w:val="16"/>
                <w:szCs w:val="16"/>
                <w:color w:val="auto"/>
              </w:rPr>
              <w:t>Conditions During Fiscal Year</w:t>
            </w:r>
          </w:p>
        </w:tc>
        <w:tc>
          <w:tcPr>
            <w:tcW w:w="320" w:type="dxa"/>
            <w:vAlign w:val="bottom"/>
          </w:tcPr>
          <w:p>
            <w:pPr>
              <w:jc w:val="center"/>
              <w:spacing w:after="0"/>
              <w:rPr>
                <w:sz w:val="20"/>
                <w:szCs w:val="20"/>
                <w:color w:val="auto"/>
              </w:rPr>
            </w:pPr>
            <w:r>
              <w:rPr>
                <w:rFonts w:ascii="Arial" w:cs="Arial" w:eastAsia="Arial" w:hAnsi="Arial"/>
                <w:sz w:val="16"/>
                <w:szCs w:val="16"/>
                <w:color w:val="auto"/>
              </w:rPr>
              <w:t>(g)</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($792,854)</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$0</w:t>
            </w:r>
          </w:p>
        </w:tc>
        <w:tc>
          <w:tcPr>
            <w:tcW w:w="1040" w:type="dxa"/>
            <w:vAlign w:val="bottom"/>
          </w:tcPr>
          <w:p>
            <w:pPr>
              <w:jc w:val="right"/>
              <w:spacing w:after="0"/>
              <w:rPr>
                <w:sz w:val="20"/>
                <w:szCs w:val="20"/>
                <w:color w:val="auto"/>
              </w:rPr>
            </w:pPr>
            <w:r>
              <w:rPr>
                <w:rFonts w:ascii="Arial" w:cs="Arial" w:eastAsia="Arial" w:hAnsi="Arial"/>
                <w:sz w:val="16"/>
                <w:szCs w:val="16"/>
                <w:color w:val="auto"/>
              </w:rPr>
              <w:t>($287,395)</w:t>
            </w:r>
          </w:p>
        </w:tc>
      </w:tr>
      <w:tr>
        <w:trPr>
          <w:trHeight w:val="181"/>
        </w:trPr>
        <w:tc>
          <w:tcPr>
            <w:tcW w:w="340" w:type="dxa"/>
            <w:vAlign w:val="bottom"/>
            <w:tcBorders>
              <w:bottom w:val="single" w:sz="8" w:color="284993"/>
            </w:tcBorders>
            <w:shd w:val="clear" w:color="auto" w:fill="9DBDE4"/>
          </w:tcPr>
          <w:p>
            <w:pPr>
              <w:jc w:val="center"/>
              <w:spacing w:after="0" w:line="181" w:lineRule="exact"/>
              <w:rPr>
                <w:sz w:val="20"/>
                <w:szCs w:val="20"/>
                <w:color w:val="auto"/>
              </w:rPr>
            </w:pPr>
            <w:r>
              <w:rPr>
                <w:rFonts w:ascii="Arial" w:cs="Arial" w:eastAsia="Arial" w:hAnsi="Arial"/>
                <w:sz w:val="16"/>
                <w:szCs w:val="16"/>
                <w:color w:val="auto"/>
              </w:rPr>
              <w:t>=</w:t>
            </w:r>
          </w:p>
        </w:tc>
        <w:tc>
          <w:tcPr>
            <w:tcW w:w="5500" w:type="dxa"/>
            <w:vAlign w:val="bottom"/>
            <w:tcBorders>
              <w:bottom w:val="single" w:sz="8" w:color="284993"/>
            </w:tcBorders>
            <w:shd w:val="clear" w:color="auto" w:fill="9DBDE4"/>
          </w:tcPr>
          <w:p>
            <w:pPr>
              <w:ind w:left="80"/>
              <w:spacing w:after="0" w:line="181" w:lineRule="exact"/>
              <w:rPr>
                <w:sz w:val="20"/>
                <w:szCs w:val="20"/>
                <w:color w:val="auto"/>
              </w:rPr>
            </w:pPr>
            <w:r>
              <w:rPr>
                <w:rFonts w:ascii="Arial" w:cs="Arial" w:eastAsia="Arial" w:hAnsi="Arial"/>
                <w:sz w:val="16"/>
                <w:szCs w:val="16"/>
                <w:color w:val="auto"/>
              </w:rPr>
              <w:t>Compensation Actually Paid</w:t>
            </w:r>
          </w:p>
        </w:tc>
        <w:tc>
          <w:tcPr>
            <w:tcW w:w="320" w:type="dxa"/>
            <w:vAlign w:val="bottom"/>
            <w:tcBorders>
              <w:bottom w:val="single" w:sz="8" w:color="284993"/>
            </w:tcBorders>
            <w:shd w:val="clear" w:color="auto" w:fill="9DBDE4"/>
          </w:tcPr>
          <w:p>
            <w:pPr>
              <w:spacing w:after="0"/>
              <w:rPr>
                <w:sz w:val="15"/>
                <w:szCs w:val="15"/>
                <w:color w:val="auto"/>
              </w:rPr>
            </w:pPr>
          </w:p>
        </w:tc>
        <w:tc>
          <w:tcPr>
            <w:tcW w:w="1040" w:type="dxa"/>
            <w:vAlign w:val="bottom"/>
            <w:tcBorders>
              <w:bottom w:val="single" w:sz="8" w:color="284993"/>
            </w:tcBorders>
            <w:shd w:val="clear" w:color="auto" w:fill="9DBDE4"/>
          </w:tcPr>
          <w:p>
            <w:pPr>
              <w:jc w:val="right"/>
              <w:ind w:right="62"/>
              <w:spacing w:after="0" w:line="181" w:lineRule="exact"/>
              <w:rPr>
                <w:sz w:val="20"/>
                <w:szCs w:val="20"/>
                <w:color w:val="auto"/>
              </w:rPr>
            </w:pPr>
            <w:r>
              <w:rPr>
                <w:rFonts w:ascii="Arial" w:cs="Arial" w:eastAsia="Arial" w:hAnsi="Arial"/>
                <w:sz w:val="16"/>
                <w:szCs w:val="16"/>
                <w:color w:val="auto"/>
              </w:rPr>
              <w:t>$1,643,342</w:t>
            </w:r>
          </w:p>
        </w:tc>
        <w:tc>
          <w:tcPr>
            <w:tcW w:w="1080" w:type="dxa"/>
            <w:vAlign w:val="bottom"/>
            <w:tcBorders>
              <w:bottom w:val="single" w:sz="8" w:color="284993"/>
            </w:tcBorders>
            <w:shd w:val="clear" w:color="auto" w:fill="9DBDE4"/>
          </w:tcPr>
          <w:p>
            <w:pPr>
              <w:jc w:val="right"/>
              <w:ind w:right="82"/>
              <w:spacing w:after="0" w:line="181" w:lineRule="exact"/>
              <w:rPr>
                <w:sz w:val="20"/>
                <w:szCs w:val="20"/>
                <w:color w:val="auto"/>
              </w:rPr>
            </w:pPr>
            <w:r>
              <w:rPr>
                <w:rFonts w:ascii="Arial" w:cs="Arial" w:eastAsia="Arial" w:hAnsi="Arial"/>
                <w:sz w:val="16"/>
                <w:szCs w:val="16"/>
                <w:color w:val="auto"/>
              </w:rPr>
              <w:t>$1,273,508</w:t>
            </w:r>
          </w:p>
        </w:tc>
        <w:tc>
          <w:tcPr>
            <w:tcW w:w="1040" w:type="dxa"/>
            <w:vAlign w:val="bottom"/>
            <w:tcBorders>
              <w:bottom w:val="single" w:sz="8" w:color="284993"/>
            </w:tcBorders>
            <w:shd w:val="clear" w:color="auto" w:fill="9DBDE4"/>
          </w:tcPr>
          <w:p>
            <w:pPr>
              <w:jc w:val="right"/>
              <w:ind w:right="22"/>
              <w:spacing w:after="0" w:line="181" w:lineRule="exact"/>
              <w:rPr>
                <w:sz w:val="20"/>
                <w:szCs w:val="20"/>
                <w:color w:val="auto"/>
              </w:rPr>
            </w:pPr>
            <w:r>
              <w:rPr>
                <w:rFonts w:ascii="Arial" w:cs="Arial" w:eastAsia="Arial" w:hAnsi="Arial"/>
                <w:sz w:val="16"/>
                <w:szCs w:val="16"/>
                <w:color w:val="auto"/>
              </w:rPr>
              <w:t>$790,615</w:t>
            </w:r>
          </w:p>
        </w:tc>
      </w:tr>
    </w:tbl>
    <w:p>
      <w:pPr>
        <w:spacing w:after="0" w:line="60" w:lineRule="exact"/>
        <w:rPr>
          <w:sz w:val="20"/>
          <w:szCs w:val="20"/>
          <w:color w:val="auto"/>
        </w:rPr>
      </w:pPr>
    </w:p>
    <w:p>
      <w:pPr>
        <w:ind w:left="280" w:right="60"/>
        <w:spacing w:after="0" w:line="262" w:lineRule="auto"/>
        <w:rPr>
          <w:sz w:val="20"/>
          <w:szCs w:val="20"/>
          <w:color w:val="auto"/>
        </w:rPr>
      </w:pPr>
      <w:r>
        <w:rPr>
          <w:rFonts w:ascii="Arial" w:cs="Arial" w:eastAsia="Arial" w:hAnsi="Arial"/>
          <w:sz w:val="12"/>
          <w:szCs w:val="12"/>
          <w:color w:val="auto"/>
        </w:rPr>
        <w:t>Please see footnote 1 for the non-PEO NEOs included in the average for each indicated fiscal year. See footnote 3 for explanations of the amounts included in each row of this table.</w:t>
      </w:r>
    </w:p>
    <w:p>
      <w:pPr>
        <w:spacing w:after="0" w:line="35" w:lineRule="exact"/>
        <w:rPr>
          <w:sz w:val="20"/>
          <w:szCs w:val="20"/>
          <w:color w:val="auto"/>
        </w:rPr>
      </w:pPr>
    </w:p>
    <w:p>
      <w:pPr>
        <w:ind w:left="280" w:right="700" w:hanging="278"/>
        <w:spacing w:after="0" w:line="235" w:lineRule="auto"/>
        <w:tabs>
          <w:tab w:leader="none" w:pos="2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Pursuant to rules of the SEC, the comparison assumes $100 was invested on December 31, 2019 in our common stock and in the index. Historic stock price performance is not necessarily indicative of future stock price performance.</w:t>
      </w:r>
    </w:p>
    <w:p>
      <w:pPr>
        <w:ind w:left="280" w:hanging="278"/>
        <w:spacing w:after="0" w:line="225" w:lineRule="auto"/>
        <w:tabs>
          <w:tab w:leader="none" w:pos="2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TSR peer group consists of the S&amp;P MidCap 400 Index.</w:t>
      </w:r>
    </w:p>
    <w:p>
      <w:pPr>
        <w:ind w:left="280" w:right="580" w:hanging="278"/>
        <w:spacing w:after="0" w:line="241" w:lineRule="auto"/>
        <w:tabs>
          <w:tab w:leader="none" w:pos="2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As noted in the CD&amp;A, for 2022, the Compensation Committee determined that gross revenue was viewed as a core driver of the Company’s performance and stockholder value creation and, accordingly, was utilized as a component in our annual bonus program for the years 2020, 2021 and 2022.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83</w:t>
      </w:r>
    </w:p>
    <w:p>
      <w:pPr>
        <w:sectPr>
          <w:pgSz w:w="11900" w:h="16838" w:orient="portrait"/>
          <w:cols w:equalWidth="0" w:num="1">
            <w:col w:w="9320"/>
          </w:cols>
          <w:pgMar w:left="1280" w:top="294" w:right="1299" w:bottom="1440" w:gutter="0" w:footer="0" w:header="0"/>
        </w:sectPr>
      </w:pPr>
    </w:p>
    <w:bookmarkStart w:id="90" w:name="page91"/>
    <w:bookmarkEnd w:id="90"/>
    <w:p>
      <w:pPr>
        <w:spacing w:after="0"/>
        <w:rPr>
          <w:sz w:val="20"/>
          <w:szCs w:val="20"/>
          <w:color w:val="auto"/>
        </w:rPr>
      </w:pPr>
      <w:r>
        <w:rPr>
          <w:rFonts w:ascii="Arial" w:cs="Arial" w:eastAsia="Arial" w:hAnsi="Arial"/>
          <w:sz w:val="24"/>
          <w:szCs w:val="24"/>
          <w:b w:val="1"/>
          <w:bCs w:val="1"/>
          <w:color w:val="284993"/>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Relationship Between Pay and Performance</w:t>
      </w:r>
    </w:p>
    <w:p>
      <w:pPr>
        <w:spacing w:after="0" w:line="123" w:lineRule="exact"/>
        <w:rPr>
          <w:sz w:val="20"/>
          <w:szCs w:val="20"/>
          <w:color w:val="auto"/>
        </w:rPr>
      </w:pPr>
    </w:p>
    <w:p>
      <w:pPr>
        <w:ind w:right="80"/>
        <w:spacing w:after="0"/>
        <w:rPr>
          <w:sz w:val="20"/>
          <w:szCs w:val="20"/>
          <w:color w:val="auto"/>
        </w:rPr>
      </w:pPr>
      <w:r>
        <w:rPr>
          <w:rFonts w:ascii="Arial" w:cs="Arial" w:eastAsia="Arial" w:hAnsi="Arial"/>
          <w:sz w:val="16"/>
          <w:szCs w:val="16"/>
          <w:color w:val="auto"/>
        </w:rPr>
        <w:t>“Compensation actually paid” (“CAP”), as required under SEC rules, reflects adjusted values to unvested and vested equity awards during the years shown in the table based on year-end stock prices, various accounting valuation assumptions, and projected performance modifiers but does not reflect actual amounts paid out for those awards. CAP generally fluctuates due to stock price achievement and varying levels of projected and actual achievement of performance goals. For a discussion of how our Compensation Committee assessed “pay-for-performance” and how our executive compensation program is designed to link executive compensation with the achievement of our financial and strategic objectives as well as stockholder value creation each year, see “Compensation Discussion and Analysis” in this Proxy Statement and in the proxy statements for 2020 and 2021.</w:t>
      </w:r>
    </w:p>
    <w:p>
      <w:pPr>
        <w:spacing w:after="0" w:line="18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Below are graphs showing the relationship of “Compensation Actually Paid” to our CEO and other NEOs (on average) in our fiscal years 2020, 2021 and 2022 to (1) TSR of both our common stock and the S&amp;P MidCap 400 Index, (2) our net income, and (3) our gross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137795</wp:posOffset>
            </wp:positionV>
            <wp:extent cx="5287645" cy="49091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87645" cy="490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84</w:t>
      </w:r>
    </w:p>
    <w:p>
      <w:pPr>
        <w:sectPr>
          <w:pgSz w:w="11900" w:h="16838" w:orient="portrait"/>
          <w:cols w:equalWidth="0" w:num="1">
            <w:col w:w="9320"/>
          </w:cols>
          <w:pgMar w:left="1280" w:top="285" w:right="129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24091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9945" cy="240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Tabular List of Financial Performance Measures</w:t>
      </w:r>
    </w:p>
    <w:p>
      <w:pPr>
        <w:spacing w:after="0" w:line="123" w:lineRule="exact"/>
        <w:rPr>
          <w:sz w:val="20"/>
          <w:szCs w:val="20"/>
          <w:color w:val="auto"/>
        </w:rPr>
      </w:pPr>
    </w:p>
    <w:p>
      <w:pPr>
        <w:ind w:right="220"/>
        <w:spacing w:after="0" w:line="335" w:lineRule="auto"/>
        <w:rPr>
          <w:sz w:val="20"/>
          <w:szCs w:val="20"/>
          <w:color w:val="auto"/>
        </w:rPr>
      </w:pPr>
      <w:r>
        <w:rPr>
          <w:rFonts w:ascii="Arial" w:cs="Arial" w:eastAsia="Arial" w:hAnsi="Arial"/>
          <w:sz w:val="14"/>
          <w:szCs w:val="14"/>
          <w:color w:val="auto"/>
        </w:rPr>
        <w:t>The following is a list of financial performance measures, which in the Company’s assessment represent the most important financial performance measures used by the Company to link compensation actually paid to the NEOs for 2022 to Company performance: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Most Important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-115570</wp:posOffset>
            </wp:positionV>
            <wp:extent cx="2023110" cy="6826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023110" cy="68262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b w:val="1"/>
          <w:bCs w:val="1"/>
          <w:color w:val="auto"/>
        </w:rPr>
        <w:t>Measures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1-Year Adjusted EBITDA</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1-Year Gross Revenue</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Relative Total Shareholder Return</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85</w:t>
      </w:r>
    </w:p>
    <w:p>
      <w:pPr>
        <w:sectPr>
          <w:pgSz w:w="11900" w:h="16838" w:orient="portrait"/>
          <w:cols w:equalWidth="0" w:num="1">
            <w:col w:w="9320"/>
          </w:cols>
          <w:pgMar w:left="1280" w:top="1440" w:right="1299" w:bottom="1440" w:gutter="0" w:footer="0" w:header="0"/>
        </w:sectPr>
      </w:pPr>
    </w:p>
    <w:bookmarkStart w:id="92" w:name="page93"/>
    <w:bookmarkEnd w:id="92"/>
    <w:p>
      <w:pPr>
        <w:jc w:val="center"/>
        <w:ind w:left="1340" w:right="680"/>
        <w:spacing w:after="0" w:line="269" w:lineRule="auto"/>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59207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Review and Approval of Related Person Transactions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Audit Committee charter, any proposed related person transaction is to be submitted to the Audit Committee for review</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and approval, and no such transaction may be entered into without the Audit Committee’s prior approval. A “related person transaction”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is a transaction between us and a related person in which the aggregate amount involved exceeds or may be expected to exceed</w:t>
      </w:r>
    </w:p>
    <w:p>
      <w:pPr>
        <w:spacing w:after="0"/>
        <w:rPr>
          <w:sz w:val="20"/>
          <w:szCs w:val="20"/>
          <w:color w:val="auto"/>
        </w:rPr>
      </w:pPr>
      <w:r>
        <w:rPr>
          <w:rFonts w:ascii="Arial" w:cs="Arial" w:eastAsia="Arial" w:hAnsi="Arial"/>
          <w:sz w:val="14"/>
          <w:szCs w:val="14"/>
          <w:color w:val="auto"/>
        </w:rPr>
        <w:t>$120,000 and in which the related person has or will have a direct or indirect material interest. Related persons include our directors,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executive officers, their respective immediate family members and 5% beneficial owners of our common stock. The Audit Committee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reviews and considers each transaction in light of the specific facts and circumstances presented.</w:t>
      </w:r>
    </w:p>
    <w:p>
      <w:pPr>
        <w:spacing w:after="0" w:line="252" w:lineRule="exact"/>
        <w:rPr>
          <w:sz w:val="20"/>
          <w:szCs w:val="20"/>
          <w:color w:val="auto"/>
        </w:rPr>
      </w:pPr>
    </w:p>
    <w:p>
      <w:pPr>
        <w:jc w:val="center"/>
        <w:ind w:left="1320" w:right="440"/>
        <w:spacing w:after="0" w:line="269" w:lineRule="auto"/>
        <w:rPr>
          <w:sz w:val="20"/>
          <w:szCs w:val="20"/>
          <w:color w:val="auto"/>
        </w:rPr>
      </w:pPr>
      <w:r>
        <w:rPr>
          <w:rFonts w:ascii="Arial" w:cs="Arial" w:eastAsia="Arial" w:hAnsi="Arial"/>
          <w:sz w:val="52"/>
          <w:szCs w:val="52"/>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592074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During 2022, James C. Hale, Mary P. Harman, Didier R. Lamouche, Adalio T. Sanchez and Samir Zabaneh served on the Compensation Committee. No member of the Compensation Committee was at any time during 2022, or at any other time, an officer or employee of ACI. None of our executive officers currently serves, or in 2022 has served, as a member of the board of directors or compensation committee (or other board committee performing equivalent functions) of any other company that has one or more of its executive officers serving on our Board or Compensation Committee.</w:t>
      </w:r>
    </w:p>
    <w:p>
      <w:pPr>
        <w:spacing w:after="0" w:line="243" w:lineRule="exact"/>
        <w:rPr>
          <w:sz w:val="20"/>
          <w:szCs w:val="20"/>
          <w:color w:val="auto"/>
        </w:rPr>
      </w:pPr>
    </w:p>
    <w:p>
      <w:pPr>
        <w:jc w:val="center"/>
        <w:ind w:left="1320" w:right="160"/>
        <w:spacing w:after="0" w:line="269" w:lineRule="auto"/>
        <w:rPr>
          <w:sz w:val="20"/>
          <w:szCs w:val="20"/>
          <w:color w:val="auto"/>
        </w:rPr>
      </w:pPr>
      <w:r>
        <w:rPr>
          <w:rFonts w:ascii="Arial" w:cs="Arial" w:eastAsia="Arial" w:hAnsi="Arial"/>
          <w:sz w:val="52"/>
          <w:szCs w:val="52"/>
          <w:color w:val="auto"/>
        </w:rPr>
        <w:t>Delivery of Documents to Stockholders Sharing an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592074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A number of brokers with account holders who are ACI stockholders will be “householding” our proxy materials. A single Internet Availability Notice, set of proxy materials or annual report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Internet Availability Notice and/or separate proxy statement and annual report, please notify your broker and direct your written request to ACI’s office located at 2811 Ponce de Leon Blvd, PH 1, Coral Gables, Florida 33134 or call (305) 894-2200. ACI undertakes to deliver promptly to a stockholder upon such written or oral request a separate Internet Availability Notice, set of proxy materials or annual report. Stockholders who currently receive multiple copies of the proxy materials at their address and would like to request “householding” of their communications should contact their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85725</wp:posOffset>
            </wp:positionV>
            <wp:extent cx="699135" cy="1314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86</w:t>
      </w:r>
    </w:p>
    <w:p>
      <w:pPr>
        <w:sectPr>
          <w:pgSz w:w="11900" w:h="16838" w:orient="portrait"/>
          <w:cols w:equalWidth="0" w:num="1">
            <w:col w:w="9280"/>
          </w:cols>
          <w:pgMar w:left="1280" w:top="253" w:right="1339" w:bottom="1440" w:gutter="0" w:footer="0" w:header="0"/>
        </w:sectPr>
      </w:pPr>
    </w:p>
    <w:bookmarkStart w:id="93" w:name="page94"/>
    <w:bookmarkEnd w:id="93"/>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592074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Stockholders may obtain a copy of our Annual Report and a list of the exhibits thereto without charge by written request delivered to ACI, Attn: Investor Relations, 2811 Ponce de Leon Blvd, PH 1, Coral Gables, Florida 33134 Our annual reports on Form 10-K, quarterly reports on Form 10-Q, current reports on Form 8-K, and amendments to those reports filed or furnished pursuant to Section 13(a) or 15(d) of the Securities Exchange Act of 1934, as amended, are available on our website at aciworldwide.com as soon as reasonably practicable after we file such information electronically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284993"/>
        </w:rPr>
        <w:t>Stockholder Communications with our Board</w:t>
      </w:r>
    </w:p>
    <w:p>
      <w:pPr>
        <w:spacing w:after="0" w:line="123" w:lineRule="exact"/>
        <w:rPr>
          <w:sz w:val="20"/>
          <w:szCs w:val="20"/>
          <w:color w:val="auto"/>
        </w:rPr>
      </w:pPr>
    </w:p>
    <w:p>
      <w:pPr>
        <w:ind w:right="200"/>
        <w:spacing w:after="0" w:line="245" w:lineRule="auto"/>
        <w:rPr>
          <w:sz w:val="20"/>
          <w:szCs w:val="20"/>
          <w:color w:val="auto"/>
        </w:rPr>
      </w:pPr>
      <w:r>
        <w:rPr>
          <w:rFonts w:ascii="Arial" w:cs="Arial" w:eastAsia="Arial" w:hAnsi="Arial"/>
          <w:sz w:val="16"/>
          <w:szCs w:val="16"/>
          <w:color w:val="auto"/>
        </w:rPr>
        <w:t>Communications from stockholders to our Board, including stockholder director recommendations as well as stockholder proposals submitted in accordance with the procedures described in this Proxy Statement, may be delivered to our Secretary at 2811 Ponce de Leon Blvd, PH 1, Coral Gables, Florida 33134; or via telephone to (305) 894-2200. These communications will be received by our Secretary, who will forward them to the appropriate members of our Board.</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87</w:t>
      </w:r>
    </w:p>
    <w:p>
      <w:pPr>
        <w:sectPr>
          <w:pgSz w:w="11900" w:h="16838" w:orient="portrait"/>
          <w:cols w:equalWidth="0" w:num="1">
            <w:col w:w="9320"/>
          </w:cols>
          <w:pgMar w:left="1280" w:top="253" w:right="129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592074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Board does not know of any matters that are to be presented at the Annual Meeting other than those stated in the Notice of Annual Meeting and referred to in this Proxy Statement. If any other matters should properly come before the Annual Meeting, it is intended that the proxies in the accompanying form will be voted as the persons named therein may determine in their discretion.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97790</wp:posOffset>
            </wp:positionV>
            <wp:extent cx="699135" cy="1314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88</w:t>
      </w:r>
    </w:p>
    <w:p>
      <w:pPr>
        <w:sectPr>
          <w:pgSz w:w="11900" w:h="16838" w:orient="portrait"/>
          <w:cols w:equalWidth="0" w:num="1">
            <w:col w:w="9280"/>
          </w:cols>
          <w:pgMar w:left="1280" w:top="253" w:right="1339" w:bottom="1440" w:gutter="0" w:footer="0" w:header="0"/>
        </w:sectPr>
      </w:pPr>
    </w:p>
    <w:bookmarkStart w:id="95" w:name="page96"/>
    <w:bookmarkEnd w:id="95"/>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592074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To supplement our financial results presented on a GAAP basis, we use the non-GAAP measure indicated in the table, which excludes significant transaction-related expenses, as well as other significant non-cash expenses such as depreciation, amortization, and stock-based compensation, that we believe are helpful in understanding our past financial performance and our future results. The presentation of these non-GAAP financial measures should be considered in addition to our GAAP results and are not intended to be considered in isolation or as a substitute for the financial information prepared and presented in accordance with GAAP. Management generally compensates for limitations in the use of non-GAAP financial measures by relying on comparable GAAP financial measures and providing investors with a reconciliation of non-GAAP financial measures only in addition to and in conjunction with results presented in accordance with GAAP. We believe that these non-GAAP financial measures reflect an additional way to view aspects of our operations that, when viewed with our GAAP results, provide a more complete understanding of factors and trends affecting our business.</w:t>
      </w:r>
    </w:p>
    <w:p>
      <w:pPr>
        <w:spacing w:after="0" w:line="188" w:lineRule="exact"/>
        <w:rPr>
          <w:sz w:val="20"/>
          <w:szCs w:val="20"/>
          <w:color w:val="auto"/>
        </w:rPr>
      </w:pPr>
    </w:p>
    <w:p>
      <w:pPr>
        <w:ind w:right="160"/>
        <w:spacing w:after="0" w:line="245" w:lineRule="auto"/>
        <w:rPr>
          <w:sz w:val="20"/>
          <w:szCs w:val="20"/>
          <w:color w:val="auto"/>
        </w:rPr>
      </w:pPr>
      <w:r>
        <w:rPr>
          <w:rFonts w:ascii="Arial" w:cs="Arial" w:eastAsia="Arial" w:hAnsi="Arial"/>
          <w:sz w:val="16"/>
          <w:szCs w:val="16"/>
          <w:color w:val="auto"/>
        </w:rPr>
        <w:t>Adjusted EBITDA is a non-GAAP financial measure defined as net income plus income tax expense (benefit), net interest income (expense), net other income (expense), depreciation, amortization and stock-based compensation, as well as significant transaction-related expenses. Adjusted EBITDA should be considered in addition to, rather than as a substitute for, net income. The following is a reconciliation of Adjusted EBITDA to net income for the years ended December 31, 2022 and 2021:</w:t>
      </w:r>
    </w:p>
    <w:p>
      <w:pPr>
        <w:spacing w:after="0" w:line="205"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3740" w:type="dxa"/>
            <w:vAlign w:val="bottom"/>
          </w:tcPr>
          <w:p>
            <w:pPr>
              <w:spacing w:after="0"/>
              <w:rPr>
                <w:sz w:val="20"/>
                <w:szCs w:val="20"/>
                <w:color w:val="auto"/>
              </w:rPr>
            </w:pPr>
            <w:r>
              <w:rPr>
                <w:rFonts w:ascii="Arial" w:cs="Arial" w:eastAsia="Arial" w:hAnsi="Arial"/>
                <w:sz w:val="16"/>
                <w:szCs w:val="16"/>
                <w:color w:val="auto"/>
              </w:rPr>
              <w:t>Adjusted EBITDA (millions)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gridSpan w:val="6"/>
          </w:tcPr>
          <w:p>
            <w:pPr>
              <w:ind w:left="120"/>
              <w:spacing w:after="0"/>
              <w:rPr>
                <w:sz w:val="20"/>
                <w:szCs w:val="20"/>
                <w:color w:val="auto"/>
              </w:rPr>
            </w:pPr>
            <w:r>
              <w:rPr>
                <w:rFonts w:ascii="Arial" w:cs="Arial" w:eastAsia="Arial" w:hAnsi="Arial"/>
                <w:sz w:val="16"/>
                <w:szCs w:val="16"/>
                <w:b w:val="1"/>
                <w:bCs w:val="1"/>
                <w:color w:val="auto"/>
              </w:rPr>
              <w:t>Years Ended December 31,</w:t>
            </w:r>
          </w:p>
        </w:tc>
      </w:tr>
      <w:tr>
        <w:trPr>
          <w:trHeight w:val="174"/>
        </w:trPr>
        <w:tc>
          <w:tcPr>
            <w:tcW w:w="3740" w:type="dxa"/>
            <w:vAlign w:val="bottom"/>
            <w:tcBorders>
              <w:bottom w:val="single" w:sz="8" w:color="9DBDE4"/>
            </w:tcBorders>
          </w:tcPr>
          <w:p>
            <w:pPr>
              <w:spacing w:after="0"/>
              <w:rPr>
                <w:sz w:val="15"/>
                <w:szCs w:val="15"/>
                <w:color w:val="auto"/>
              </w:rPr>
            </w:pPr>
          </w:p>
        </w:tc>
        <w:tc>
          <w:tcPr>
            <w:tcW w:w="440" w:type="dxa"/>
            <w:vAlign w:val="bottom"/>
            <w:tcBorders>
              <w:bottom w:val="single" w:sz="8" w:color="9DBDE4"/>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ind w:left="120"/>
              <w:spacing w:after="0" w:line="175" w:lineRule="exact"/>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bottom w:val="single" w:sz="8" w:color="9DBDE4"/>
            </w:tcBorders>
          </w:tcPr>
          <w:p>
            <w:pPr>
              <w:spacing w:after="0"/>
              <w:rPr>
                <w:sz w:val="15"/>
                <w:szCs w:val="15"/>
                <w:color w:val="auto"/>
              </w:rPr>
            </w:pPr>
          </w:p>
        </w:tc>
        <w:tc>
          <w:tcPr>
            <w:tcW w:w="280" w:type="dxa"/>
            <w:vAlign w:val="bottom"/>
            <w:tcBorders>
              <w:top w:val="single" w:sz="8" w:color="auto"/>
              <w:bottom w:val="single" w:sz="8" w:color="9DBDE4"/>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82"/>
              <w:spacing w:after="0" w:line="175" w:lineRule="exact"/>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9DBDE4"/>
            </w:tcBorders>
          </w:tcPr>
          <w:p>
            <w:pPr>
              <w:spacing w:after="0"/>
              <w:rPr>
                <w:sz w:val="15"/>
                <w:szCs w:val="15"/>
                <w:color w:val="auto"/>
              </w:rPr>
            </w:pPr>
          </w:p>
        </w:tc>
      </w:tr>
      <w:tr>
        <w:trPr>
          <w:trHeight w:val="174"/>
        </w:trPr>
        <w:tc>
          <w:tcPr>
            <w:tcW w:w="3740" w:type="dxa"/>
            <w:vAlign w:val="bottom"/>
            <w:shd w:val="clear" w:color="auto" w:fill="9DBDE4"/>
          </w:tcPr>
          <w:p>
            <w:pPr>
              <w:ind w:left="100"/>
              <w:spacing w:after="0" w:line="175" w:lineRule="exact"/>
              <w:rPr>
                <w:sz w:val="20"/>
                <w:szCs w:val="20"/>
                <w:color w:val="auto"/>
              </w:rPr>
            </w:pPr>
            <w:r>
              <w:rPr>
                <w:rFonts w:ascii="Arial" w:cs="Arial" w:eastAsia="Arial" w:hAnsi="Arial"/>
                <w:sz w:val="16"/>
                <w:szCs w:val="16"/>
                <w:b w:val="1"/>
                <w:bCs w:val="1"/>
                <w:color w:val="auto"/>
              </w:rPr>
              <w:t>Net income</w:t>
            </w:r>
          </w:p>
        </w:tc>
        <w:tc>
          <w:tcPr>
            <w:tcW w:w="440" w:type="dxa"/>
            <w:vAlign w:val="bottom"/>
            <w:shd w:val="clear" w:color="auto" w:fill="9DBDE4"/>
          </w:tcPr>
          <w:p>
            <w:pPr>
              <w:spacing w:after="0"/>
              <w:rPr>
                <w:sz w:val="15"/>
                <w:szCs w:val="15"/>
                <w:color w:val="auto"/>
              </w:rPr>
            </w:pPr>
          </w:p>
        </w:tc>
        <w:tc>
          <w:tcPr>
            <w:tcW w:w="220" w:type="dxa"/>
            <w:vAlign w:val="bottom"/>
            <w:shd w:val="clear" w:color="auto" w:fill="9DBDE4"/>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9DBDE4"/>
          </w:tcPr>
          <w:p>
            <w:pPr>
              <w:jc w:val="right"/>
              <w:spacing w:after="0" w:line="175" w:lineRule="exact"/>
              <w:rPr>
                <w:sz w:val="20"/>
                <w:szCs w:val="20"/>
                <w:color w:val="auto"/>
              </w:rPr>
            </w:pPr>
            <w:r>
              <w:rPr>
                <w:rFonts w:ascii="Arial" w:cs="Arial" w:eastAsia="Arial" w:hAnsi="Arial"/>
                <w:sz w:val="16"/>
                <w:szCs w:val="16"/>
                <w:color w:val="auto"/>
              </w:rPr>
              <w:t>142.2</w:t>
            </w:r>
          </w:p>
        </w:tc>
        <w:tc>
          <w:tcPr>
            <w:tcW w:w="320" w:type="dxa"/>
            <w:vAlign w:val="bottom"/>
            <w:shd w:val="clear" w:color="auto" w:fill="9DBDE4"/>
          </w:tcPr>
          <w:p>
            <w:pPr>
              <w:spacing w:after="0"/>
              <w:rPr>
                <w:sz w:val="15"/>
                <w:szCs w:val="15"/>
                <w:color w:val="auto"/>
              </w:rPr>
            </w:pPr>
          </w:p>
        </w:tc>
        <w:tc>
          <w:tcPr>
            <w:tcW w:w="280" w:type="dxa"/>
            <w:vAlign w:val="bottom"/>
            <w:shd w:val="clear" w:color="auto" w:fill="9DBDE4"/>
          </w:tcPr>
          <w:p>
            <w:pPr>
              <w:spacing w:after="0"/>
              <w:rPr>
                <w:sz w:val="15"/>
                <w:szCs w:val="15"/>
                <w:color w:val="auto"/>
              </w:rPr>
            </w:pPr>
          </w:p>
        </w:tc>
        <w:tc>
          <w:tcPr>
            <w:tcW w:w="220" w:type="dxa"/>
            <w:vAlign w:val="bottom"/>
            <w:shd w:val="clear" w:color="auto" w:fill="9DBDE4"/>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9DBDE4"/>
          </w:tcPr>
          <w:p>
            <w:pPr>
              <w:jc w:val="right"/>
              <w:spacing w:after="0" w:line="175" w:lineRule="exact"/>
              <w:rPr>
                <w:sz w:val="20"/>
                <w:szCs w:val="20"/>
                <w:color w:val="auto"/>
              </w:rPr>
            </w:pPr>
            <w:r>
              <w:rPr>
                <w:rFonts w:ascii="Arial" w:cs="Arial" w:eastAsia="Arial" w:hAnsi="Arial"/>
                <w:sz w:val="16"/>
                <w:szCs w:val="16"/>
                <w:color w:val="auto"/>
              </w:rPr>
              <w:t>127.8</w:t>
            </w:r>
          </w:p>
        </w:tc>
        <w:tc>
          <w:tcPr>
            <w:tcW w:w="220" w:type="dxa"/>
            <w:vAlign w:val="bottom"/>
            <w:shd w:val="clear" w:color="auto" w:fill="9DBDE4"/>
          </w:tcPr>
          <w:p>
            <w:pPr>
              <w:spacing w:after="0"/>
              <w:rPr>
                <w:sz w:val="15"/>
                <w:szCs w:val="15"/>
                <w:color w:val="auto"/>
              </w:rPr>
            </w:pPr>
          </w:p>
        </w:tc>
      </w:tr>
      <w:tr>
        <w:trPr>
          <w:trHeight w:val="181"/>
        </w:trPr>
        <w:tc>
          <w:tcPr>
            <w:tcW w:w="3740" w:type="dxa"/>
            <w:vAlign w:val="bottom"/>
          </w:tcPr>
          <w:p>
            <w:pPr>
              <w:ind w:left="100"/>
              <w:spacing w:after="0" w:line="181" w:lineRule="exact"/>
              <w:rPr>
                <w:sz w:val="20"/>
                <w:szCs w:val="20"/>
                <w:color w:val="auto"/>
              </w:rPr>
            </w:pPr>
            <w:r>
              <w:rPr>
                <w:rFonts w:ascii="Arial" w:cs="Arial" w:eastAsia="Arial" w:hAnsi="Arial"/>
                <w:sz w:val="16"/>
                <w:szCs w:val="16"/>
                <w:color w:val="auto"/>
              </w:rPr>
              <w:t>Plus: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1"/>
        </w:trPr>
        <w:tc>
          <w:tcPr>
            <w:tcW w:w="3740" w:type="dxa"/>
            <w:vAlign w:val="bottom"/>
            <w:shd w:val="clear" w:color="auto" w:fill="9DBDE4"/>
          </w:tcPr>
          <w:p>
            <w:pPr>
              <w:ind w:left="100"/>
              <w:spacing w:after="0" w:line="181" w:lineRule="exact"/>
              <w:rPr>
                <w:sz w:val="20"/>
                <w:szCs w:val="20"/>
                <w:color w:val="auto"/>
              </w:rPr>
            </w:pPr>
            <w:r>
              <w:rPr>
                <w:rFonts w:ascii="Arial" w:cs="Arial" w:eastAsia="Arial" w:hAnsi="Arial"/>
                <w:sz w:val="16"/>
                <w:szCs w:val="16"/>
                <w:color w:val="auto"/>
              </w:rPr>
              <w:t>Income tax expense</w:t>
            </w:r>
          </w:p>
        </w:tc>
        <w:tc>
          <w:tcPr>
            <w:tcW w:w="440" w:type="dxa"/>
            <w:vAlign w:val="bottom"/>
            <w:shd w:val="clear" w:color="auto" w:fill="9DBDE4"/>
          </w:tcPr>
          <w:p>
            <w:pPr>
              <w:spacing w:after="0"/>
              <w:rPr>
                <w:sz w:val="15"/>
                <w:szCs w:val="15"/>
                <w:color w:val="auto"/>
              </w:rPr>
            </w:pPr>
          </w:p>
        </w:tc>
        <w:tc>
          <w:tcPr>
            <w:tcW w:w="220" w:type="dxa"/>
            <w:vAlign w:val="bottom"/>
            <w:shd w:val="clear" w:color="auto" w:fill="9DBDE4"/>
          </w:tcPr>
          <w:p>
            <w:pPr>
              <w:spacing w:after="0"/>
              <w:rPr>
                <w:sz w:val="15"/>
                <w:szCs w:val="15"/>
                <w:color w:val="auto"/>
              </w:rPr>
            </w:pPr>
          </w:p>
        </w:tc>
        <w:tc>
          <w:tcPr>
            <w:tcW w:w="820" w:type="dxa"/>
            <w:vAlign w:val="bottom"/>
            <w:shd w:val="clear" w:color="auto" w:fill="9DBDE4"/>
          </w:tcPr>
          <w:p>
            <w:pPr>
              <w:jc w:val="right"/>
              <w:spacing w:after="0" w:line="181" w:lineRule="exact"/>
              <w:rPr>
                <w:sz w:val="20"/>
                <w:szCs w:val="20"/>
                <w:color w:val="auto"/>
              </w:rPr>
            </w:pPr>
            <w:r>
              <w:rPr>
                <w:rFonts w:ascii="Arial" w:cs="Arial" w:eastAsia="Arial" w:hAnsi="Arial"/>
                <w:sz w:val="16"/>
                <w:szCs w:val="16"/>
                <w:color w:val="auto"/>
              </w:rPr>
              <w:t>64.5</w:t>
            </w:r>
          </w:p>
        </w:tc>
        <w:tc>
          <w:tcPr>
            <w:tcW w:w="320" w:type="dxa"/>
            <w:vAlign w:val="bottom"/>
            <w:shd w:val="clear" w:color="auto" w:fill="9DBDE4"/>
          </w:tcPr>
          <w:p>
            <w:pPr>
              <w:spacing w:after="0"/>
              <w:rPr>
                <w:sz w:val="15"/>
                <w:szCs w:val="15"/>
                <w:color w:val="auto"/>
              </w:rPr>
            </w:pPr>
          </w:p>
        </w:tc>
        <w:tc>
          <w:tcPr>
            <w:tcW w:w="280" w:type="dxa"/>
            <w:vAlign w:val="bottom"/>
            <w:shd w:val="clear" w:color="auto" w:fill="9DBDE4"/>
          </w:tcPr>
          <w:p>
            <w:pPr>
              <w:spacing w:after="0"/>
              <w:rPr>
                <w:sz w:val="15"/>
                <w:szCs w:val="15"/>
                <w:color w:val="auto"/>
              </w:rPr>
            </w:pPr>
          </w:p>
        </w:tc>
        <w:tc>
          <w:tcPr>
            <w:tcW w:w="220" w:type="dxa"/>
            <w:vAlign w:val="bottom"/>
            <w:shd w:val="clear" w:color="auto" w:fill="9DBDE4"/>
          </w:tcPr>
          <w:p>
            <w:pPr>
              <w:spacing w:after="0"/>
              <w:rPr>
                <w:sz w:val="15"/>
                <w:szCs w:val="15"/>
                <w:color w:val="auto"/>
              </w:rPr>
            </w:pPr>
          </w:p>
        </w:tc>
        <w:tc>
          <w:tcPr>
            <w:tcW w:w="840" w:type="dxa"/>
            <w:vAlign w:val="bottom"/>
            <w:shd w:val="clear" w:color="auto" w:fill="9DBDE4"/>
          </w:tcPr>
          <w:p>
            <w:pPr>
              <w:jc w:val="right"/>
              <w:spacing w:after="0" w:line="181" w:lineRule="exact"/>
              <w:rPr>
                <w:sz w:val="20"/>
                <w:szCs w:val="20"/>
                <w:color w:val="auto"/>
              </w:rPr>
            </w:pPr>
            <w:r>
              <w:rPr>
                <w:rFonts w:ascii="Arial" w:cs="Arial" w:eastAsia="Arial" w:hAnsi="Arial"/>
                <w:sz w:val="16"/>
                <w:szCs w:val="16"/>
                <w:color w:val="auto"/>
              </w:rPr>
              <w:t>47.3</w:t>
            </w:r>
          </w:p>
        </w:tc>
        <w:tc>
          <w:tcPr>
            <w:tcW w:w="220" w:type="dxa"/>
            <w:vAlign w:val="bottom"/>
            <w:shd w:val="clear" w:color="auto" w:fill="9DBDE4"/>
          </w:tcPr>
          <w:p>
            <w:pPr>
              <w:spacing w:after="0"/>
              <w:rPr>
                <w:sz w:val="15"/>
                <w:szCs w:val="15"/>
                <w:color w:val="auto"/>
              </w:rPr>
            </w:pPr>
          </w:p>
        </w:tc>
      </w:tr>
      <w:tr>
        <w:trPr>
          <w:trHeight w:val="181"/>
        </w:trPr>
        <w:tc>
          <w:tcPr>
            <w:tcW w:w="3740" w:type="dxa"/>
            <w:vAlign w:val="bottom"/>
          </w:tcPr>
          <w:p>
            <w:pPr>
              <w:ind w:left="100"/>
              <w:spacing w:after="0" w:line="181" w:lineRule="exact"/>
              <w:rPr>
                <w:sz w:val="20"/>
                <w:szCs w:val="20"/>
                <w:color w:val="auto"/>
              </w:rPr>
            </w:pPr>
            <w:r>
              <w:rPr>
                <w:rFonts w:ascii="Arial" w:cs="Arial" w:eastAsia="Arial" w:hAnsi="Arial"/>
                <w:sz w:val="16"/>
                <w:szCs w:val="16"/>
                <w:color w:val="auto"/>
              </w:rPr>
              <w:t>Net interest expense</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40.6</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33.5</w:t>
            </w:r>
          </w:p>
        </w:tc>
        <w:tc>
          <w:tcPr>
            <w:tcW w:w="220" w:type="dxa"/>
            <w:vAlign w:val="bottom"/>
          </w:tcPr>
          <w:p>
            <w:pPr>
              <w:spacing w:after="0"/>
              <w:rPr>
                <w:sz w:val="15"/>
                <w:szCs w:val="15"/>
                <w:color w:val="auto"/>
              </w:rPr>
            </w:pPr>
          </w:p>
        </w:tc>
      </w:tr>
      <w:tr>
        <w:trPr>
          <w:trHeight w:val="181"/>
        </w:trPr>
        <w:tc>
          <w:tcPr>
            <w:tcW w:w="3740" w:type="dxa"/>
            <w:vAlign w:val="bottom"/>
            <w:shd w:val="clear" w:color="auto" w:fill="9DBDE4"/>
          </w:tcPr>
          <w:p>
            <w:pPr>
              <w:ind w:left="100"/>
              <w:spacing w:after="0" w:line="181" w:lineRule="exact"/>
              <w:rPr>
                <w:sz w:val="20"/>
                <w:szCs w:val="20"/>
                <w:color w:val="auto"/>
              </w:rPr>
            </w:pPr>
            <w:r>
              <w:rPr>
                <w:rFonts w:ascii="Arial" w:cs="Arial" w:eastAsia="Arial" w:hAnsi="Arial"/>
                <w:sz w:val="16"/>
                <w:szCs w:val="16"/>
                <w:color w:val="auto"/>
              </w:rPr>
              <w:t>Net other (income) expense</w:t>
            </w:r>
          </w:p>
        </w:tc>
        <w:tc>
          <w:tcPr>
            <w:tcW w:w="440" w:type="dxa"/>
            <w:vAlign w:val="bottom"/>
            <w:shd w:val="clear" w:color="auto" w:fill="9DBDE4"/>
          </w:tcPr>
          <w:p>
            <w:pPr>
              <w:spacing w:after="0"/>
              <w:rPr>
                <w:sz w:val="15"/>
                <w:szCs w:val="15"/>
                <w:color w:val="auto"/>
              </w:rPr>
            </w:pPr>
          </w:p>
        </w:tc>
        <w:tc>
          <w:tcPr>
            <w:tcW w:w="220" w:type="dxa"/>
            <w:vAlign w:val="bottom"/>
            <w:shd w:val="clear" w:color="auto" w:fill="9DBDE4"/>
          </w:tcPr>
          <w:p>
            <w:pPr>
              <w:spacing w:after="0"/>
              <w:rPr>
                <w:sz w:val="15"/>
                <w:szCs w:val="15"/>
                <w:color w:val="auto"/>
              </w:rPr>
            </w:pPr>
          </w:p>
        </w:tc>
        <w:tc>
          <w:tcPr>
            <w:tcW w:w="1140" w:type="dxa"/>
            <w:vAlign w:val="bottom"/>
            <w:gridSpan w:val="2"/>
            <w:shd w:val="clear" w:color="auto" w:fill="9DBDE4"/>
          </w:tcPr>
          <w:p>
            <w:pPr>
              <w:jc w:val="right"/>
              <w:ind w:right="260"/>
              <w:spacing w:after="0" w:line="181" w:lineRule="exact"/>
              <w:rPr>
                <w:sz w:val="20"/>
                <w:szCs w:val="20"/>
                <w:color w:val="auto"/>
              </w:rPr>
            </w:pPr>
            <w:r>
              <w:rPr>
                <w:rFonts w:ascii="Arial" w:cs="Arial" w:eastAsia="Arial" w:hAnsi="Arial"/>
                <w:sz w:val="16"/>
                <w:szCs w:val="16"/>
                <w:color w:val="auto"/>
              </w:rPr>
              <w:t>(43.4)</w:t>
            </w:r>
          </w:p>
        </w:tc>
        <w:tc>
          <w:tcPr>
            <w:tcW w:w="280" w:type="dxa"/>
            <w:vAlign w:val="bottom"/>
            <w:shd w:val="clear" w:color="auto" w:fill="9DBDE4"/>
          </w:tcPr>
          <w:p>
            <w:pPr>
              <w:spacing w:after="0"/>
              <w:rPr>
                <w:sz w:val="15"/>
                <w:szCs w:val="15"/>
                <w:color w:val="auto"/>
              </w:rPr>
            </w:pPr>
          </w:p>
        </w:tc>
        <w:tc>
          <w:tcPr>
            <w:tcW w:w="220" w:type="dxa"/>
            <w:vAlign w:val="bottom"/>
            <w:shd w:val="clear" w:color="auto" w:fill="9DBDE4"/>
          </w:tcPr>
          <w:p>
            <w:pPr>
              <w:spacing w:after="0"/>
              <w:rPr>
                <w:sz w:val="15"/>
                <w:szCs w:val="15"/>
                <w:color w:val="auto"/>
              </w:rPr>
            </w:pPr>
          </w:p>
        </w:tc>
        <w:tc>
          <w:tcPr>
            <w:tcW w:w="840" w:type="dxa"/>
            <w:vAlign w:val="bottom"/>
            <w:shd w:val="clear" w:color="auto" w:fill="9DBDE4"/>
          </w:tcPr>
          <w:p>
            <w:pPr>
              <w:jc w:val="right"/>
              <w:spacing w:after="0" w:line="181" w:lineRule="exact"/>
              <w:rPr>
                <w:sz w:val="20"/>
                <w:szCs w:val="20"/>
                <w:color w:val="auto"/>
              </w:rPr>
            </w:pPr>
            <w:r>
              <w:rPr>
                <w:rFonts w:ascii="Arial" w:cs="Arial" w:eastAsia="Arial" w:hAnsi="Arial"/>
                <w:sz w:val="16"/>
                <w:szCs w:val="16"/>
                <w:color w:val="auto"/>
              </w:rPr>
              <w:t>1.3</w:t>
            </w:r>
          </w:p>
        </w:tc>
        <w:tc>
          <w:tcPr>
            <w:tcW w:w="220" w:type="dxa"/>
            <w:vAlign w:val="bottom"/>
            <w:shd w:val="clear" w:color="auto" w:fill="9DBDE4"/>
          </w:tcPr>
          <w:p>
            <w:pPr>
              <w:spacing w:after="0"/>
              <w:rPr>
                <w:sz w:val="15"/>
                <w:szCs w:val="15"/>
                <w:color w:val="auto"/>
              </w:rPr>
            </w:pPr>
          </w:p>
        </w:tc>
      </w:tr>
      <w:tr>
        <w:trPr>
          <w:trHeight w:val="181"/>
        </w:trPr>
        <w:tc>
          <w:tcPr>
            <w:tcW w:w="3740" w:type="dxa"/>
            <w:vAlign w:val="bottom"/>
          </w:tcPr>
          <w:p>
            <w:pPr>
              <w:ind w:left="100"/>
              <w:spacing w:after="0" w:line="181" w:lineRule="exact"/>
              <w:rPr>
                <w:sz w:val="20"/>
                <w:szCs w:val="20"/>
                <w:color w:val="auto"/>
              </w:rPr>
            </w:pPr>
            <w:r>
              <w:rPr>
                <w:rFonts w:ascii="Arial" w:cs="Arial" w:eastAsia="Arial" w:hAnsi="Arial"/>
                <w:sz w:val="16"/>
                <w:szCs w:val="16"/>
                <w:color w:val="auto"/>
              </w:rPr>
              <w:t>Depreciation expense</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23.2</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20.9</w:t>
            </w:r>
          </w:p>
        </w:tc>
        <w:tc>
          <w:tcPr>
            <w:tcW w:w="220" w:type="dxa"/>
            <w:vAlign w:val="bottom"/>
          </w:tcPr>
          <w:p>
            <w:pPr>
              <w:spacing w:after="0"/>
              <w:rPr>
                <w:sz w:val="15"/>
                <w:szCs w:val="15"/>
                <w:color w:val="auto"/>
              </w:rPr>
            </w:pPr>
          </w:p>
        </w:tc>
      </w:tr>
      <w:tr>
        <w:trPr>
          <w:trHeight w:val="181"/>
        </w:trPr>
        <w:tc>
          <w:tcPr>
            <w:tcW w:w="3740" w:type="dxa"/>
            <w:vAlign w:val="bottom"/>
            <w:shd w:val="clear" w:color="auto" w:fill="9DBDE4"/>
          </w:tcPr>
          <w:p>
            <w:pPr>
              <w:ind w:left="100"/>
              <w:spacing w:after="0" w:line="181" w:lineRule="exact"/>
              <w:rPr>
                <w:sz w:val="20"/>
                <w:szCs w:val="20"/>
                <w:color w:val="auto"/>
              </w:rPr>
            </w:pPr>
            <w:r>
              <w:rPr>
                <w:rFonts w:ascii="Arial" w:cs="Arial" w:eastAsia="Arial" w:hAnsi="Arial"/>
                <w:sz w:val="16"/>
                <w:szCs w:val="16"/>
                <w:color w:val="auto"/>
              </w:rPr>
              <w:t>Amortization expense</w:t>
            </w:r>
          </w:p>
        </w:tc>
        <w:tc>
          <w:tcPr>
            <w:tcW w:w="440" w:type="dxa"/>
            <w:vAlign w:val="bottom"/>
            <w:shd w:val="clear" w:color="auto" w:fill="9DBDE4"/>
          </w:tcPr>
          <w:p>
            <w:pPr>
              <w:spacing w:after="0"/>
              <w:rPr>
                <w:sz w:val="15"/>
                <w:szCs w:val="15"/>
                <w:color w:val="auto"/>
              </w:rPr>
            </w:pPr>
          </w:p>
        </w:tc>
        <w:tc>
          <w:tcPr>
            <w:tcW w:w="220" w:type="dxa"/>
            <w:vAlign w:val="bottom"/>
            <w:shd w:val="clear" w:color="auto" w:fill="9DBDE4"/>
          </w:tcPr>
          <w:p>
            <w:pPr>
              <w:spacing w:after="0"/>
              <w:rPr>
                <w:sz w:val="15"/>
                <w:szCs w:val="15"/>
                <w:color w:val="auto"/>
              </w:rPr>
            </w:pPr>
          </w:p>
        </w:tc>
        <w:tc>
          <w:tcPr>
            <w:tcW w:w="820" w:type="dxa"/>
            <w:vAlign w:val="bottom"/>
            <w:shd w:val="clear" w:color="auto" w:fill="9DBDE4"/>
          </w:tcPr>
          <w:p>
            <w:pPr>
              <w:jc w:val="right"/>
              <w:spacing w:after="0" w:line="181" w:lineRule="exact"/>
              <w:rPr>
                <w:sz w:val="20"/>
                <w:szCs w:val="20"/>
                <w:color w:val="auto"/>
              </w:rPr>
            </w:pPr>
            <w:r>
              <w:rPr>
                <w:rFonts w:ascii="Arial" w:cs="Arial" w:eastAsia="Arial" w:hAnsi="Arial"/>
                <w:sz w:val="16"/>
                <w:szCs w:val="16"/>
                <w:color w:val="auto"/>
              </w:rPr>
              <w:t>104.1</w:t>
            </w:r>
          </w:p>
        </w:tc>
        <w:tc>
          <w:tcPr>
            <w:tcW w:w="320" w:type="dxa"/>
            <w:vAlign w:val="bottom"/>
            <w:shd w:val="clear" w:color="auto" w:fill="9DBDE4"/>
          </w:tcPr>
          <w:p>
            <w:pPr>
              <w:spacing w:after="0"/>
              <w:rPr>
                <w:sz w:val="15"/>
                <w:szCs w:val="15"/>
                <w:color w:val="auto"/>
              </w:rPr>
            </w:pPr>
          </w:p>
        </w:tc>
        <w:tc>
          <w:tcPr>
            <w:tcW w:w="280" w:type="dxa"/>
            <w:vAlign w:val="bottom"/>
            <w:shd w:val="clear" w:color="auto" w:fill="9DBDE4"/>
          </w:tcPr>
          <w:p>
            <w:pPr>
              <w:spacing w:after="0"/>
              <w:rPr>
                <w:sz w:val="15"/>
                <w:szCs w:val="15"/>
                <w:color w:val="auto"/>
              </w:rPr>
            </w:pPr>
          </w:p>
        </w:tc>
        <w:tc>
          <w:tcPr>
            <w:tcW w:w="220" w:type="dxa"/>
            <w:vAlign w:val="bottom"/>
            <w:shd w:val="clear" w:color="auto" w:fill="9DBDE4"/>
          </w:tcPr>
          <w:p>
            <w:pPr>
              <w:spacing w:after="0"/>
              <w:rPr>
                <w:sz w:val="15"/>
                <w:szCs w:val="15"/>
                <w:color w:val="auto"/>
              </w:rPr>
            </w:pPr>
          </w:p>
        </w:tc>
        <w:tc>
          <w:tcPr>
            <w:tcW w:w="840" w:type="dxa"/>
            <w:vAlign w:val="bottom"/>
            <w:shd w:val="clear" w:color="auto" w:fill="9DBDE4"/>
          </w:tcPr>
          <w:p>
            <w:pPr>
              <w:jc w:val="right"/>
              <w:spacing w:after="0" w:line="181" w:lineRule="exact"/>
              <w:rPr>
                <w:sz w:val="20"/>
                <w:szCs w:val="20"/>
                <w:color w:val="auto"/>
              </w:rPr>
            </w:pPr>
            <w:r>
              <w:rPr>
                <w:rFonts w:ascii="Arial" w:cs="Arial" w:eastAsia="Arial" w:hAnsi="Arial"/>
                <w:sz w:val="16"/>
                <w:szCs w:val="16"/>
                <w:color w:val="auto"/>
              </w:rPr>
              <w:t>112.5</w:t>
            </w:r>
          </w:p>
        </w:tc>
        <w:tc>
          <w:tcPr>
            <w:tcW w:w="220" w:type="dxa"/>
            <w:vAlign w:val="bottom"/>
            <w:shd w:val="clear" w:color="auto" w:fill="9DBDE4"/>
          </w:tcPr>
          <w:p>
            <w:pPr>
              <w:spacing w:after="0"/>
              <w:rPr>
                <w:sz w:val="15"/>
                <w:szCs w:val="15"/>
                <w:color w:val="auto"/>
              </w:rPr>
            </w:pPr>
          </w:p>
        </w:tc>
      </w:tr>
      <w:tr>
        <w:trPr>
          <w:trHeight w:val="187"/>
        </w:trPr>
        <w:tc>
          <w:tcPr>
            <w:tcW w:w="3740" w:type="dxa"/>
            <w:vAlign w:val="bottom"/>
          </w:tcPr>
          <w:p>
            <w:pPr>
              <w:ind w:left="100"/>
              <w:spacing w:after="0" w:line="181" w:lineRule="exact"/>
              <w:rPr>
                <w:sz w:val="20"/>
                <w:szCs w:val="20"/>
                <w:color w:val="auto"/>
              </w:rPr>
            </w:pPr>
            <w:r>
              <w:rPr>
                <w:rFonts w:ascii="Arial" w:cs="Arial" w:eastAsia="Arial" w:hAnsi="Arial"/>
                <w:sz w:val="16"/>
                <w:szCs w:val="16"/>
                <w:color w:val="auto"/>
              </w:rPr>
              <w:t>Non-cash stock-based compensation expense</w:t>
            </w:r>
          </w:p>
        </w:tc>
        <w:tc>
          <w:tcPr>
            <w:tcW w:w="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29.8</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27.2</w:t>
            </w:r>
          </w:p>
        </w:tc>
        <w:tc>
          <w:tcPr>
            <w:tcW w:w="220" w:type="dxa"/>
            <w:vAlign w:val="bottom"/>
          </w:tcPr>
          <w:p>
            <w:pPr>
              <w:spacing w:after="0"/>
              <w:rPr>
                <w:sz w:val="16"/>
                <w:szCs w:val="16"/>
                <w:color w:val="auto"/>
              </w:rPr>
            </w:pPr>
          </w:p>
        </w:tc>
      </w:tr>
      <w:tr>
        <w:trPr>
          <w:trHeight w:val="167"/>
        </w:trPr>
        <w:tc>
          <w:tcPr>
            <w:tcW w:w="3740" w:type="dxa"/>
            <w:vAlign w:val="bottom"/>
            <w:shd w:val="clear" w:color="auto" w:fill="9DBDE4"/>
          </w:tcPr>
          <w:p>
            <w:pPr>
              <w:ind w:left="100"/>
              <w:spacing w:after="0" w:line="167" w:lineRule="exact"/>
              <w:rPr>
                <w:sz w:val="20"/>
                <w:szCs w:val="20"/>
                <w:color w:val="auto"/>
              </w:rPr>
            </w:pPr>
            <w:r>
              <w:rPr>
                <w:rFonts w:ascii="Arial" w:cs="Arial" w:eastAsia="Arial" w:hAnsi="Arial"/>
                <w:sz w:val="16"/>
                <w:szCs w:val="16"/>
                <w:b w:val="1"/>
                <w:bCs w:val="1"/>
                <w:color w:val="auto"/>
              </w:rPr>
              <w:t>Adjusted EBITDA before significant</w:t>
            </w:r>
          </w:p>
        </w:tc>
        <w:tc>
          <w:tcPr>
            <w:tcW w:w="440" w:type="dxa"/>
            <w:vAlign w:val="bottom"/>
            <w:shd w:val="clear" w:color="auto" w:fill="9DBDE4"/>
          </w:tcPr>
          <w:p>
            <w:pPr>
              <w:spacing w:after="0"/>
              <w:rPr>
                <w:sz w:val="14"/>
                <w:szCs w:val="14"/>
                <w:color w:val="auto"/>
              </w:rPr>
            </w:pPr>
          </w:p>
        </w:tc>
        <w:tc>
          <w:tcPr>
            <w:tcW w:w="220" w:type="dxa"/>
            <w:vAlign w:val="bottom"/>
            <w:shd w:val="clear" w:color="auto" w:fill="9DBDE4"/>
          </w:tcPr>
          <w:p>
            <w:pPr>
              <w:spacing w:after="0"/>
              <w:rPr>
                <w:sz w:val="14"/>
                <w:szCs w:val="14"/>
                <w:color w:val="auto"/>
              </w:rPr>
            </w:pPr>
          </w:p>
        </w:tc>
        <w:tc>
          <w:tcPr>
            <w:tcW w:w="820" w:type="dxa"/>
            <w:vAlign w:val="bottom"/>
            <w:shd w:val="clear" w:color="auto" w:fill="9DBDE4"/>
          </w:tcPr>
          <w:p>
            <w:pPr>
              <w:spacing w:after="0"/>
              <w:rPr>
                <w:sz w:val="14"/>
                <w:szCs w:val="14"/>
                <w:color w:val="auto"/>
              </w:rPr>
            </w:pPr>
          </w:p>
        </w:tc>
        <w:tc>
          <w:tcPr>
            <w:tcW w:w="320" w:type="dxa"/>
            <w:vAlign w:val="bottom"/>
            <w:shd w:val="clear" w:color="auto" w:fill="9DBDE4"/>
          </w:tcPr>
          <w:p>
            <w:pPr>
              <w:spacing w:after="0"/>
              <w:rPr>
                <w:sz w:val="14"/>
                <w:szCs w:val="14"/>
                <w:color w:val="auto"/>
              </w:rPr>
            </w:pPr>
          </w:p>
        </w:tc>
        <w:tc>
          <w:tcPr>
            <w:tcW w:w="280" w:type="dxa"/>
            <w:vAlign w:val="bottom"/>
            <w:shd w:val="clear" w:color="auto" w:fill="9DBDE4"/>
          </w:tcPr>
          <w:p>
            <w:pPr>
              <w:spacing w:after="0"/>
              <w:rPr>
                <w:sz w:val="14"/>
                <w:szCs w:val="14"/>
                <w:color w:val="auto"/>
              </w:rPr>
            </w:pPr>
          </w:p>
        </w:tc>
        <w:tc>
          <w:tcPr>
            <w:tcW w:w="220" w:type="dxa"/>
            <w:vAlign w:val="bottom"/>
            <w:shd w:val="clear" w:color="auto" w:fill="9DBDE4"/>
          </w:tcPr>
          <w:p>
            <w:pPr>
              <w:spacing w:after="0"/>
              <w:rPr>
                <w:sz w:val="14"/>
                <w:szCs w:val="14"/>
                <w:color w:val="auto"/>
              </w:rPr>
            </w:pPr>
          </w:p>
        </w:tc>
        <w:tc>
          <w:tcPr>
            <w:tcW w:w="840" w:type="dxa"/>
            <w:vAlign w:val="bottom"/>
            <w:shd w:val="clear" w:color="auto" w:fill="9DBDE4"/>
          </w:tcPr>
          <w:p>
            <w:pPr>
              <w:spacing w:after="0"/>
              <w:rPr>
                <w:sz w:val="14"/>
                <w:szCs w:val="14"/>
                <w:color w:val="auto"/>
              </w:rPr>
            </w:pPr>
          </w:p>
        </w:tc>
        <w:tc>
          <w:tcPr>
            <w:tcW w:w="220" w:type="dxa"/>
            <w:vAlign w:val="bottom"/>
            <w:shd w:val="clear" w:color="auto" w:fill="9DBDE4"/>
          </w:tcPr>
          <w:p>
            <w:pPr>
              <w:spacing w:after="0"/>
              <w:rPr>
                <w:sz w:val="14"/>
                <w:szCs w:val="14"/>
                <w:color w:val="auto"/>
              </w:rPr>
            </w:pPr>
          </w:p>
        </w:tc>
      </w:tr>
      <w:tr>
        <w:trPr>
          <w:trHeight w:val="195"/>
        </w:trPr>
        <w:tc>
          <w:tcPr>
            <w:tcW w:w="3740" w:type="dxa"/>
            <w:vAlign w:val="bottom"/>
            <w:shd w:val="clear" w:color="auto" w:fill="9DBDE4"/>
          </w:tcPr>
          <w:p>
            <w:pPr>
              <w:ind w:left="100"/>
              <w:spacing w:after="0"/>
              <w:rPr>
                <w:sz w:val="20"/>
                <w:szCs w:val="20"/>
                <w:color w:val="auto"/>
              </w:rPr>
            </w:pPr>
            <w:r>
              <w:rPr>
                <w:rFonts w:ascii="Arial" w:cs="Arial" w:eastAsia="Arial" w:hAnsi="Arial"/>
                <w:sz w:val="16"/>
                <w:szCs w:val="16"/>
                <w:b w:val="1"/>
                <w:bCs w:val="1"/>
                <w:color w:val="auto"/>
              </w:rPr>
              <w:t>transaction-related expenses</w:t>
            </w:r>
          </w:p>
        </w:tc>
        <w:tc>
          <w:tcPr>
            <w:tcW w:w="660" w:type="dxa"/>
            <w:vAlign w:val="bottom"/>
            <w:gridSpan w:val="2"/>
            <w:shd w:val="clear" w:color="auto" w:fill="9DBDE4"/>
          </w:tcPr>
          <w:p>
            <w:pPr>
              <w:jc w:val="right"/>
              <w:ind w:right="68"/>
              <w:spacing w:after="0"/>
              <w:rPr>
                <w:sz w:val="20"/>
                <w:szCs w:val="20"/>
                <w:color w:val="auto"/>
              </w:rPr>
            </w:pPr>
            <w:r>
              <w:rPr>
                <w:rFonts w:ascii="Arial" w:cs="Arial" w:eastAsia="Arial" w:hAnsi="Arial"/>
                <w:sz w:val="16"/>
                <w:szCs w:val="16"/>
                <w:color w:val="auto"/>
              </w:rPr>
              <w:t>$</w:t>
            </w:r>
          </w:p>
        </w:tc>
        <w:tc>
          <w:tcPr>
            <w:tcW w:w="820" w:type="dxa"/>
            <w:vAlign w:val="bottom"/>
            <w:shd w:val="clear" w:color="auto" w:fill="9DBDE4"/>
          </w:tcPr>
          <w:p>
            <w:pPr>
              <w:jc w:val="right"/>
              <w:spacing w:after="0"/>
              <w:rPr>
                <w:sz w:val="20"/>
                <w:szCs w:val="20"/>
                <w:color w:val="auto"/>
              </w:rPr>
            </w:pPr>
            <w:r>
              <w:rPr>
                <w:rFonts w:ascii="Arial" w:cs="Arial" w:eastAsia="Arial" w:hAnsi="Arial"/>
                <w:sz w:val="16"/>
                <w:szCs w:val="16"/>
                <w:color w:val="auto"/>
              </w:rPr>
              <w:t>361.0</w:t>
            </w:r>
          </w:p>
        </w:tc>
        <w:tc>
          <w:tcPr>
            <w:tcW w:w="320" w:type="dxa"/>
            <w:vAlign w:val="bottom"/>
            <w:shd w:val="clear" w:color="auto" w:fill="9DBDE4"/>
          </w:tcPr>
          <w:p>
            <w:pPr>
              <w:spacing w:after="0"/>
              <w:rPr>
                <w:sz w:val="17"/>
                <w:szCs w:val="17"/>
                <w:color w:val="auto"/>
              </w:rPr>
            </w:pPr>
          </w:p>
        </w:tc>
        <w:tc>
          <w:tcPr>
            <w:tcW w:w="500" w:type="dxa"/>
            <w:vAlign w:val="bottom"/>
            <w:gridSpan w:val="2"/>
            <w:shd w:val="clear" w:color="auto" w:fill="9DBDE4"/>
          </w:tcPr>
          <w:p>
            <w:pPr>
              <w:jc w:val="right"/>
              <w:ind w:right="68"/>
              <w:spacing w:after="0"/>
              <w:rPr>
                <w:sz w:val="20"/>
                <w:szCs w:val="20"/>
                <w:color w:val="auto"/>
              </w:rPr>
            </w:pPr>
            <w:r>
              <w:rPr>
                <w:rFonts w:ascii="Arial" w:cs="Arial" w:eastAsia="Arial" w:hAnsi="Arial"/>
                <w:sz w:val="16"/>
                <w:szCs w:val="16"/>
                <w:color w:val="auto"/>
              </w:rPr>
              <w:t>$</w:t>
            </w:r>
          </w:p>
        </w:tc>
        <w:tc>
          <w:tcPr>
            <w:tcW w:w="840" w:type="dxa"/>
            <w:vAlign w:val="bottom"/>
            <w:shd w:val="clear" w:color="auto" w:fill="9DBDE4"/>
          </w:tcPr>
          <w:p>
            <w:pPr>
              <w:jc w:val="right"/>
              <w:spacing w:after="0"/>
              <w:rPr>
                <w:sz w:val="20"/>
                <w:szCs w:val="20"/>
                <w:color w:val="auto"/>
              </w:rPr>
            </w:pPr>
            <w:r>
              <w:rPr>
                <w:rFonts w:ascii="Arial" w:cs="Arial" w:eastAsia="Arial" w:hAnsi="Arial"/>
                <w:sz w:val="16"/>
                <w:szCs w:val="16"/>
                <w:color w:val="auto"/>
              </w:rPr>
              <w:t>370.5</w:t>
            </w:r>
          </w:p>
        </w:tc>
        <w:tc>
          <w:tcPr>
            <w:tcW w:w="220" w:type="dxa"/>
            <w:vAlign w:val="bottom"/>
            <w:shd w:val="clear" w:color="auto" w:fill="9DBDE4"/>
          </w:tcPr>
          <w:p>
            <w:pPr>
              <w:spacing w:after="0"/>
              <w:rPr>
                <w:sz w:val="17"/>
                <w:szCs w:val="17"/>
                <w:color w:val="auto"/>
              </w:rPr>
            </w:pPr>
          </w:p>
        </w:tc>
      </w:tr>
      <w:tr>
        <w:trPr>
          <w:trHeight w:val="181"/>
        </w:trPr>
        <w:tc>
          <w:tcPr>
            <w:tcW w:w="3740" w:type="dxa"/>
            <w:vAlign w:val="bottom"/>
          </w:tcPr>
          <w:p>
            <w:pPr>
              <w:ind w:left="100"/>
              <w:spacing w:after="0" w:line="181" w:lineRule="exact"/>
              <w:rPr>
                <w:sz w:val="20"/>
                <w:szCs w:val="20"/>
                <w:color w:val="auto"/>
              </w:rPr>
            </w:pPr>
            <w:r>
              <w:rPr>
                <w:rFonts w:ascii="Arial" w:cs="Arial" w:eastAsia="Arial" w:hAnsi="Arial"/>
                <w:sz w:val="16"/>
                <w:szCs w:val="16"/>
                <w:color w:val="auto"/>
              </w:rPr>
              <w:t>CEO transition</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3.6</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r>
      <w:tr>
        <w:trPr>
          <w:trHeight w:val="181"/>
        </w:trPr>
        <w:tc>
          <w:tcPr>
            <w:tcW w:w="3740" w:type="dxa"/>
            <w:vAlign w:val="bottom"/>
            <w:shd w:val="clear" w:color="auto" w:fill="9DBDE4"/>
          </w:tcPr>
          <w:p>
            <w:pPr>
              <w:ind w:left="100"/>
              <w:spacing w:after="0" w:line="181" w:lineRule="exact"/>
              <w:rPr>
                <w:sz w:val="20"/>
                <w:szCs w:val="20"/>
                <w:color w:val="auto"/>
              </w:rPr>
            </w:pPr>
            <w:r>
              <w:rPr>
                <w:rFonts w:ascii="Arial" w:cs="Arial" w:eastAsia="Arial" w:hAnsi="Arial"/>
                <w:sz w:val="16"/>
                <w:szCs w:val="16"/>
                <w:color w:val="auto"/>
              </w:rPr>
              <w:t>Employee related actions</w:t>
            </w:r>
          </w:p>
        </w:tc>
        <w:tc>
          <w:tcPr>
            <w:tcW w:w="440" w:type="dxa"/>
            <w:vAlign w:val="bottom"/>
            <w:shd w:val="clear" w:color="auto" w:fill="9DBDE4"/>
          </w:tcPr>
          <w:p>
            <w:pPr>
              <w:spacing w:after="0"/>
              <w:rPr>
                <w:sz w:val="15"/>
                <w:szCs w:val="15"/>
                <w:color w:val="auto"/>
              </w:rPr>
            </w:pPr>
          </w:p>
        </w:tc>
        <w:tc>
          <w:tcPr>
            <w:tcW w:w="220" w:type="dxa"/>
            <w:vAlign w:val="bottom"/>
            <w:shd w:val="clear" w:color="auto" w:fill="9DBDE4"/>
          </w:tcPr>
          <w:p>
            <w:pPr>
              <w:spacing w:after="0"/>
              <w:rPr>
                <w:sz w:val="15"/>
                <w:szCs w:val="15"/>
                <w:color w:val="auto"/>
              </w:rPr>
            </w:pPr>
          </w:p>
        </w:tc>
        <w:tc>
          <w:tcPr>
            <w:tcW w:w="820" w:type="dxa"/>
            <w:vAlign w:val="bottom"/>
            <w:shd w:val="clear" w:color="auto" w:fill="9DBDE4"/>
          </w:tcPr>
          <w:p>
            <w:pPr>
              <w:jc w:val="right"/>
              <w:spacing w:after="0" w:line="181" w:lineRule="exact"/>
              <w:rPr>
                <w:sz w:val="20"/>
                <w:szCs w:val="20"/>
                <w:color w:val="auto"/>
              </w:rPr>
            </w:pPr>
            <w:r>
              <w:rPr>
                <w:rFonts w:ascii="Arial" w:cs="Arial" w:eastAsia="Arial" w:hAnsi="Arial"/>
                <w:sz w:val="16"/>
                <w:szCs w:val="16"/>
                <w:color w:val="auto"/>
              </w:rPr>
              <w:t>-</w:t>
            </w:r>
          </w:p>
        </w:tc>
        <w:tc>
          <w:tcPr>
            <w:tcW w:w="320" w:type="dxa"/>
            <w:vAlign w:val="bottom"/>
            <w:shd w:val="clear" w:color="auto" w:fill="9DBDE4"/>
          </w:tcPr>
          <w:p>
            <w:pPr>
              <w:spacing w:after="0"/>
              <w:rPr>
                <w:sz w:val="15"/>
                <w:szCs w:val="15"/>
                <w:color w:val="auto"/>
              </w:rPr>
            </w:pPr>
          </w:p>
        </w:tc>
        <w:tc>
          <w:tcPr>
            <w:tcW w:w="280" w:type="dxa"/>
            <w:vAlign w:val="bottom"/>
            <w:shd w:val="clear" w:color="auto" w:fill="9DBDE4"/>
          </w:tcPr>
          <w:p>
            <w:pPr>
              <w:spacing w:after="0"/>
              <w:rPr>
                <w:sz w:val="15"/>
                <w:szCs w:val="15"/>
                <w:color w:val="auto"/>
              </w:rPr>
            </w:pPr>
          </w:p>
        </w:tc>
        <w:tc>
          <w:tcPr>
            <w:tcW w:w="220" w:type="dxa"/>
            <w:vAlign w:val="bottom"/>
            <w:shd w:val="clear" w:color="auto" w:fill="9DBDE4"/>
          </w:tcPr>
          <w:p>
            <w:pPr>
              <w:spacing w:after="0"/>
              <w:rPr>
                <w:sz w:val="15"/>
                <w:szCs w:val="15"/>
                <w:color w:val="auto"/>
              </w:rPr>
            </w:pPr>
          </w:p>
        </w:tc>
        <w:tc>
          <w:tcPr>
            <w:tcW w:w="840" w:type="dxa"/>
            <w:vAlign w:val="bottom"/>
            <w:shd w:val="clear" w:color="auto" w:fill="9DBDE4"/>
          </w:tcPr>
          <w:p>
            <w:pPr>
              <w:jc w:val="right"/>
              <w:spacing w:after="0" w:line="181" w:lineRule="exact"/>
              <w:rPr>
                <w:sz w:val="20"/>
                <w:szCs w:val="20"/>
                <w:color w:val="auto"/>
              </w:rPr>
            </w:pPr>
            <w:r>
              <w:rPr>
                <w:rFonts w:ascii="Arial" w:cs="Arial" w:eastAsia="Arial" w:hAnsi="Arial"/>
                <w:sz w:val="16"/>
                <w:szCs w:val="16"/>
                <w:color w:val="auto"/>
              </w:rPr>
              <w:t>10.3</w:t>
            </w:r>
          </w:p>
        </w:tc>
        <w:tc>
          <w:tcPr>
            <w:tcW w:w="220" w:type="dxa"/>
            <w:vAlign w:val="bottom"/>
            <w:shd w:val="clear" w:color="auto" w:fill="9DBDE4"/>
          </w:tcPr>
          <w:p>
            <w:pPr>
              <w:spacing w:after="0"/>
              <w:rPr>
                <w:sz w:val="15"/>
                <w:szCs w:val="15"/>
                <w:color w:val="auto"/>
              </w:rPr>
            </w:pPr>
          </w:p>
        </w:tc>
      </w:tr>
      <w:tr>
        <w:trPr>
          <w:trHeight w:val="181"/>
        </w:trPr>
        <w:tc>
          <w:tcPr>
            <w:tcW w:w="3740" w:type="dxa"/>
            <w:vAlign w:val="bottom"/>
          </w:tcPr>
          <w:p>
            <w:pPr>
              <w:ind w:left="100"/>
              <w:spacing w:after="0" w:line="181" w:lineRule="exact"/>
              <w:rPr>
                <w:sz w:val="20"/>
                <w:szCs w:val="20"/>
                <w:color w:val="auto"/>
              </w:rPr>
            </w:pPr>
            <w:r>
              <w:rPr>
                <w:rFonts w:ascii="Arial" w:cs="Arial" w:eastAsia="Arial" w:hAnsi="Arial"/>
                <w:sz w:val="16"/>
                <w:szCs w:val="16"/>
                <w:color w:val="auto"/>
              </w:rPr>
              <w:t>European datacenter migration</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5.8</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r>
      <w:tr>
        <w:trPr>
          <w:trHeight w:val="181"/>
        </w:trPr>
        <w:tc>
          <w:tcPr>
            <w:tcW w:w="3740" w:type="dxa"/>
            <w:vAlign w:val="bottom"/>
            <w:shd w:val="clear" w:color="auto" w:fill="9DBDE4"/>
          </w:tcPr>
          <w:p>
            <w:pPr>
              <w:ind w:left="100"/>
              <w:spacing w:after="0" w:line="181" w:lineRule="exact"/>
              <w:rPr>
                <w:sz w:val="20"/>
                <w:szCs w:val="20"/>
                <w:color w:val="auto"/>
              </w:rPr>
            </w:pPr>
            <w:r>
              <w:rPr>
                <w:rFonts w:ascii="Arial" w:cs="Arial" w:eastAsia="Arial" w:hAnsi="Arial"/>
                <w:sz w:val="16"/>
                <w:szCs w:val="16"/>
                <w:color w:val="auto"/>
              </w:rPr>
              <w:t>Divestiture transaction related</w:t>
            </w:r>
          </w:p>
        </w:tc>
        <w:tc>
          <w:tcPr>
            <w:tcW w:w="440" w:type="dxa"/>
            <w:vAlign w:val="bottom"/>
            <w:shd w:val="clear" w:color="auto" w:fill="9DBDE4"/>
          </w:tcPr>
          <w:p>
            <w:pPr>
              <w:spacing w:after="0"/>
              <w:rPr>
                <w:sz w:val="15"/>
                <w:szCs w:val="15"/>
                <w:color w:val="auto"/>
              </w:rPr>
            </w:pPr>
          </w:p>
        </w:tc>
        <w:tc>
          <w:tcPr>
            <w:tcW w:w="220" w:type="dxa"/>
            <w:vAlign w:val="bottom"/>
            <w:shd w:val="clear" w:color="auto" w:fill="9DBDE4"/>
          </w:tcPr>
          <w:p>
            <w:pPr>
              <w:spacing w:after="0"/>
              <w:rPr>
                <w:sz w:val="15"/>
                <w:szCs w:val="15"/>
                <w:color w:val="auto"/>
              </w:rPr>
            </w:pPr>
          </w:p>
        </w:tc>
        <w:tc>
          <w:tcPr>
            <w:tcW w:w="820" w:type="dxa"/>
            <w:vAlign w:val="bottom"/>
            <w:shd w:val="clear" w:color="auto" w:fill="9DBDE4"/>
          </w:tcPr>
          <w:p>
            <w:pPr>
              <w:jc w:val="right"/>
              <w:spacing w:after="0" w:line="181" w:lineRule="exact"/>
              <w:rPr>
                <w:sz w:val="20"/>
                <w:szCs w:val="20"/>
                <w:color w:val="auto"/>
              </w:rPr>
            </w:pPr>
            <w:r>
              <w:rPr>
                <w:rFonts w:ascii="Arial" w:cs="Arial" w:eastAsia="Arial" w:hAnsi="Arial"/>
                <w:sz w:val="16"/>
                <w:szCs w:val="16"/>
                <w:color w:val="auto"/>
              </w:rPr>
              <w:t>3.0</w:t>
            </w:r>
          </w:p>
        </w:tc>
        <w:tc>
          <w:tcPr>
            <w:tcW w:w="320" w:type="dxa"/>
            <w:vAlign w:val="bottom"/>
            <w:shd w:val="clear" w:color="auto" w:fill="9DBDE4"/>
          </w:tcPr>
          <w:p>
            <w:pPr>
              <w:spacing w:after="0"/>
              <w:rPr>
                <w:sz w:val="15"/>
                <w:szCs w:val="15"/>
                <w:color w:val="auto"/>
              </w:rPr>
            </w:pPr>
          </w:p>
        </w:tc>
        <w:tc>
          <w:tcPr>
            <w:tcW w:w="280" w:type="dxa"/>
            <w:vAlign w:val="bottom"/>
            <w:shd w:val="clear" w:color="auto" w:fill="9DBDE4"/>
          </w:tcPr>
          <w:p>
            <w:pPr>
              <w:spacing w:after="0"/>
              <w:rPr>
                <w:sz w:val="15"/>
                <w:szCs w:val="15"/>
                <w:color w:val="auto"/>
              </w:rPr>
            </w:pPr>
          </w:p>
        </w:tc>
        <w:tc>
          <w:tcPr>
            <w:tcW w:w="220" w:type="dxa"/>
            <w:vAlign w:val="bottom"/>
            <w:shd w:val="clear" w:color="auto" w:fill="9DBDE4"/>
          </w:tcPr>
          <w:p>
            <w:pPr>
              <w:spacing w:after="0"/>
              <w:rPr>
                <w:sz w:val="15"/>
                <w:szCs w:val="15"/>
                <w:color w:val="auto"/>
              </w:rPr>
            </w:pPr>
          </w:p>
        </w:tc>
        <w:tc>
          <w:tcPr>
            <w:tcW w:w="840" w:type="dxa"/>
            <w:vAlign w:val="bottom"/>
            <w:shd w:val="clear" w:color="auto" w:fill="9DBDE4"/>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shd w:val="clear" w:color="auto" w:fill="9DBDE4"/>
          </w:tcPr>
          <w:p>
            <w:pPr>
              <w:spacing w:after="0"/>
              <w:rPr>
                <w:sz w:val="15"/>
                <w:szCs w:val="15"/>
                <w:color w:val="auto"/>
              </w:rPr>
            </w:pPr>
          </w:p>
        </w:tc>
      </w:tr>
      <w:tr>
        <w:trPr>
          <w:trHeight w:val="187"/>
        </w:trPr>
        <w:tc>
          <w:tcPr>
            <w:tcW w:w="3740" w:type="dxa"/>
            <w:vAlign w:val="bottom"/>
          </w:tcPr>
          <w:p>
            <w:pPr>
              <w:ind w:left="100"/>
              <w:spacing w:after="0" w:line="181" w:lineRule="exact"/>
              <w:rPr>
                <w:sz w:val="20"/>
                <w:szCs w:val="20"/>
                <w:color w:val="auto"/>
              </w:rPr>
            </w:pPr>
            <w:r>
              <w:rPr>
                <w:rFonts w:ascii="Arial" w:cs="Arial" w:eastAsia="Arial" w:hAnsi="Arial"/>
                <w:sz w:val="16"/>
                <w:szCs w:val="16"/>
                <w:color w:val="auto"/>
              </w:rPr>
              <w:t>Other</w:t>
            </w:r>
          </w:p>
        </w:tc>
        <w:tc>
          <w:tcPr>
            <w:tcW w:w="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3.1</w:t>
            </w:r>
          </w:p>
        </w:tc>
        <w:tc>
          <w:tcPr>
            <w:tcW w:w="220" w:type="dxa"/>
            <w:vAlign w:val="bottom"/>
          </w:tcPr>
          <w:p>
            <w:pPr>
              <w:spacing w:after="0"/>
              <w:rPr>
                <w:sz w:val="16"/>
                <w:szCs w:val="16"/>
                <w:color w:val="auto"/>
              </w:rPr>
            </w:pPr>
          </w:p>
        </w:tc>
      </w:tr>
      <w:tr>
        <w:trPr>
          <w:trHeight w:val="246"/>
        </w:trPr>
        <w:tc>
          <w:tcPr>
            <w:tcW w:w="3740" w:type="dxa"/>
            <w:vAlign w:val="bottom"/>
            <w:tcBorders>
              <w:bottom w:val="single" w:sz="8" w:color="9DBDE4"/>
            </w:tcBorders>
            <w:shd w:val="clear" w:color="auto" w:fill="9DBDE4"/>
          </w:tcPr>
          <w:p>
            <w:pPr>
              <w:ind w:left="100"/>
              <w:spacing w:after="0"/>
              <w:rPr>
                <w:sz w:val="20"/>
                <w:szCs w:val="20"/>
                <w:color w:val="auto"/>
              </w:rPr>
            </w:pPr>
            <w:r>
              <w:rPr>
                <w:rFonts w:ascii="Arial" w:cs="Arial" w:eastAsia="Arial" w:hAnsi="Arial"/>
                <w:sz w:val="16"/>
                <w:szCs w:val="16"/>
                <w:b w:val="1"/>
                <w:bCs w:val="1"/>
                <w:color w:val="auto"/>
              </w:rPr>
              <w:t>Adjusted EBITDA</w:t>
            </w:r>
          </w:p>
        </w:tc>
        <w:tc>
          <w:tcPr>
            <w:tcW w:w="660" w:type="dxa"/>
            <w:vAlign w:val="bottom"/>
            <w:tcBorders>
              <w:bottom w:val="single" w:sz="8" w:color="9DBDE4"/>
            </w:tcBorders>
            <w:gridSpan w:val="2"/>
            <w:shd w:val="clear" w:color="auto" w:fill="9DBDE4"/>
          </w:tcPr>
          <w:p>
            <w:pPr>
              <w:jc w:val="right"/>
              <w:ind w:right="68"/>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9DBDE4"/>
            </w:tcBorders>
            <w:shd w:val="clear" w:color="auto" w:fill="9DBDE4"/>
          </w:tcPr>
          <w:p>
            <w:pPr>
              <w:jc w:val="right"/>
              <w:spacing w:after="0"/>
              <w:rPr>
                <w:sz w:val="20"/>
                <w:szCs w:val="20"/>
                <w:color w:val="auto"/>
              </w:rPr>
            </w:pPr>
            <w:r>
              <w:rPr>
                <w:rFonts w:ascii="Arial" w:cs="Arial" w:eastAsia="Arial" w:hAnsi="Arial"/>
                <w:sz w:val="16"/>
                <w:szCs w:val="16"/>
                <w:color w:val="auto"/>
              </w:rPr>
              <w:t>373.4</w:t>
            </w:r>
          </w:p>
        </w:tc>
        <w:tc>
          <w:tcPr>
            <w:tcW w:w="320" w:type="dxa"/>
            <w:vAlign w:val="bottom"/>
            <w:tcBorders>
              <w:bottom w:val="single" w:sz="8" w:color="9DBDE4"/>
            </w:tcBorders>
            <w:shd w:val="clear" w:color="auto" w:fill="9DBDE4"/>
          </w:tcPr>
          <w:p>
            <w:pPr>
              <w:spacing w:after="0"/>
              <w:rPr>
                <w:sz w:val="21"/>
                <w:szCs w:val="21"/>
                <w:color w:val="auto"/>
              </w:rPr>
            </w:pPr>
          </w:p>
        </w:tc>
        <w:tc>
          <w:tcPr>
            <w:tcW w:w="500" w:type="dxa"/>
            <w:vAlign w:val="bottom"/>
            <w:tcBorders>
              <w:bottom w:val="single" w:sz="8" w:color="9DBDE4"/>
            </w:tcBorders>
            <w:gridSpan w:val="2"/>
            <w:shd w:val="clear" w:color="auto" w:fill="9DBDE4"/>
          </w:tcPr>
          <w:p>
            <w:pPr>
              <w:jc w:val="right"/>
              <w:ind w:right="68"/>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9DBDE4"/>
            </w:tcBorders>
            <w:shd w:val="clear" w:color="auto" w:fill="9DBDE4"/>
          </w:tcPr>
          <w:p>
            <w:pPr>
              <w:jc w:val="right"/>
              <w:spacing w:after="0"/>
              <w:rPr>
                <w:sz w:val="20"/>
                <w:szCs w:val="20"/>
                <w:color w:val="auto"/>
              </w:rPr>
            </w:pPr>
            <w:r>
              <w:rPr>
                <w:rFonts w:ascii="Arial" w:cs="Arial" w:eastAsia="Arial" w:hAnsi="Arial"/>
                <w:sz w:val="16"/>
                <w:szCs w:val="16"/>
                <w:color w:val="auto"/>
              </w:rPr>
              <w:t>383.9</w:t>
            </w:r>
          </w:p>
        </w:tc>
        <w:tc>
          <w:tcPr>
            <w:tcW w:w="220" w:type="dxa"/>
            <w:vAlign w:val="bottom"/>
            <w:tcBorders>
              <w:bottom w:val="single" w:sz="8" w:color="9DBDE4"/>
            </w:tcBorders>
            <w:shd w:val="clear" w:color="auto" w:fill="9DBDE4"/>
          </w:tcPr>
          <w:p>
            <w:pPr>
              <w:spacing w:after="0"/>
              <w:rPr>
                <w:sz w:val="21"/>
                <w:szCs w:val="21"/>
                <w:color w:val="auto"/>
              </w:rPr>
            </w:pPr>
          </w:p>
        </w:tc>
      </w:tr>
      <w:tr>
        <w:trPr>
          <w:trHeight w:val="20"/>
        </w:trPr>
        <w:tc>
          <w:tcPr>
            <w:tcW w:w="3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A-1</w:t>
      </w:r>
    </w:p>
    <w:p>
      <w:pPr>
        <w:sectPr>
          <w:pgSz w:w="11900" w:h="16838" w:orient="portrait"/>
          <w:cols w:equalWidth="0" w:num="1">
            <w:col w:w="9320"/>
          </w:cols>
          <w:pgMar w:left="1280" w:top="253" w:right="1299" w:bottom="1440" w:gutter="0" w:footer="0" w:header="0"/>
        </w:sectPr>
      </w:pPr>
    </w:p>
    <w:bookmarkStart w:id="96" w:name="page97"/>
    <w:bookmarkEnd w:id="96"/>
    <w:p>
      <w:pPr>
        <w:jc w:val="center"/>
        <w:spacing w:after="0"/>
        <w:rPr>
          <w:sz w:val="20"/>
          <w:szCs w:val="20"/>
          <w:color w:val="auto"/>
        </w:rPr>
      </w:pPr>
      <w:r>
        <w:rPr>
          <w:rFonts w:ascii="Arial" w:cs="Arial" w:eastAsia="Arial" w:hAnsi="Arial"/>
          <w:sz w:val="52"/>
          <w:szCs w:val="52"/>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592074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ACI WORLDWIDE,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2020 EQUITY AND INCENTIVE COMPENSATION PLAN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Effective June 1, 2023)</w:t>
      </w:r>
    </w:p>
    <w:p>
      <w:pPr>
        <w:spacing w:after="0" w:line="193" w:lineRule="exact"/>
        <w:rPr>
          <w:sz w:val="20"/>
          <w:szCs w:val="20"/>
          <w:color w:val="auto"/>
        </w:rPr>
      </w:pPr>
    </w:p>
    <w:p>
      <w:pPr>
        <w:ind w:right="100" w:firstLine="2"/>
        <w:spacing w:after="0" w:line="251" w:lineRule="auto"/>
        <w:tabs>
          <w:tab w:leader="none" w:pos="173"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purpose of this Plan is to permit award grants to non-employee Directors, officers and other employees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its Subsidiaries, and certain consultants to the Company and its Subsidiaries, and to provide to such persons incentives and rewards for service and/or performance.</w:t>
      </w:r>
    </w:p>
    <w:p>
      <w:pPr>
        <w:spacing w:after="0" w:line="173" w:lineRule="exact"/>
        <w:rPr>
          <w:rFonts w:ascii="Arial" w:cs="Arial" w:eastAsia="Arial" w:hAnsi="Arial"/>
          <w:sz w:val="16"/>
          <w:szCs w:val="16"/>
          <w:color w:val="auto"/>
        </w:rPr>
      </w:pPr>
    </w:p>
    <w:p>
      <w:pPr>
        <w:ind w:left="180" w:hanging="178"/>
        <w:spacing w:after="0"/>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in this Plan:</w:t>
      </w:r>
    </w:p>
    <w:p>
      <w:pPr>
        <w:spacing w:after="0" w:line="100" w:lineRule="exact"/>
        <w:rPr>
          <w:rFonts w:ascii="Arial" w:cs="Arial" w:eastAsia="Arial" w:hAnsi="Arial"/>
          <w:sz w:val="16"/>
          <w:szCs w:val="16"/>
          <w:color w:val="auto"/>
        </w:rPr>
      </w:pPr>
    </w:p>
    <w:p>
      <w:pPr>
        <w:ind w:left="600" w:hanging="225"/>
        <w:spacing w:after="0"/>
        <w:tabs>
          <w:tab w:leader="none" w:pos="6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“Appreciation Right” means a right granted pursuant to </w:t>
      </w:r>
      <w:r>
        <w:rPr>
          <w:rFonts w:ascii="Arial" w:cs="Arial" w:eastAsia="Arial" w:hAnsi="Arial"/>
          <w:sz w:val="16"/>
          <w:szCs w:val="16"/>
          <w:b w:val="1"/>
          <w:bCs w:val="1"/>
          <w:u w:val="single" w:color="auto"/>
          <w:color w:val="auto"/>
        </w:rPr>
        <w:t>Section 5</w:t>
      </w:r>
      <w:r>
        <w:rPr>
          <w:rFonts w:ascii="Arial" w:cs="Arial" w:eastAsia="Arial" w:hAnsi="Arial"/>
          <w:sz w:val="16"/>
          <w:szCs w:val="16"/>
          <w:color w:val="auto"/>
        </w:rPr>
        <w:t xml:space="preserve"> of this Plan.</w:t>
      </w:r>
    </w:p>
    <w:p>
      <w:pPr>
        <w:spacing w:after="0" w:line="206" w:lineRule="exact"/>
        <w:rPr>
          <w:rFonts w:ascii="Arial" w:cs="Arial" w:eastAsia="Arial" w:hAnsi="Arial"/>
          <w:sz w:val="16"/>
          <w:szCs w:val="16"/>
          <w:color w:val="auto"/>
        </w:rPr>
      </w:pPr>
    </w:p>
    <w:p>
      <w:pPr>
        <w:ind w:left="600" w:hanging="225"/>
        <w:spacing w:after="0"/>
        <w:tabs>
          <w:tab w:leader="none" w:pos="600" w:val="left"/>
        </w:tabs>
        <w:numPr>
          <w:ilvl w:val="1"/>
          <w:numId w:val="65"/>
        </w:numPr>
        <w:rPr>
          <w:rFonts w:ascii="Arial" w:cs="Arial" w:eastAsia="Arial" w:hAnsi="Arial"/>
          <w:sz w:val="14"/>
          <w:szCs w:val="14"/>
          <w:color w:val="auto"/>
        </w:rPr>
      </w:pPr>
      <w:r>
        <w:rPr>
          <w:rFonts w:ascii="Arial" w:cs="Arial" w:eastAsia="Arial" w:hAnsi="Arial"/>
          <w:sz w:val="14"/>
          <w:szCs w:val="14"/>
          <w:color w:val="auto"/>
        </w:rPr>
        <w:t>“Base Price” means the price to be used as the basis for determining the Spread upon the exercise of an Appreciation Right.</w:t>
      </w:r>
    </w:p>
    <w:p>
      <w:pPr>
        <w:spacing w:after="0" w:line="227" w:lineRule="exact"/>
        <w:rPr>
          <w:rFonts w:ascii="Arial" w:cs="Arial" w:eastAsia="Arial" w:hAnsi="Arial"/>
          <w:sz w:val="14"/>
          <w:szCs w:val="14"/>
          <w:color w:val="auto"/>
        </w:rPr>
      </w:pPr>
    </w:p>
    <w:p>
      <w:pPr>
        <w:ind w:left="600" w:hanging="225"/>
        <w:spacing w:after="0"/>
        <w:tabs>
          <w:tab w:leader="none" w:pos="6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“Board” means the Board of Directors of the Company.</w:t>
      </w:r>
    </w:p>
    <w:p>
      <w:pPr>
        <w:spacing w:after="0" w:line="202" w:lineRule="exact"/>
        <w:rPr>
          <w:rFonts w:ascii="Arial" w:cs="Arial" w:eastAsia="Arial" w:hAnsi="Arial"/>
          <w:sz w:val="16"/>
          <w:szCs w:val="16"/>
          <w:color w:val="auto"/>
        </w:rPr>
      </w:pPr>
    </w:p>
    <w:p>
      <w:pPr>
        <w:ind w:left="600" w:hanging="225"/>
        <w:spacing w:after="0"/>
        <w:tabs>
          <w:tab w:leader="none" w:pos="6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“Cash Incentive Award” means a cash award granted pursuant to </w:t>
      </w:r>
      <w:r>
        <w:rPr>
          <w:rFonts w:ascii="Arial" w:cs="Arial" w:eastAsia="Arial" w:hAnsi="Arial"/>
          <w:sz w:val="16"/>
          <w:szCs w:val="16"/>
          <w:b w:val="1"/>
          <w:bCs w:val="1"/>
          <w:u w:val="single" w:color="auto"/>
          <w:color w:val="auto"/>
        </w:rPr>
        <w:t>Section 8</w:t>
      </w:r>
      <w:r>
        <w:rPr>
          <w:rFonts w:ascii="Arial" w:cs="Arial" w:eastAsia="Arial" w:hAnsi="Arial"/>
          <w:sz w:val="16"/>
          <w:szCs w:val="16"/>
          <w:color w:val="auto"/>
        </w:rPr>
        <w:t xml:space="preserve"> of this Plan.</w:t>
      </w:r>
    </w:p>
    <w:p>
      <w:pPr>
        <w:spacing w:after="0" w:line="204" w:lineRule="exact"/>
        <w:rPr>
          <w:rFonts w:ascii="Arial" w:cs="Arial" w:eastAsia="Arial" w:hAnsi="Arial"/>
          <w:sz w:val="16"/>
          <w:szCs w:val="16"/>
          <w:color w:val="auto"/>
        </w:rPr>
      </w:pPr>
    </w:p>
    <w:p>
      <w:pPr>
        <w:ind w:left="600" w:hanging="225"/>
        <w:spacing w:after="0"/>
        <w:tabs>
          <w:tab w:leader="none" w:pos="6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“Change in Control” has the meaning set forth in </w:t>
      </w:r>
      <w:r>
        <w:rPr>
          <w:rFonts w:ascii="Arial" w:cs="Arial" w:eastAsia="Arial" w:hAnsi="Arial"/>
          <w:sz w:val="16"/>
          <w:szCs w:val="16"/>
          <w:b w:val="1"/>
          <w:bCs w:val="1"/>
          <w:u w:val="single" w:color="auto"/>
          <w:color w:val="auto"/>
        </w:rPr>
        <w:t>Section 12</w:t>
      </w:r>
      <w:r>
        <w:rPr>
          <w:rFonts w:ascii="Arial" w:cs="Arial" w:eastAsia="Arial" w:hAnsi="Arial"/>
          <w:sz w:val="16"/>
          <w:szCs w:val="16"/>
          <w:color w:val="auto"/>
        </w:rPr>
        <w:t xml:space="preserve"> of this Plan.</w:t>
      </w:r>
    </w:p>
    <w:p>
      <w:pPr>
        <w:spacing w:after="0" w:line="206" w:lineRule="exact"/>
        <w:rPr>
          <w:rFonts w:ascii="Arial" w:cs="Arial" w:eastAsia="Arial" w:hAnsi="Arial"/>
          <w:sz w:val="16"/>
          <w:szCs w:val="16"/>
          <w:color w:val="auto"/>
        </w:rPr>
      </w:pPr>
    </w:p>
    <w:p>
      <w:pPr>
        <w:ind w:right="80" w:firstLine="375"/>
        <w:spacing w:after="0" w:line="263" w:lineRule="auto"/>
        <w:tabs>
          <w:tab w:leader="none" w:pos="563" w:val="left"/>
        </w:tabs>
        <w:numPr>
          <w:ilvl w:val="1"/>
          <w:numId w:val="65"/>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and the regulations thereunder, as such law and regulations may be amended from time to time.</w:t>
      </w:r>
    </w:p>
    <w:p>
      <w:pPr>
        <w:spacing w:after="0" w:line="166" w:lineRule="exact"/>
        <w:rPr>
          <w:rFonts w:ascii="Arial" w:cs="Arial" w:eastAsia="Arial" w:hAnsi="Arial"/>
          <w:sz w:val="16"/>
          <w:szCs w:val="16"/>
          <w:color w:val="auto"/>
        </w:rPr>
      </w:pPr>
    </w:p>
    <w:p>
      <w:pPr>
        <w:ind w:right="360" w:firstLine="375"/>
        <w:spacing w:after="0" w:line="273" w:lineRule="auto"/>
        <w:tabs>
          <w:tab w:leader="none" w:pos="606"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“Committee” means the Compensation and Leadership Development Committee of the Board (or its successor(s)), or any other committee of the Board designated by the Board to administer this Plan pursuant to </w:t>
      </w:r>
      <w:r>
        <w:rPr>
          <w:rFonts w:ascii="Arial" w:cs="Arial" w:eastAsia="Arial" w:hAnsi="Arial"/>
          <w:sz w:val="16"/>
          <w:szCs w:val="16"/>
          <w:b w:val="1"/>
          <w:bCs w:val="1"/>
          <w:u w:val="single" w:color="auto"/>
          <w:color w:val="auto"/>
        </w:rPr>
        <w:t>Section 10</w:t>
      </w:r>
      <w:r>
        <w:rPr>
          <w:rFonts w:ascii="Arial" w:cs="Arial" w:eastAsia="Arial" w:hAnsi="Arial"/>
          <w:sz w:val="16"/>
          <w:szCs w:val="16"/>
          <w:color w:val="auto"/>
        </w:rPr>
        <w:t xml:space="preserve"> of this Plan.</w:t>
      </w:r>
    </w:p>
    <w:p>
      <w:pPr>
        <w:spacing w:after="0" w:line="151" w:lineRule="exact"/>
        <w:rPr>
          <w:rFonts w:ascii="Arial" w:cs="Arial" w:eastAsia="Arial" w:hAnsi="Arial"/>
          <w:sz w:val="16"/>
          <w:szCs w:val="16"/>
          <w:color w:val="auto"/>
        </w:rPr>
      </w:pPr>
    </w:p>
    <w:p>
      <w:pPr>
        <w:ind w:right="360" w:firstLine="375"/>
        <w:spacing w:after="0" w:line="347" w:lineRule="auto"/>
        <w:tabs>
          <w:tab w:leader="none" w:pos="606" w:val="left"/>
        </w:tabs>
        <w:numPr>
          <w:ilvl w:val="1"/>
          <w:numId w:val="65"/>
        </w:numPr>
        <w:rPr>
          <w:rFonts w:ascii="Arial" w:cs="Arial" w:eastAsia="Arial" w:hAnsi="Arial"/>
          <w:sz w:val="14"/>
          <w:szCs w:val="14"/>
          <w:color w:val="auto"/>
        </w:rPr>
      </w:pPr>
      <w:r>
        <w:rPr>
          <w:rFonts w:ascii="Arial" w:cs="Arial" w:eastAsia="Arial" w:hAnsi="Arial"/>
          <w:sz w:val="14"/>
          <w:szCs w:val="14"/>
          <w:color w:val="auto"/>
        </w:rPr>
        <w:t xml:space="preserve">“Common Shares” means the shares of Common Stock, par value $0.005 per share, of the Company or any security into which such common stock may be changed by reason of any transaction or event of the type referred to in </w:t>
      </w:r>
      <w:r>
        <w:rPr>
          <w:rFonts w:ascii="Arial" w:cs="Arial" w:eastAsia="Arial" w:hAnsi="Arial"/>
          <w:sz w:val="14"/>
          <w:szCs w:val="14"/>
          <w:b w:val="1"/>
          <w:bCs w:val="1"/>
          <w:u w:val="single" w:color="auto"/>
          <w:color w:val="auto"/>
        </w:rPr>
        <w:t>Section 11</w:t>
      </w:r>
      <w:r>
        <w:rPr>
          <w:rFonts w:ascii="Arial" w:cs="Arial" w:eastAsia="Arial" w:hAnsi="Arial"/>
          <w:sz w:val="14"/>
          <w:szCs w:val="14"/>
          <w:color w:val="auto"/>
        </w:rPr>
        <w:t xml:space="preserve"> of this Plan.</w:t>
      </w:r>
    </w:p>
    <w:p>
      <w:pPr>
        <w:spacing w:after="0" w:line="104" w:lineRule="exact"/>
        <w:rPr>
          <w:rFonts w:ascii="Arial" w:cs="Arial" w:eastAsia="Arial" w:hAnsi="Arial"/>
          <w:sz w:val="14"/>
          <w:szCs w:val="14"/>
          <w:color w:val="auto"/>
        </w:rPr>
      </w:pPr>
    </w:p>
    <w:p>
      <w:pPr>
        <w:ind w:left="560" w:hanging="185"/>
        <w:spacing w:after="0"/>
        <w:tabs>
          <w:tab w:leader="none" w:pos="5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“Company” means ACI Worldwide, Inc., a Delaware corporation, and its successors.</w:t>
      </w:r>
    </w:p>
    <w:p>
      <w:pPr>
        <w:spacing w:after="0" w:line="204" w:lineRule="exact"/>
        <w:rPr>
          <w:rFonts w:ascii="Arial" w:cs="Arial" w:eastAsia="Arial" w:hAnsi="Arial"/>
          <w:sz w:val="16"/>
          <w:szCs w:val="16"/>
          <w:color w:val="auto"/>
        </w:rPr>
      </w:pPr>
    </w:p>
    <w:p>
      <w:pPr>
        <w:ind w:right="20" w:firstLine="375"/>
        <w:spacing w:after="0" w:line="245" w:lineRule="auto"/>
        <w:tabs>
          <w:tab w:leader="none" w:pos="554"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“Date of Grant” means the date provided for by the Committee on which a grant of Option Rights, Appreciation Rights, Performance Shares, Performance Units, Cash Incentive Awards, or other awards contemplated by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or a grant or sale of Restricted Stock, Restricted Stock Units, or other awards contemplated by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will become effective (which date will not be earlier than the date on which the Committee takes action with respect thereto).</w:t>
      </w:r>
    </w:p>
    <w:p>
      <w:pPr>
        <w:spacing w:after="0" w:line="181" w:lineRule="exact"/>
        <w:rPr>
          <w:rFonts w:ascii="Arial" w:cs="Arial" w:eastAsia="Arial" w:hAnsi="Arial"/>
          <w:sz w:val="16"/>
          <w:szCs w:val="16"/>
          <w:color w:val="auto"/>
        </w:rPr>
      </w:pPr>
    </w:p>
    <w:p>
      <w:pPr>
        <w:ind w:left="600" w:hanging="225"/>
        <w:spacing w:after="0"/>
        <w:tabs>
          <w:tab w:leader="none" w:pos="6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“Director” means a member of the Board.</w:t>
      </w:r>
    </w:p>
    <w:p>
      <w:pPr>
        <w:spacing w:after="0" w:line="100" w:lineRule="exact"/>
        <w:rPr>
          <w:rFonts w:ascii="Arial" w:cs="Arial" w:eastAsia="Arial" w:hAnsi="Arial"/>
          <w:sz w:val="16"/>
          <w:szCs w:val="16"/>
          <w:color w:val="auto"/>
        </w:rPr>
      </w:pPr>
    </w:p>
    <w:p>
      <w:pPr>
        <w:ind w:left="560" w:hanging="185"/>
        <w:spacing w:after="0"/>
        <w:tabs>
          <w:tab w:leader="none" w:pos="5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“Effective Date” means June 9, 2020.</w:t>
      </w:r>
    </w:p>
    <w:p>
      <w:pPr>
        <w:spacing w:after="0" w:line="204" w:lineRule="exact"/>
        <w:rPr>
          <w:rFonts w:ascii="Arial" w:cs="Arial" w:eastAsia="Arial" w:hAnsi="Arial"/>
          <w:sz w:val="16"/>
          <w:szCs w:val="16"/>
          <w:color w:val="auto"/>
        </w:rPr>
      </w:pPr>
    </w:p>
    <w:p>
      <w:pPr>
        <w:jc w:val="both"/>
        <w:ind w:right="200" w:firstLine="375"/>
        <w:spacing w:after="0" w:line="245" w:lineRule="auto"/>
        <w:tabs>
          <w:tab w:leader="none" w:pos="649"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“Evidence of Award”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81" w:lineRule="exact"/>
        <w:rPr>
          <w:rFonts w:ascii="Arial" w:cs="Arial" w:eastAsia="Arial" w:hAnsi="Arial"/>
          <w:sz w:val="16"/>
          <w:szCs w:val="16"/>
          <w:color w:val="auto"/>
        </w:rPr>
      </w:pPr>
    </w:p>
    <w:p>
      <w:pPr>
        <w:ind w:right="360" w:firstLine="375"/>
        <w:spacing w:after="0" w:line="263" w:lineRule="auto"/>
        <w:tabs>
          <w:tab w:leader="none" w:pos="606" w:val="left"/>
        </w:tabs>
        <w:numPr>
          <w:ilvl w:val="1"/>
          <w:numId w:val="65"/>
        </w:numPr>
        <w:rPr>
          <w:rFonts w:ascii="Arial" w:cs="Arial" w:eastAsia="Arial" w:hAnsi="Arial"/>
          <w:sz w:val="16"/>
          <w:szCs w:val="16"/>
          <w:color w:val="auto"/>
        </w:rPr>
      </w:pPr>
      <w:r>
        <w:rPr>
          <w:rFonts w:ascii="Arial" w:cs="Arial" w:eastAsia="Arial" w:hAnsi="Arial"/>
          <w:sz w:val="16"/>
          <w:szCs w:val="16"/>
          <w:color w:val="auto"/>
        </w:rPr>
        <w:t>“Exchange Act” means the Securities Exchange Act of 1934, as amended from time to time, and the rules and regulations thereunder, as such law, rules and regulations may be amended from time to time.</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B-1</w:t>
      </w:r>
    </w:p>
    <w:p>
      <w:pPr>
        <w:sectPr>
          <w:pgSz w:w="11900" w:h="16838" w:orient="portrait"/>
          <w:cols w:equalWidth="0" w:num="1">
            <w:col w:w="9320"/>
          </w:cols>
          <w:pgMar w:left="1280" w:top="253" w:right="1299" w:bottom="1440" w:gutter="0" w:footer="0" w:header="0"/>
        </w:sectPr>
      </w:pPr>
    </w:p>
    <w:bookmarkStart w:id="97" w:name="page98"/>
    <w:bookmarkEnd w:id="97"/>
    <w:p>
      <w:pPr>
        <w:ind w:right="120" w:firstLine="375"/>
        <w:spacing w:after="0" w:line="263" w:lineRule="auto"/>
        <w:tabs>
          <w:tab w:leader="none" w:pos="606"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“Incentive Stock Option” means an Option Right that is intended to qualify as an “incentive stock option” under Section 422 of the Code or any successor provision.</w:t>
      </w:r>
    </w:p>
    <w:p>
      <w:pPr>
        <w:spacing w:after="0" w:line="166" w:lineRule="exact"/>
        <w:rPr>
          <w:rFonts w:ascii="Arial" w:cs="Arial" w:eastAsia="Arial" w:hAnsi="Arial"/>
          <w:sz w:val="16"/>
          <w:szCs w:val="16"/>
          <w:color w:val="auto"/>
        </w:rPr>
      </w:pPr>
    </w:p>
    <w:p>
      <w:pPr>
        <w:ind w:firstLine="375"/>
        <w:spacing w:after="0" w:line="281" w:lineRule="auto"/>
        <w:tabs>
          <w:tab w:leader="none" w:pos="606" w:val="left"/>
        </w:tabs>
        <w:numPr>
          <w:ilvl w:val="0"/>
          <w:numId w:val="66"/>
        </w:numPr>
        <w:rPr>
          <w:rFonts w:ascii="Arial" w:cs="Arial" w:eastAsia="Arial" w:hAnsi="Arial"/>
          <w:sz w:val="14"/>
          <w:szCs w:val="14"/>
          <w:color w:val="auto"/>
        </w:rPr>
      </w:pPr>
      <w:r>
        <w:rPr>
          <w:rFonts w:ascii="Arial" w:cs="Arial" w:eastAsia="Arial" w:hAnsi="Arial"/>
          <w:sz w:val="14"/>
          <w:szCs w:val="14"/>
          <w:color w:val="auto"/>
        </w:rPr>
        <w:t>“Management Objectives” means the measurable performance objective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w:t>
      </w:r>
    </w:p>
    <w:p>
      <w:pPr>
        <w:spacing w:after="0" w:line="156" w:lineRule="exact"/>
        <w:rPr>
          <w:rFonts w:ascii="Arial" w:cs="Arial" w:eastAsia="Arial" w:hAnsi="Arial"/>
          <w:sz w:val="14"/>
          <w:szCs w:val="14"/>
          <w:color w:val="auto"/>
        </w:rPr>
      </w:pPr>
    </w:p>
    <w:p>
      <w:pPr>
        <w:ind w:right="20" w:firstLine="375"/>
        <w:spacing w:after="0"/>
        <w:tabs>
          <w:tab w:leader="none" w:pos="606" w:val="left"/>
        </w:tabs>
        <w:numPr>
          <w:ilvl w:val="0"/>
          <w:numId w:val="66"/>
        </w:numPr>
        <w:rPr>
          <w:rFonts w:ascii="Arial" w:cs="Arial" w:eastAsia="Arial" w:hAnsi="Arial"/>
          <w:sz w:val="16"/>
          <w:szCs w:val="16"/>
          <w:color w:val="auto"/>
        </w:rPr>
      </w:pPr>
      <w:r>
        <w:rPr>
          <w:rFonts w:ascii="Arial" w:cs="Arial" w:eastAsia="Arial" w:hAnsi="Arial"/>
          <w:sz w:val="16"/>
          <w:szCs w:val="16"/>
          <w:color w:val="auto"/>
        </w:rPr>
        <w:t>“Market Value per Share” means, as of any particular date, the closing price of a Common Share as reported for that date on the NASDAQ Global Select Market or, if the Common Shares are not then listed on the NASDAQ Global Select Market, on any other national securities exchange on which the Common Shares are listed, or if there are no sales on such date, on the next preceding trading day during which a sale occurred. If there is no regular public trading market for the Common Shares, then the Market Value per Share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 of the Code.</w:t>
      </w:r>
    </w:p>
    <w:p>
      <w:pPr>
        <w:spacing w:after="0" w:line="188" w:lineRule="exact"/>
        <w:rPr>
          <w:rFonts w:ascii="Arial" w:cs="Arial" w:eastAsia="Arial" w:hAnsi="Arial"/>
          <w:sz w:val="16"/>
          <w:szCs w:val="16"/>
          <w:color w:val="auto"/>
        </w:rPr>
      </w:pPr>
    </w:p>
    <w:p>
      <w:pPr>
        <w:ind w:left="580" w:hanging="205"/>
        <w:spacing w:after="0"/>
        <w:tabs>
          <w:tab w:leader="none" w:pos="5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“Optionee” means the optionee named in an Evidence of Award evidencing an outstanding Option Right.</w:t>
      </w:r>
    </w:p>
    <w:p>
      <w:pPr>
        <w:spacing w:after="0" w:line="204" w:lineRule="exact"/>
        <w:rPr>
          <w:rFonts w:ascii="Arial" w:cs="Arial" w:eastAsia="Arial" w:hAnsi="Arial"/>
          <w:sz w:val="16"/>
          <w:szCs w:val="16"/>
          <w:color w:val="auto"/>
        </w:rPr>
      </w:pPr>
    </w:p>
    <w:p>
      <w:pPr>
        <w:ind w:left="600" w:hanging="225"/>
        <w:spacing w:after="0"/>
        <w:tabs>
          <w:tab w:leader="none" w:pos="6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“Option Price” means the purchase price payable on exercise of an Option Right.</w:t>
      </w:r>
    </w:p>
    <w:p>
      <w:pPr>
        <w:spacing w:after="0" w:line="202" w:lineRule="exact"/>
        <w:rPr>
          <w:rFonts w:ascii="Arial" w:cs="Arial" w:eastAsia="Arial" w:hAnsi="Arial"/>
          <w:sz w:val="16"/>
          <w:szCs w:val="16"/>
          <w:color w:val="auto"/>
        </w:rPr>
      </w:pPr>
    </w:p>
    <w:p>
      <w:pPr>
        <w:ind w:left="560" w:hanging="185"/>
        <w:spacing w:after="0"/>
        <w:tabs>
          <w:tab w:leader="none" w:pos="5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 xml:space="preserve">“Option Right” means the right to purchase Common Shares upon exercise of an award granted pursuant to </w:t>
      </w:r>
      <w:r>
        <w:rPr>
          <w:rFonts w:ascii="Arial" w:cs="Arial" w:eastAsia="Arial" w:hAnsi="Arial"/>
          <w:sz w:val="14"/>
          <w:szCs w:val="14"/>
          <w:b w:val="1"/>
          <w:bCs w:val="1"/>
          <w:u w:val="single" w:color="auto"/>
          <w:color w:val="auto"/>
        </w:rPr>
        <w:t>Section 4</w:t>
      </w:r>
      <w:r>
        <w:rPr>
          <w:rFonts w:ascii="Arial" w:cs="Arial" w:eastAsia="Arial" w:hAnsi="Arial"/>
          <w:sz w:val="14"/>
          <w:szCs w:val="14"/>
          <w:color w:val="auto"/>
        </w:rPr>
        <w:t xml:space="preserve"> of this</w:t>
      </w:r>
    </w:p>
    <w:p>
      <w:pPr>
        <w:spacing w:after="0" w:line="3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Plan.</w:t>
      </w:r>
    </w:p>
    <w:p>
      <w:pPr>
        <w:spacing w:after="0" w:line="190" w:lineRule="exact"/>
        <w:rPr>
          <w:rFonts w:ascii="Arial" w:cs="Arial" w:eastAsia="Arial" w:hAnsi="Arial"/>
          <w:sz w:val="14"/>
          <w:szCs w:val="14"/>
          <w:color w:val="auto"/>
        </w:rPr>
      </w:pPr>
    </w:p>
    <w:p>
      <w:pPr>
        <w:ind w:right="100" w:firstLine="375"/>
        <w:spacing w:after="0" w:line="243" w:lineRule="auto"/>
        <w:tabs>
          <w:tab w:leader="none" w:pos="606" w:val="left"/>
        </w:tabs>
        <w:numPr>
          <w:ilvl w:val="0"/>
          <w:numId w:val="66"/>
        </w:numPr>
        <w:rPr>
          <w:rFonts w:ascii="Arial" w:cs="Arial" w:eastAsia="Arial" w:hAnsi="Arial"/>
          <w:sz w:val="16"/>
          <w:szCs w:val="16"/>
          <w:color w:val="auto"/>
        </w:rPr>
      </w:pPr>
      <w:r>
        <w:rPr>
          <w:rFonts w:ascii="Arial" w:cs="Arial" w:eastAsia="Arial" w:hAnsi="Arial"/>
          <w:sz w:val="16"/>
          <w:szCs w:val="16"/>
          <w:color w:val="auto"/>
        </w:rPr>
        <w:t>“Participant” means a person who is selected by the Committee to receive benefits under this Plan and who is at the time (i) a non-employee Director, (ii) an officer or other employee of the Company or any Subsidiary, including a person who has agreed to commence serving in such capacity within 90 days of the Date of Grant, or (iii) a person, including a consultant, who provides services to the Company or any Subsidiary that are equivalent to those typically provided by an employee (provided that such person satisfies the Form S-8 definition of an “employee”).</w:t>
      </w:r>
    </w:p>
    <w:p>
      <w:pPr>
        <w:spacing w:after="0" w:line="182" w:lineRule="exact"/>
        <w:rPr>
          <w:rFonts w:ascii="Arial" w:cs="Arial" w:eastAsia="Arial" w:hAnsi="Arial"/>
          <w:sz w:val="16"/>
          <w:szCs w:val="16"/>
          <w:color w:val="auto"/>
        </w:rPr>
      </w:pPr>
    </w:p>
    <w:p>
      <w:pPr>
        <w:ind w:right="80" w:firstLine="375"/>
        <w:spacing w:after="0" w:line="249" w:lineRule="auto"/>
        <w:tabs>
          <w:tab w:leader="none" w:pos="597"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“Performance Period” means, in respect of a Cash Incentive Award, Performance Share or Performance Unit, a period of time established pursuant to </w:t>
      </w:r>
      <w:r>
        <w:rPr>
          <w:rFonts w:ascii="Arial" w:cs="Arial" w:eastAsia="Arial" w:hAnsi="Arial"/>
          <w:sz w:val="16"/>
          <w:szCs w:val="16"/>
          <w:b w:val="1"/>
          <w:bCs w:val="1"/>
          <w:u w:val="single" w:color="auto"/>
          <w:color w:val="auto"/>
        </w:rPr>
        <w:t>Section 8</w:t>
      </w:r>
      <w:r>
        <w:rPr>
          <w:rFonts w:ascii="Arial" w:cs="Arial" w:eastAsia="Arial" w:hAnsi="Arial"/>
          <w:sz w:val="16"/>
          <w:szCs w:val="16"/>
          <w:color w:val="auto"/>
        </w:rPr>
        <w:t xml:space="preserve"> of this Plan within which the Management Objectives relating to such Cash Incentive Award, Performance Share or Performance Unit are to be achieved.</w:t>
      </w:r>
    </w:p>
    <w:p>
      <w:pPr>
        <w:spacing w:after="0" w:line="178" w:lineRule="exact"/>
        <w:rPr>
          <w:rFonts w:ascii="Arial" w:cs="Arial" w:eastAsia="Arial" w:hAnsi="Arial"/>
          <w:sz w:val="16"/>
          <w:szCs w:val="16"/>
          <w:color w:val="auto"/>
        </w:rPr>
      </w:pPr>
    </w:p>
    <w:p>
      <w:pPr>
        <w:ind w:right="340" w:firstLine="375"/>
        <w:spacing w:after="0" w:line="273"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“Performance Share” means a bookkeeping entry that records the equivalent of one Common Share awarded pursuant to </w:t>
      </w:r>
      <w:r>
        <w:rPr>
          <w:rFonts w:ascii="Arial" w:cs="Arial" w:eastAsia="Arial" w:hAnsi="Arial"/>
          <w:sz w:val="16"/>
          <w:szCs w:val="16"/>
          <w:b w:val="1"/>
          <w:bCs w:val="1"/>
          <w:u w:val="single" w:color="auto"/>
          <w:color w:val="auto"/>
        </w:rPr>
        <w:t>Section 8</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w:t>
      </w:r>
    </w:p>
    <w:p>
      <w:pPr>
        <w:spacing w:after="0" w:line="149" w:lineRule="exact"/>
        <w:rPr>
          <w:rFonts w:ascii="Arial" w:cs="Arial" w:eastAsia="Arial" w:hAnsi="Arial"/>
          <w:sz w:val="16"/>
          <w:szCs w:val="16"/>
          <w:color w:val="auto"/>
        </w:rPr>
      </w:pPr>
    </w:p>
    <w:p>
      <w:pPr>
        <w:ind w:left="600" w:hanging="225"/>
        <w:spacing w:after="0"/>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 xml:space="preserve">“Performance Unit” means a bookkeeping entry awarded pursuant to </w:t>
      </w:r>
      <w:r>
        <w:rPr>
          <w:rFonts w:ascii="Arial" w:cs="Arial" w:eastAsia="Arial" w:hAnsi="Arial"/>
          <w:sz w:val="14"/>
          <w:szCs w:val="14"/>
          <w:b w:val="1"/>
          <w:bCs w:val="1"/>
          <w:u w:val="single" w:color="auto"/>
          <w:color w:val="auto"/>
        </w:rPr>
        <w:t>Section 8</w:t>
      </w:r>
      <w:r>
        <w:rPr>
          <w:rFonts w:ascii="Arial" w:cs="Arial" w:eastAsia="Arial" w:hAnsi="Arial"/>
          <w:sz w:val="14"/>
          <w:szCs w:val="14"/>
          <w:color w:val="auto"/>
        </w:rPr>
        <w:t xml:space="preserve"> of this Plan that records a unit equivalent to</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$1.00 or such other value as is determined by the Committee.</w:t>
      </w:r>
    </w:p>
    <w:p>
      <w:pPr>
        <w:spacing w:after="0" w:line="191" w:lineRule="exact"/>
        <w:rPr>
          <w:sz w:val="20"/>
          <w:szCs w:val="20"/>
          <w:color w:val="auto"/>
        </w:rPr>
      </w:pPr>
    </w:p>
    <w:p>
      <w:pPr>
        <w:ind w:right="200" w:firstLine="375"/>
        <w:spacing w:after="0" w:line="263" w:lineRule="auto"/>
        <w:tabs>
          <w:tab w:leader="none" w:pos="597" w:val="left"/>
        </w:tabs>
        <w:numPr>
          <w:ilvl w:val="0"/>
          <w:numId w:val="67"/>
        </w:numPr>
        <w:rPr>
          <w:rFonts w:ascii="Arial" w:cs="Arial" w:eastAsia="Arial" w:hAnsi="Arial"/>
          <w:sz w:val="16"/>
          <w:szCs w:val="16"/>
          <w:color w:val="auto"/>
        </w:rPr>
      </w:pPr>
      <w:r>
        <w:rPr>
          <w:rFonts w:ascii="Arial" w:cs="Arial" w:eastAsia="Arial" w:hAnsi="Arial"/>
          <w:sz w:val="16"/>
          <w:szCs w:val="16"/>
          <w:color w:val="auto"/>
        </w:rPr>
        <w:t>“Plan” means this ACI Worldwide, Inc. 2020 Equity and Incentive Compensation Plan, as may be amended or amended and restated from time to time. This Plan was last amended and restated effective June 1, 2023.</w:t>
      </w:r>
    </w:p>
    <w:p>
      <w:pPr>
        <w:spacing w:after="0" w:line="166" w:lineRule="exact"/>
        <w:rPr>
          <w:rFonts w:ascii="Arial" w:cs="Arial" w:eastAsia="Arial" w:hAnsi="Arial"/>
          <w:sz w:val="16"/>
          <w:szCs w:val="16"/>
          <w:color w:val="auto"/>
        </w:rPr>
      </w:pPr>
    </w:p>
    <w:p>
      <w:pPr>
        <w:ind w:right="60" w:firstLine="375"/>
        <w:spacing w:after="0" w:line="263" w:lineRule="auto"/>
        <w:tabs>
          <w:tab w:leader="none" w:pos="597"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“Predecessor Plans” means the ACI Worldwide, Inc. 2005 Equity and Performance Incentive Plan and the ACI Worldwide, Inc. 2016 Equity and Performance Incentive Plan, in each case including as amended or amended and restated.</w:t>
      </w:r>
    </w:p>
    <w:p>
      <w:pPr>
        <w:spacing w:after="0" w:line="165" w:lineRule="exact"/>
        <w:rPr>
          <w:sz w:val="20"/>
          <w:szCs w:val="20"/>
          <w:color w:val="auto"/>
        </w:rPr>
      </w:pPr>
    </w:p>
    <w:p>
      <w:pPr>
        <w:ind w:right="620" w:firstLine="375"/>
        <w:spacing w:after="0" w:line="266" w:lineRule="auto"/>
        <w:tabs>
          <w:tab w:leader="none" w:pos="692"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“Restricted Stock” means Common Shares granted or sold pursuant to </w:t>
      </w:r>
      <w:r>
        <w:rPr>
          <w:rFonts w:ascii="Arial" w:cs="Arial" w:eastAsia="Arial" w:hAnsi="Arial"/>
          <w:sz w:val="16"/>
          <w:szCs w:val="16"/>
          <w:b w:val="1"/>
          <w:bCs w:val="1"/>
          <w:u w:val="single" w:color="auto"/>
          <w:color w:val="auto"/>
        </w:rPr>
        <w:t>Section 6</w:t>
      </w:r>
      <w:r>
        <w:rPr>
          <w:rFonts w:ascii="Arial" w:cs="Arial" w:eastAsia="Arial" w:hAnsi="Arial"/>
          <w:sz w:val="16"/>
          <w:szCs w:val="16"/>
          <w:color w:val="auto"/>
        </w:rPr>
        <w:t xml:space="preserve"> of this Plan as to which neither the substantial risk of forfeiture nor the prohibition on transfers has expired.</w:t>
      </w:r>
    </w:p>
    <w:p>
      <w:pPr>
        <w:spacing w:after="0" w:line="161" w:lineRule="exact"/>
        <w:rPr>
          <w:rFonts w:ascii="Arial" w:cs="Arial" w:eastAsia="Arial" w:hAnsi="Arial"/>
          <w:sz w:val="16"/>
          <w:szCs w:val="16"/>
          <w:color w:val="auto"/>
        </w:rPr>
      </w:pPr>
    </w:p>
    <w:p>
      <w:pPr>
        <w:ind w:right="260" w:firstLine="375"/>
        <w:spacing w:after="0" w:line="266" w:lineRule="auto"/>
        <w:tabs>
          <w:tab w:leader="none" w:pos="692"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“Restricted Stock Units” means an award made pursuant to </w:t>
      </w:r>
      <w:r>
        <w:rPr>
          <w:rFonts w:ascii="Arial" w:cs="Arial" w:eastAsia="Arial" w:hAnsi="Arial"/>
          <w:sz w:val="16"/>
          <w:szCs w:val="16"/>
          <w:b w:val="1"/>
          <w:bCs w:val="1"/>
          <w:u w:val="single" w:color="auto"/>
          <w:color w:val="auto"/>
        </w:rPr>
        <w:t>Section 7</w:t>
      </w:r>
      <w:r>
        <w:rPr>
          <w:rFonts w:ascii="Arial" w:cs="Arial" w:eastAsia="Arial" w:hAnsi="Arial"/>
          <w:sz w:val="16"/>
          <w:szCs w:val="16"/>
          <w:color w:val="auto"/>
        </w:rPr>
        <w:t xml:space="preserve"> of this Plan of the right to receive Common Shares, cash or a combination thereof at the end of a specified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70485</wp:posOffset>
            </wp:positionV>
            <wp:extent cx="699135" cy="1314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B-2</w:t>
      </w:r>
    </w:p>
    <w:p>
      <w:pPr>
        <w:sectPr>
          <w:pgSz w:w="11900" w:h="16838" w:orient="portrait"/>
          <w:cols w:equalWidth="0" w:num="1">
            <w:col w:w="9320"/>
          </w:cols>
          <w:pgMar w:left="1280" w:top="296" w:right="1299" w:bottom="1440" w:gutter="0" w:footer="0" w:header="0"/>
        </w:sectPr>
      </w:pPr>
    </w:p>
    <w:bookmarkStart w:id="98" w:name="page99"/>
    <w:bookmarkEnd w:id="98"/>
    <w:p>
      <w:pPr>
        <w:ind w:right="240" w:firstLine="375"/>
        <w:spacing w:after="0" w:line="273" w:lineRule="auto"/>
        <w:tabs>
          <w:tab w:leader="none" w:pos="675" w:val="left"/>
        </w:tabs>
        <w:numPr>
          <w:ilvl w:val="2"/>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 xml:space="preserve">“Restriction Period” means the period of time during which Restricted Stock Units are subject to restrictions, as provided in </w:t>
      </w:r>
      <w:r>
        <w:rPr>
          <w:rFonts w:ascii="Arial" w:cs="Arial" w:eastAsia="Arial" w:hAnsi="Arial"/>
          <w:sz w:val="16"/>
          <w:szCs w:val="16"/>
          <w:b w:val="1"/>
          <w:bCs w:val="1"/>
          <w:u w:val="single" w:color="auto"/>
          <w:color w:val="auto"/>
        </w:rPr>
        <w:t>Section 7</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w:t>
      </w:r>
    </w:p>
    <w:p>
      <w:pPr>
        <w:spacing w:after="0" w:line="151" w:lineRule="exact"/>
        <w:rPr>
          <w:rFonts w:ascii="Arial" w:cs="Arial" w:eastAsia="Arial" w:hAnsi="Arial"/>
          <w:sz w:val="16"/>
          <w:szCs w:val="16"/>
          <w:color w:val="auto"/>
        </w:rPr>
      </w:pPr>
    </w:p>
    <w:p>
      <w:pPr>
        <w:ind w:right="380" w:firstLine="375"/>
        <w:spacing w:after="0" w:line="263" w:lineRule="auto"/>
        <w:tabs>
          <w:tab w:leader="none" w:pos="692" w:val="left"/>
        </w:tabs>
        <w:numPr>
          <w:ilvl w:val="2"/>
          <w:numId w:val="69"/>
        </w:numPr>
        <w:rPr>
          <w:rFonts w:ascii="Arial" w:cs="Arial" w:eastAsia="Arial" w:hAnsi="Arial"/>
          <w:sz w:val="16"/>
          <w:szCs w:val="16"/>
          <w:color w:val="auto"/>
        </w:rPr>
      </w:pPr>
      <w:r>
        <w:rPr>
          <w:rFonts w:ascii="Arial" w:cs="Arial" w:eastAsia="Arial" w:hAnsi="Arial"/>
          <w:sz w:val="16"/>
          <w:szCs w:val="16"/>
          <w:color w:val="auto"/>
        </w:rPr>
        <w:t>“Spread” means the excess of the Market Value per Share on the date when an Appreciation Right is exercised over the Base Price provided for with respect to the Appreciation Right.</w:t>
      </w:r>
    </w:p>
    <w:p>
      <w:pPr>
        <w:spacing w:after="0" w:line="166" w:lineRule="exact"/>
        <w:rPr>
          <w:rFonts w:ascii="Arial" w:cs="Arial" w:eastAsia="Arial" w:hAnsi="Arial"/>
          <w:sz w:val="16"/>
          <w:szCs w:val="16"/>
          <w:color w:val="auto"/>
        </w:rPr>
      </w:pPr>
    </w:p>
    <w:p>
      <w:pPr>
        <w:ind w:left="700" w:hanging="325"/>
        <w:spacing w:after="0"/>
        <w:tabs>
          <w:tab w:leader="none" w:pos="700" w:val="left"/>
        </w:tabs>
        <w:numPr>
          <w:ilvl w:val="2"/>
          <w:numId w:val="69"/>
        </w:numPr>
        <w:rPr>
          <w:rFonts w:ascii="Arial" w:cs="Arial" w:eastAsia="Arial" w:hAnsi="Arial"/>
          <w:sz w:val="16"/>
          <w:szCs w:val="16"/>
          <w:color w:val="auto"/>
        </w:rPr>
      </w:pPr>
      <w:r>
        <w:rPr>
          <w:rFonts w:ascii="Arial" w:cs="Arial" w:eastAsia="Arial" w:hAnsi="Arial"/>
          <w:sz w:val="16"/>
          <w:szCs w:val="16"/>
          <w:color w:val="auto"/>
        </w:rPr>
        <w:t>“Stockholder” means an individual or entity that owns one or more Common Shares.</w:t>
      </w:r>
    </w:p>
    <w:p>
      <w:pPr>
        <w:spacing w:after="0" w:line="204" w:lineRule="exact"/>
        <w:rPr>
          <w:rFonts w:ascii="Arial" w:cs="Arial" w:eastAsia="Arial" w:hAnsi="Arial"/>
          <w:sz w:val="16"/>
          <w:szCs w:val="16"/>
          <w:color w:val="auto"/>
        </w:rPr>
      </w:pPr>
    </w:p>
    <w:p>
      <w:pPr>
        <w:ind w:right="140" w:firstLine="375"/>
        <w:spacing w:after="0"/>
        <w:tabs>
          <w:tab w:leader="none" w:pos="603" w:val="left"/>
        </w:tabs>
        <w:numPr>
          <w:ilvl w:val="2"/>
          <w:numId w:val="69"/>
        </w:numPr>
        <w:rPr>
          <w:rFonts w:ascii="Arial" w:cs="Arial" w:eastAsia="Arial" w:hAnsi="Arial"/>
          <w:sz w:val="16"/>
          <w:szCs w:val="16"/>
          <w:color w:val="auto"/>
        </w:rPr>
      </w:pPr>
      <w:r>
        <w:rPr>
          <w:rFonts w:ascii="Arial" w:cs="Arial" w:eastAsia="Arial" w:hAnsi="Arial"/>
          <w:sz w:val="16"/>
          <w:szCs w:val="16"/>
          <w:color w:val="auto"/>
        </w:rPr>
        <w:t xml:space="preserve">“Subsidiary”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spacing w:after="0" w:line="185" w:lineRule="exact"/>
        <w:rPr>
          <w:rFonts w:ascii="Arial" w:cs="Arial" w:eastAsia="Arial" w:hAnsi="Arial"/>
          <w:sz w:val="16"/>
          <w:szCs w:val="16"/>
          <w:color w:val="auto"/>
        </w:rPr>
      </w:pPr>
    </w:p>
    <w:p>
      <w:pPr>
        <w:ind w:right="80" w:firstLine="375"/>
        <w:spacing w:after="0" w:line="335" w:lineRule="auto"/>
        <w:tabs>
          <w:tab w:leader="none" w:pos="692" w:val="left"/>
        </w:tabs>
        <w:numPr>
          <w:ilvl w:val="2"/>
          <w:numId w:val="69"/>
        </w:numPr>
        <w:rPr>
          <w:rFonts w:ascii="Arial" w:cs="Arial" w:eastAsia="Arial" w:hAnsi="Arial"/>
          <w:sz w:val="14"/>
          <w:szCs w:val="14"/>
          <w:color w:val="auto"/>
        </w:rPr>
      </w:pPr>
      <w:r>
        <w:rPr>
          <w:rFonts w:ascii="Arial" w:cs="Arial" w:eastAsia="Arial" w:hAnsi="Arial"/>
          <w:sz w:val="14"/>
          <w:szCs w:val="14"/>
          <w:color w:val="auto"/>
        </w:rPr>
        <w:t>“Voting Power”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118" w:lineRule="exact"/>
        <w:rPr>
          <w:rFonts w:ascii="Arial" w:cs="Arial" w:eastAsia="Arial" w:hAnsi="Arial"/>
          <w:sz w:val="14"/>
          <w:szCs w:val="14"/>
          <w:color w:val="auto"/>
        </w:rPr>
      </w:pPr>
    </w:p>
    <w:p>
      <w:pPr>
        <w:ind w:left="180" w:hanging="178"/>
        <w:spacing w:after="0"/>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Shares Available Under this Plan.</w:t>
      </w:r>
    </w:p>
    <w:p>
      <w:pPr>
        <w:spacing w:after="0" w:line="206" w:lineRule="exact"/>
        <w:rPr>
          <w:rFonts w:ascii="Arial" w:cs="Arial" w:eastAsia="Arial" w:hAnsi="Arial"/>
          <w:sz w:val="16"/>
          <w:szCs w:val="16"/>
          <w:color w:val="auto"/>
        </w:rPr>
      </w:pPr>
    </w:p>
    <w:p>
      <w:pPr>
        <w:ind w:left="600" w:hanging="225"/>
        <w:spacing w:after="0"/>
        <w:tabs>
          <w:tab w:leader="none" w:pos="600" w:val="left"/>
        </w:tabs>
        <w:numPr>
          <w:ilvl w:val="2"/>
          <w:numId w:val="70"/>
        </w:numPr>
        <w:rPr>
          <w:rFonts w:ascii="Arial" w:cs="Arial" w:eastAsia="Arial" w:hAnsi="Arial"/>
          <w:sz w:val="16"/>
          <w:szCs w:val="16"/>
          <w:color w:val="auto"/>
        </w:rPr>
      </w:pPr>
      <w:r>
        <w:rPr>
          <w:rFonts w:ascii="Arial" w:cs="Arial" w:eastAsia="Arial" w:hAnsi="Arial"/>
          <w:sz w:val="16"/>
          <w:szCs w:val="16"/>
          <w:u w:val="single" w:color="auto"/>
          <w:color w:val="auto"/>
        </w:rPr>
        <w:t>Maximum Shares Available Under this Plan</w:t>
      </w:r>
      <w:r>
        <w:rPr>
          <w:rFonts w:ascii="Arial" w:cs="Arial" w:eastAsia="Arial" w:hAnsi="Arial"/>
          <w:sz w:val="16"/>
          <w:szCs w:val="16"/>
          <w:color w:val="auto"/>
        </w:rPr>
        <w:t>.</w:t>
      </w:r>
    </w:p>
    <w:p>
      <w:pPr>
        <w:spacing w:after="0" w:line="111" w:lineRule="exact"/>
        <w:rPr>
          <w:rFonts w:ascii="Arial" w:cs="Arial" w:eastAsia="Arial" w:hAnsi="Arial"/>
          <w:sz w:val="16"/>
          <w:szCs w:val="16"/>
          <w:color w:val="auto"/>
        </w:rPr>
      </w:pPr>
    </w:p>
    <w:p>
      <w:pPr>
        <w:ind w:left="720" w:right="300" w:hanging="355"/>
        <w:spacing w:after="0" w:line="282" w:lineRule="auto"/>
        <w:tabs>
          <w:tab w:leader="none" w:pos="720" w:val="left"/>
        </w:tabs>
        <w:numPr>
          <w:ilvl w:val="1"/>
          <w:numId w:val="70"/>
        </w:numPr>
        <w:rPr>
          <w:rFonts w:ascii="Arial" w:cs="Arial" w:eastAsia="Arial" w:hAnsi="Arial"/>
          <w:sz w:val="14"/>
          <w:szCs w:val="14"/>
          <w:color w:val="auto"/>
        </w:rPr>
      </w:pPr>
      <w:r>
        <w:rPr>
          <w:rFonts w:ascii="Arial" w:cs="Arial" w:eastAsia="Arial" w:hAnsi="Arial"/>
          <w:sz w:val="14"/>
          <w:szCs w:val="14"/>
          <w:color w:val="auto"/>
        </w:rPr>
        <w:t xml:space="preserve">Subject to adjustment as provided in </w:t>
      </w:r>
      <w:r>
        <w:rPr>
          <w:rFonts w:ascii="Arial" w:cs="Arial" w:eastAsia="Arial" w:hAnsi="Arial"/>
          <w:sz w:val="14"/>
          <w:szCs w:val="14"/>
          <w:b w:val="1"/>
          <w:bCs w:val="1"/>
          <w:u w:val="single" w:color="auto"/>
          <w:color w:val="auto"/>
        </w:rPr>
        <w:t>Section 11</w:t>
      </w:r>
      <w:r>
        <w:rPr>
          <w:rFonts w:ascii="Arial" w:cs="Arial" w:eastAsia="Arial" w:hAnsi="Arial"/>
          <w:sz w:val="14"/>
          <w:szCs w:val="14"/>
          <w:color w:val="auto"/>
        </w:rPr>
        <w:t xml:space="preserve"> of this Plan and the share counting rules set forth in </w:t>
      </w:r>
      <w:r>
        <w:rPr>
          <w:rFonts w:ascii="Arial" w:cs="Arial" w:eastAsia="Arial" w:hAnsi="Arial"/>
          <w:sz w:val="14"/>
          <w:szCs w:val="14"/>
          <w:b w:val="1"/>
          <w:bCs w:val="1"/>
          <w:u w:val="single" w:color="auto"/>
          <w:color w:val="auto"/>
        </w:rPr>
        <w:t>Section 3(b)</w:t>
      </w:r>
      <w:r>
        <w:rPr>
          <w:rFonts w:ascii="Arial" w:cs="Arial" w:eastAsia="Arial" w:hAnsi="Arial"/>
          <w:sz w:val="14"/>
          <w:szCs w:val="14"/>
          <w:color w:val="auto"/>
        </w:rPr>
        <w:t xml:space="preserve"> of this Plan, the number of Common Shares available under this Plan for awards of (A) Option Rights or Appreciation Rights,</w:t>
      </w:r>
    </w:p>
    <w:p>
      <w:pPr>
        <w:ind w:left="720" w:right="40"/>
        <w:spacing w:after="0" w:line="238" w:lineRule="auto"/>
        <w:rPr>
          <w:rFonts w:ascii="Arial" w:cs="Arial" w:eastAsia="Arial" w:hAnsi="Arial"/>
          <w:sz w:val="14"/>
          <w:szCs w:val="14"/>
          <w:color w:val="auto"/>
        </w:rPr>
      </w:pPr>
      <w:r>
        <w:rPr>
          <w:rFonts w:ascii="Arial" w:cs="Arial" w:eastAsia="Arial" w:hAnsi="Arial"/>
          <w:sz w:val="16"/>
          <w:szCs w:val="16"/>
          <w:color w:val="auto"/>
        </w:rPr>
        <w:t xml:space="preserve">(B) Restricted Stock, (C) Restricted Stock Units, (D) Performance Shares or Performance Units, (E) awards contemplated by </w:t>
      </w:r>
      <w:r>
        <w:rPr>
          <w:rFonts w:ascii="Arial" w:cs="Arial" w:eastAsia="Arial" w:hAnsi="Arial"/>
          <w:sz w:val="16"/>
          <w:szCs w:val="16"/>
          <w:b w:val="1"/>
          <w:bCs w:val="1"/>
          <w:u w:val="single" w:color="auto"/>
          <w:color w:val="auto"/>
        </w:rPr>
        <w:t>Section 9</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 or (F) dividend equivalents paid with respect to awards made under this Plan will not exceed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(x) 11,618,754 Common Shares (consisting of 6,658,754 Common Shares that were approved by Stockholders in 2020 and 4,960,000 Common Shares to be approved by Stockholders in 2023) minus (y) as of the Effective Date, one Common Share for every one Common Share subject to an award granted under the Predecessor Plans between April 16, 2020 and the Effective Date. Such shares may be shares of original issuance or treasury shares or a combination of the foregoing.</w:t>
      </w:r>
    </w:p>
    <w:p>
      <w:pPr>
        <w:spacing w:after="0" w:line="92" w:lineRule="exact"/>
        <w:rPr>
          <w:rFonts w:ascii="Arial" w:cs="Arial" w:eastAsia="Arial" w:hAnsi="Arial"/>
          <w:sz w:val="14"/>
          <w:szCs w:val="14"/>
          <w:color w:val="auto"/>
        </w:rPr>
      </w:pPr>
    </w:p>
    <w:p>
      <w:pPr>
        <w:ind w:left="720" w:right="40" w:hanging="355"/>
        <w:spacing w:after="0" w:line="251" w:lineRule="auto"/>
        <w:tabs>
          <w:tab w:leader="none" w:pos="7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Subject to the share counting rules set forth in </w:t>
      </w:r>
      <w:r>
        <w:rPr>
          <w:rFonts w:ascii="Arial" w:cs="Arial" w:eastAsia="Arial" w:hAnsi="Arial"/>
          <w:sz w:val="16"/>
          <w:szCs w:val="16"/>
          <w:b w:val="1"/>
          <w:bCs w:val="1"/>
          <w:u w:val="single" w:color="auto"/>
          <w:color w:val="auto"/>
        </w:rPr>
        <w:t>Section 3(b)</w:t>
      </w:r>
      <w:r>
        <w:rPr>
          <w:rFonts w:ascii="Arial" w:cs="Arial" w:eastAsia="Arial" w:hAnsi="Arial"/>
          <w:sz w:val="16"/>
          <w:szCs w:val="16"/>
          <w:color w:val="auto"/>
        </w:rPr>
        <w:t xml:space="preserve"> of this Plan, the aggregate number of Common Shares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will be reduced by one Common Share for every one Common Share subject to an award granted under this Plan.</w:t>
      </w:r>
    </w:p>
    <w:p>
      <w:pPr>
        <w:spacing w:after="0" w:line="175" w:lineRule="exact"/>
        <w:rPr>
          <w:rFonts w:ascii="Arial" w:cs="Arial" w:eastAsia="Arial" w:hAnsi="Arial"/>
          <w:sz w:val="16"/>
          <w:szCs w:val="16"/>
          <w:color w:val="auto"/>
        </w:rPr>
      </w:pPr>
    </w:p>
    <w:p>
      <w:pPr>
        <w:ind w:left="600" w:hanging="225"/>
        <w:spacing w:after="0"/>
        <w:tabs>
          <w:tab w:leader="none" w:pos="600" w:val="left"/>
        </w:tabs>
        <w:numPr>
          <w:ilvl w:val="2"/>
          <w:numId w:val="71"/>
        </w:numPr>
        <w:rPr>
          <w:rFonts w:ascii="Arial" w:cs="Arial" w:eastAsia="Arial" w:hAnsi="Arial"/>
          <w:sz w:val="16"/>
          <w:szCs w:val="16"/>
          <w:color w:val="auto"/>
        </w:rPr>
      </w:pPr>
      <w:r>
        <w:rPr>
          <w:rFonts w:ascii="Arial" w:cs="Arial" w:eastAsia="Arial" w:hAnsi="Arial"/>
          <w:sz w:val="16"/>
          <w:szCs w:val="16"/>
          <w:u w:val="single" w:color="auto"/>
          <w:color w:val="auto"/>
        </w:rPr>
        <w:t>Share Counting Rules</w:t>
      </w:r>
      <w:r>
        <w:rPr>
          <w:rFonts w:ascii="Arial" w:cs="Arial" w:eastAsia="Arial" w:hAnsi="Arial"/>
          <w:sz w:val="16"/>
          <w:szCs w:val="16"/>
          <w:color w:val="auto"/>
        </w:rPr>
        <w:t>.</w:t>
      </w:r>
    </w:p>
    <w:p>
      <w:pPr>
        <w:spacing w:after="0" w:line="112" w:lineRule="exact"/>
        <w:rPr>
          <w:sz w:val="20"/>
          <w:szCs w:val="20"/>
          <w:color w:val="auto"/>
        </w:rPr>
      </w:pPr>
    </w:p>
    <w:p>
      <w:pPr>
        <w:ind w:left="720" w:right="260" w:hanging="355"/>
        <w:spacing w:after="0" w:line="310" w:lineRule="auto"/>
        <w:tabs>
          <w:tab w:leader="none" w:pos="7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Except as provided in </w:t>
      </w:r>
      <w:r>
        <w:rPr>
          <w:rFonts w:ascii="Arial" w:cs="Arial" w:eastAsia="Arial" w:hAnsi="Arial"/>
          <w:sz w:val="14"/>
          <w:szCs w:val="14"/>
          <w:b w:val="1"/>
          <w:bCs w:val="1"/>
          <w:u w:val="single" w:color="auto"/>
          <w:color w:val="auto"/>
        </w:rPr>
        <w:t>Section 22</w:t>
      </w:r>
      <w:r>
        <w:rPr>
          <w:rFonts w:ascii="Arial" w:cs="Arial" w:eastAsia="Arial" w:hAnsi="Arial"/>
          <w:sz w:val="14"/>
          <w:szCs w:val="14"/>
          <w:color w:val="auto"/>
        </w:rPr>
        <w:t xml:space="preserve"> of this Plan, if any award granted under this Plan (in whole or in part) is cancelled or forfeited, expires, is settled for cash, or is unearned, the Common Shares subject to such award will, to the extent of such cancellation, forfeiture, expiration, cash settlement, or unearned amount, again be available under </w:t>
      </w:r>
      <w:r>
        <w:rPr>
          <w:rFonts w:ascii="Arial" w:cs="Arial" w:eastAsia="Arial" w:hAnsi="Arial"/>
          <w:sz w:val="14"/>
          <w:szCs w:val="14"/>
          <w:b w:val="1"/>
          <w:bCs w:val="1"/>
          <w:u w:val="single" w:color="auto"/>
          <w:color w:val="auto"/>
        </w:rPr>
        <w:t>Section 3(a)(i)</w:t>
      </w:r>
      <w:r>
        <w:rPr>
          <w:rFonts w:ascii="Arial" w:cs="Arial" w:eastAsia="Arial" w:hAnsi="Arial"/>
          <w:sz w:val="14"/>
          <w:szCs w:val="14"/>
          <w:color w:val="auto"/>
        </w:rPr>
        <w:t xml:space="preserve"> above.</w:t>
      </w:r>
    </w:p>
    <w:p>
      <w:pPr>
        <w:spacing w:after="0" w:line="38" w:lineRule="exact"/>
        <w:rPr>
          <w:rFonts w:ascii="Arial" w:cs="Arial" w:eastAsia="Arial" w:hAnsi="Arial"/>
          <w:sz w:val="14"/>
          <w:szCs w:val="14"/>
          <w:color w:val="auto"/>
        </w:rPr>
      </w:pPr>
    </w:p>
    <w:p>
      <w:pPr>
        <w:ind w:left="720" w:right="400" w:hanging="355"/>
        <w:spacing w:after="0" w:line="245" w:lineRule="auto"/>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after April 16, 2020, any Common Shares subject to an award granted under a Predecessor Plan are forfeited, or an award granted under a Predecessor Plan (in whole or in part) is cancelled or forfeited, expires, is settled for cash, or is unearned, the Common Shares subject to such award will, to the extent of such cancellation, forfeiture, expiration, cash settlement, or unearned amount, be available for awards under this Plan.</w:t>
      </w:r>
    </w:p>
    <w:p>
      <w:pPr>
        <w:spacing w:after="0" w:line="90" w:lineRule="exact"/>
        <w:rPr>
          <w:rFonts w:ascii="Arial" w:cs="Arial" w:eastAsia="Arial" w:hAnsi="Arial"/>
          <w:sz w:val="16"/>
          <w:szCs w:val="16"/>
          <w:color w:val="auto"/>
        </w:rPr>
      </w:pPr>
    </w:p>
    <w:p>
      <w:pPr>
        <w:ind w:left="720" w:right="100" w:hanging="355"/>
        <w:spacing w:after="0" w:line="243" w:lineRule="auto"/>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Plan: (A) Common Shares withheld by the Company, tendered or otherwise used in payment of the Option Price of an Option Right (or the option price of an option granted under a Predecessor Plan) shall not be added (or added back, as applicable) to the aggregate number of Common Shares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(B) Common Shares withheld by the Company, tendered or otherwise used to satisfy tax withholding with respect to awards (other than as described in clause (C)) shall not be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B-3</w:t>
      </w:r>
    </w:p>
    <w:p>
      <w:pPr>
        <w:sectPr>
          <w:pgSz w:w="11900" w:h="16838" w:orient="portrait"/>
          <w:cols w:equalWidth="0" w:num="1">
            <w:col w:w="9320"/>
          </w:cols>
          <w:pgMar w:left="1280" w:top="296" w:right="1299" w:bottom="1440" w:gutter="0" w:footer="0" w:header="0"/>
        </w:sectPr>
      </w:pPr>
    </w:p>
    <w:bookmarkStart w:id="99" w:name="page100"/>
    <w:bookmarkEnd w:id="99"/>
    <w:p>
      <w:pPr>
        <w:ind w:left="740"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 xml:space="preserve">added (or added back, as applicable) to the aggregate number of Common Shares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(C) Common Shares withheld by the Company, tendered or otherwise used prior to the tenth anniversary of the Amendment and Restatement Date to satisfy tax withholding with respect to awards other than Option Rights or Appreciation Rights (or options or stock appreciation rights granted under the Predecessor Plan) shall be added back to the aggregate number of Common Shares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(D) Common Shares subject to a share-settled Appreciation Right that are not actually issued in connection with the settlement of such Appreciation Right on the exercise thereof shall not be added (or added back, as applicable) to the aggregate number of Common Shares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 and (E) Common Shares reacquired by the Company on the open market or otherwise using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cash proceeds from the exercise of Option Rights shall not be added (or added back, as applicable) to the aggregate number of Common Shares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w:t>
      </w:r>
    </w:p>
    <w:p>
      <w:pPr>
        <w:spacing w:after="0" w:line="92" w:lineRule="exact"/>
        <w:rPr>
          <w:sz w:val="20"/>
          <w:szCs w:val="20"/>
          <w:color w:val="auto"/>
        </w:rPr>
      </w:pPr>
    </w:p>
    <w:p>
      <w:pPr>
        <w:ind w:left="720" w:right="240" w:hanging="355"/>
        <w:spacing w:after="0" w:line="249" w:lineRule="auto"/>
        <w:tabs>
          <w:tab w:leader="none" w:pos="7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If, under this Plan, a Participant has elected to give up the right to receive compensation in exchange for Common Shares based on fair market value, such Common Shares will not count against the aggregate limit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w:t>
      </w:r>
    </w:p>
    <w:p>
      <w:pPr>
        <w:spacing w:after="0" w:line="178" w:lineRule="exact"/>
        <w:rPr>
          <w:sz w:val="20"/>
          <w:szCs w:val="20"/>
          <w:color w:val="auto"/>
        </w:rPr>
      </w:pPr>
    </w:p>
    <w:p>
      <w:pPr>
        <w:jc w:val="both"/>
        <w:ind w:right="60" w:firstLine="375"/>
        <w:spacing w:after="0" w:line="249" w:lineRule="auto"/>
        <w:tabs>
          <w:tab w:leader="none" w:pos="597"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Limit on Incentive Stock Options</w:t>
      </w:r>
      <w:r>
        <w:rPr>
          <w:rFonts w:ascii="Arial" w:cs="Arial" w:eastAsia="Arial" w:hAnsi="Arial"/>
          <w:sz w:val="16"/>
          <w:szCs w:val="16"/>
          <w:color w:val="auto"/>
        </w:rPr>
        <w:t xml:space="preserve">. Notwithstanding anything to the contrary contained in this Plan, and subject to adjustment as provided in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the aggregate number of Common Shares actually issued or transferred by the Company upon the exercise of Incentive Stock Options will not exceed 11,618,754 Common Shares.</w:t>
      </w:r>
    </w:p>
    <w:p>
      <w:pPr>
        <w:spacing w:after="0" w:line="178" w:lineRule="exact"/>
        <w:rPr>
          <w:rFonts w:ascii="Arial" w:cs="Arial" w:eastAsia="Arial" w:hAnsi="Arial"/>
          <w:sz w:val="16"/>
          <w:szCs w:val="16"/>
          <w:color w:val="auto"/>
        </w:rPr>
      </w:pPr>
    </w:p>
    <w:p>
      <w:pPr>
        <w:jc w:val="both"/>
        <w:ind w:right="180" w:firstLine="375"/>
        <w:spacing w:after="0" w:line="245" w:lineRule="auto"/>
        <w:tabs>
          <w:tab w:leader="none" w:pos="606"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Non-Employee Director Compensation Limit</w:t>
      </w:r>
      <w:r>
        <w:rPr>
          <w:rFonts w:ascii="Arial" w:cs="Arial" w:eastAsia="Arial" w:hAnsi="Arial"/>
          <w:sz w:val="16"/>
          <w:szCs w:val="16"/>
          <w:color w:val="auto"/>
        </w:rPr>
        <w:t>. Notwithstanding anything to the contrary contained in this Plan, in no event will any non-employee Director in any one calendar year be granted compensation for such service having an aggregate maximum value (measured at the Date of Grant as applicable, and calculating the value of any awards based on the grant date fair value for financial reporting purposes) in excess of $750,000.</w:t>
      </w:r>
    </w:p>
    <w:p>
      <w:pPr>
        <w:spacing w:after="0" w:line="179" w:lineRule="exact"/>
        <w:rPr>
          <w:rFonts w:ascii="Arial" w:cs="Arial" w:eastAsia="Arial" w:hAnsi="Arial"/>
          <w:sz w:val="16"/>
          <w:szCs w:val="16"/>
          <w:color w:val="auto"/>
        </w:rPr>
      </w:pPr>
    </w:p>
    <w:p>
      <w:pPr>
        <w:ind w:left="180" w:hanging="178"/>
        <w:spacing w:after="0"/>
        <w:tabs>
          <w:tab w:leader="none" w:pos="180"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Option Rights. </w:t>
      </w:r>
      <w:r>
        <w:rPr>
          <w:rFonts w:ascii="Arial" w:cs="Arial" w:eastAsia="Arial" w:hAnsi="Arial"/>
          <w:sz w:val="16"/>
          <w:szCs w:val="16"/>
          <w:color w:val="auto"/>
        </w:rPr>
        <w:t>The Committee may, from time to time and upon such terms and conditions as it may determine, authorize the</w:t>
      </w:r>
    </w:p>
    <w:p>
      <w:pPr>
        <w:spacing w:after="0" w:line="13" w:lineRule="exact"/>
        <w:rPr>
          <w:rFonts w:ascii="Arial" w:cs="Arial" w:eastAsia="Arial" w:hAnsi="Arial"/>
          <w:sz w:val="16"/>
          <w:szCs w:val="16"/>
          <w:color w:val="auto"/>
        </w:rPr>
      </w:pPr>
    </w:p>
    <w:p>
      <w:pPr>
        <w:ind w:right="300"/>
        <w:spacing w:after="0" w:line="245" w:lineRule="auto"/>
        <w:rPr>
          <w:rFonts w:ascii="Arial" w:cs="Arial" w:eastAsia="Arial" w:hAnsi="Arial"/>
          <w:sz w:val="16"/>
          <w:szCs w:val="16"/>
          <w:color w:val="auto"/>
        </w:rPr>
      </w:pPr>
      <w:r>
        <w:rPr>
          <w:rFonts w:ascii="Arial" w:cs="Arial" w:eastAsia="Arial" w:hAnsi="Arial"/>
          <w:sz w:val="16"/>
          <w:szCs w:val="16"/>
          <w:color w:val="auto"/>
        </w:rPr>
        <w:t>granting to Participants of Option Rights. Each such grant may utilize any or all of the authorizations, and will be subject to all of the requirements, contained in the following provisions:</w:t>
      </w:r>
    </w:p>
    <w:p>
      <w:pPr>
        <w:spacing w:after="0" w:line="74" w:lineRule="exact"/>
        <w:rPr>
          <w:rFonts w:ascii="Arial" w:cs="Arial" w:eastAsia="Arial" w:hAnsi="Arial"/>
          <w:sz w:val="16"/>
          <w:szCs w:val="16"/>
          <w:color w:val="auto"/>
        </w:rPr>
      </w:pPr>
    </w:p>
    <w:p>
      <w:pPr>
        <w:ind w:right="260" w:firstLine="375"/>
        <w:spacing w:after="0" w:line="266" w:lineRule="auto"/>
        <w:tabs>
          <w:tab w:leader="none" w:pos="606"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Each grant will specify the number of Common Shares to which it pertains subject to the limitations set forth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w:t>
      </w:r>
    </w:p>
    <w:p>
      <w:pPr>
        <w:spacing w:after="0" w:line="163" w:lineRule="exact"/>
        <w:rPr>
          <w:rFonts w:ascii="Arial" w:cs="Arial" w:eastAsia="Arial" w:hAnsi="Arial"/>
          <w:sz w:val="16"/>
          <w:szCs w:val="16"/>
          <w:color w:val="auto"/>
        </w:rPr>
      </w:pPr>
    </w:p>
    <w:p>
      <w:pPr>
        <w:ind w:right="700" w:firstLine="375"/>
        <w:spacing w:after="0" w:line="273" w:lineRule="auto"/>
        <w:tabs>
          <w:tab w:leader="none" w:pos="606"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Each grant will specify an Option Price per Common Share, which Option Price (except with respect to awards under </w:t>
      </w:r>
      <w:r>
        <w:rPr>
          <w:rFonts w:ascii="Arial" w:cs="Arial" w:eastAsia="Arial" w:hAnsi="Arial"/>
          <w:sz w:val="16"/>
          <w:szCs w:val="16"/>
          <w:b w:val="1"/>
          <w:bCs w:val="1"/>
          <w:u w:val="single" w:color="auto"/>
          <w:color w:val="auto"/>
        </w:rPr>
        <w:t>Section 22</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 may not be less than the Market Value per Share on the Date of Grant.</w:t>
      </w:r>
    </w:p>
    <w:p>
      <w:pPr>
        <w:spacing w:after="0" w:line="151" w:lineRule="exact"/>
        <w:rPr>
          <w:rFonts w:ascii="Arial" w:cs="Arial" w:eastAsia="Arial" w:hAnsi="Arial"/>
          <w:sz w:val="16"/>
          <w:szCs w:val="16"/>
          <w:color w:val="auto"/>
        </w:rPr>
      </w:pPr>
    </w:p>
    <w:p>
      <w:pPr>
        <w:ind w:firstLine="375"/>
        <w:spacing w:after="0"/>
        <w:tabs>
          <w:tab w:leader="none" w:pos="597" w:val="left"/>
        </w:tabs>
        <w:numPr>
          <w:ilvl w:val="1"/>
          <w:numId w:val="75"/>
        </w:numPr>
        <w:rPr>
          <w:rFonts w:ascii="Arial" w:cs="Arial" w:eastAsia="Arial" w:hAnsi="Arial"/>
          <w:sz w:val="16"/>
          <w:szCs w:val="16"/>
          <w:color w:val="auto"/>
        </w:rPr>
      </w:pPr>
      <w:r>
        <w:rPr>
          <w:rFonts w:ascii="Arial" w:cs="Arial" w:eastAsia="Arial" w:hAnsi="Arial"/>
          <w:sz w:val="16"/>
          <w:szCs w:val="16"/>
          <w:color w:val="auto"/>
        </w:rPr>
        <w:t>Each grant will specify whether the Option Price will be payable (i) in cash, by check acceptable to the Company or by wire transfer of immediately available funds, (ii) by the actual or constructive transfer to the Company of Common Shares owned by the Optionee having a value at the time of exercise equal to the total Option Price, (iii) subject to any conditions or limitations established by the Committee, by the withholding of Common Shares otherwise issuable upon exercise of an Option Right pursuant to a “net exercise” arrangement (it being understood that, solely for purposes of determining the number of treasury shares held by the Company, the Common Shares so withheld will not be treated as issued and acquired by the Company upon such exercise), (iv) by a combination of such methods of payment, or (v) by such other methods as may be approved by the Committee.</w:t>
      </w:r>
    </w:p>
    <w:p>
      <w:pPr>
        <w:spacing w:after="0" w:line="188" w:lineRule="exact"/>
        <w:rPr>
          <w:rFonts w:ascii="Arial" w:cs="Arial" w:eastAsia="Arial" w:hAnsi="Arial"/>
          <w:sz w:val="16"/>
          <w:szCs w:val="16"/>
          <w:color w:val="auto"/>
        </w:rPr>
      </w:pPr>
    </w:p>
    <w:p>
      <w:pPr>
        <w:ind w:right="180" w:firstLine="375"/>
        <w:spacing w:after="0" w:line="335" w:lineRule="auto"/>
        <w:tabs>
          <w:tab w:leader="none" w:pos="606" w:val="left"/>
        </w:tabs>
        <w:numPr>
          <w:ilvl w:val="1"/>
          <w:numId w:val="75"/>
        </w:numPr>
        <w:rPr>
          <w:rFonts w:ascii="Arial" w:cs="Arial" w:eastAsia="Arial" w:hAnsi="Arial"/>
          <w:sz w:val="14"/>
          <w:szCs w:val="14"/>
          <w:color w:val="auto"/>
        </w:rPr>
      </w:pPr>
      <w:r>
        <w:rPr>
          <w:rFonts w:ascii="Arial" w:cs="Arial" w:eastAsia="Arial" w:hAnsi="Arial"/>
          <w:sz w:val="14"/>
          <w:szCs w:val="14"/>
          <w:color w:val="auto"/>
        </w:rPr>
        <w:t>To the extent permitted by law, any grant may provide for deferred payment of the Option Price from the proceeds of sale through a bank or broker on a date satisfactory to the Company of some or all of the Common Shares to which such exercise relates.</w:t>
      </w:r>
    </w:p>
    <w:p>
      <w:pPr>
        <w:spacing w:after="0" w:line="120" w:lineRule="exact"/>
        <w:rPr>
          <w:rFonts w:ascii="Arial" w:cs="Arial" w:eastAsia="Arial" w:hAnsi="Arial"/>
          <w:sz w:val="14"/>
          <w:szCs w:val="14"/>
          <w:color w:val="auto"/>
        </w:rPr>
      </w:pPr>
    </w:p>
    <w:p>
      <w:pPr>
        <w:ind w:firstLine="375"/>
        <w:spacing w:after="0" w:line="245" w:lineRule="auto"/>
        <w:tabs>
          <w:tab w:leader="none" w:pos="606" w:val="left"/>
        </w:tabs>
        <w:numPr>
          <w:ilvl w:val="1"/>
          <w:numId w:val="75"/>
        </w:numPr>
        <w:rPr>
          <w:rFonts w:ascii="Arial" w:cs="Arial" w:eastAsia="Arial" w:hAnsi="Arial"/>
          <w:sz w:val="16"/>
          <w:szCs w:val="16"/>
          <w:color w:val="auto"/>
        </w:rPr>
      </w:pPr>
      <w:r>
        <w:rPr>
          <w:rFonts w:ascii="Arial" w:cs="Arial" w:eastAsia="Arial" w:hAnsi="Arial"/>
          <w:sz w:val="16"/>
          <w:szCs w:val="16"/>
          <w:color w:val="auto"/>
        </w:rPr>
        <w:t>Each grant will specify the period or periods of continuous service by the Optionee with the Company or any Subsidiary, if any, that is necessary before any Option Rights or installments thereof will vest. Option Rights may provide for continued vesting or the earlier vesting of such Option Rights, including in the event of the retirement, death, disability or termination of employment or service of a Participant or in the event of a Change in Control.</w:t>
      </w:r>
    </w:p>
    <w:p>
      <w:pPr>
        <w:spacing w:after="0" w:line="181" w:lineRule="exact"/>
        <w:rPr>
          <w:rFonts w:ascii="Arial" w:cs="Arial" w:eastAsia="Arial" w:hAnsi="Arial"/>
          <w:sz w:val="16"/>
          <w:szCs w:val="16"/>
          <w:color w:val="auto"/>
        </w:rPr>
      </w:pPr>
    </w:p>
    <w:p>
      <w:pPr>
        <w:ind w:left="560" w:hanging="185"/>
        <w:spacing w:after="0"/>
        <w:tabs>
          <w:tab w:leader="none" w:pos="5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Any grant of Option Rights may specify Management Objectives regarding the vesting of such rights.</w:t>
      </w:r>
    </w:p>
    <w:p>
      <w:pPr>
        <w:spacing w:after="0" w:line="204" w:lineRule="exact"/>
        <w:rPr>
          <w:rFonts w:ascii="Arial" w:cs="Arial" w:eastAsia="Arial" w:hAnsi="Arial"/>
          <w:sz w:val="16"/>
          <w:szCs w:val="16"/>
          <w:color w:val="auto"/>
        </w:rPr>
      </w:pPr>
    </w:p>
    <w:p>
      <w:pPr>
        <w:ind w:right="100" w:firstLine="375"/>
        <w:spacing w:after="0" w:line="302" w:lineRule="auto"/>
        <w:tabs>
          <w:tab w:leader="none" w:pos="606" w:val="left"/>
        </w:tabs>
        <w:numPr>
          <w:ilvl w:val="1"/>
          <w:numId w:val="75"/>
        </w:numPr>
        <w:rPr>
          <w:rFonts w:ascii="Arial" w:cs="Arial" w:eastAsia="Arial" w:hAnsi="Arial"/>
          <w:sz w:val="14"/>
          <w:szCs w:val="14"/>
          <w:color w:val="auto"/>
        </w:rPr>
      </w:pPr>
      <w:r>
        <w:rPr>
          <w:rFonts w:ascii="Arial" w:cs="Arial" w:eastAsia="Arial" w:hAnsi="Arial"/>
          <w:sz w:val="14"/>
          <w:szCs w:val="14"/>
          <w:color w:val="auto"/>
        </w:rPr>
        <w:t>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57785</wp:posOffset>
            </wp:positionV>
            <wp:extent cx="699135" cy="1314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B-4</w:t>
      </w:r>
    </w:p>
    <w:p>
      <w:pPr>
        <w:sectPr>
          <w:pgSz w:w="11900" w:h="16838" w:orient="portrait"/>
          <w:cols w:equalWidth="0" w:num="1">
            <w:col w:w="9320"/>
          </w:cols>
          <w:pgMar w:left="1280" w:top="294" w:right="1299" w:bottom="1440" w:gutter="0" w:footer="0" w:header="0"/>
        </w:sectPr>
      </w:pPr>
    </w:p>
    <w:bookmarkStart w:id="100" w:name="page101"/>
    <w:bookmarkEnd w:id="100"/>
    <w:p>
      <w:pPr>
        <w:ind w:right="160" w:firstLine="375"/>
        <w:spacing w:after="0" w:line="335" w:lineRule="auto"/>
        <w:tabs>
          <w:tab w:leader="none" w:pos="606" w:val="left"/>
        </w:tabs>
        <w:numPr>
          <w:ilvl w:val="2"/>
          <w:numId w:val="7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No Option Right will be exercisable more than 10 years from the Date of Grant. The Committee may provide in any Evidence of Award for the automatic exercise of an Option Right upon such terms and conditions as established by the Committee.</w:t>
      </w:r>
    </w:p>
    <w:p>
      <w:pPr>
        <w:spacing w:after="0" w:line="120" w:lineRule="exact"/>
        <w:rPr>
          <w:rFonts w:ascii="Arial" w:cs="Arial" w:eastAsia="Arial" w:hAnsi="Arial"/>
          <w:sz w:val="14"/>
          <w:szCs w:val="14"/>
          <w:color w:val="auto"/>
        </w:rPr>
      </w:pPr>
    </w:p>
    <w:p>
      <w:pPr>
        <w:ind w:left="560" w:hanging="185"/>
        <w:spacing w:after="0"/>
        <w:tabs>
          <w:tab w:leader="none" w:pos="560" w:val="left"/>
        </w:tabs>
        <w:numPr>
          <w:ilvl w:val="2"/>
          <w:numId w:val="76"/>
        </w:numPr>
        <w:rPr>
          <w:rFonts w:ascii="Arial" w:cs="Arial" w:eastAsia="Arial" w:hAnsi="Arial"/>
          <w:sz w:val="16"/>
          <w:szCs w:val="16"/>
          <w:color w:val="auto"/>
        </w:rPr>
      </w:pPr>
      <w:r>
        <w:rPr>
          <w:rFonts w:ascii="Arial" w:cs="Arial" w:eastAsia="Arial" w:hAnsi="Arial"/>
          <w:sz w:val="16"/>
          <w:szCs w:val="16"/>
          <w:color w:val="auto"/>
        </w:rPr>
        <w:t>Option Rights granted under this Plan may not provide for any dividends or dividend equivalents thereon.</w:t>
      </w:r>
    </w:p>
    <w:p>
      <w:pPr>
        <w:spacing w:after="0" w:line="204" w:lineRule="exact"/>
        <w:rPr>
          <w:rFonts w:ascii="Arial" w:cs="Arial" w:eastAsia="Arial" w:hAnsi="Arial"/>
          <w:sz w:val="16"/>
          <w:szCs w:val="16"/>
          <w:color w:val="auto"/>
        </w:rPr>
      </w:pPr>
    </w:p>
    <w:p>
      <w:pPr>
        <w:ind w:right="260" w:firstLine="375"/>
        <w:spacing w:after="0" w:line="263" w:lineRule="auto"/>
        <w:tabs>
          <w:tab w:leader="none" w:pos="554" w:val="left"/>
        </w:tabs>
        <w:numPr>
          <w:ilvl w:val="2"/>
          <w:numId w:val="76"/>
        </w:numPr>
        <w:rPr>
          <w:rFonts w:ascii="Arial" w:cs="Arial" w:eastAsia="Arial" w:hAnsi="Arial"/>
          <w:sz w:val="16"/>
          <w:szCs w:val="16"/>
          <w:color w:val="auto"/>
        </w:rPr>
      </w:pPr>
      <w:r>
        <w:rPr>
          <w:rFonts w:ascii="Arial" w:cs="Arial" w:eastAsia="Arial" w:hAnsi="Arial"/>
          <w:sz w:val="16"/>
          <w:szCs w:val="16"/>
          <w:color w:val="auto"/>
        </w:rPr>
        <w:t>Each grant of Option Rights will be evidenced by an Evidence of Award. Each Evidence of Award will be subject to this Plan and will contain such terms and provisions, consistent with this Plan, as the Committee may approve.</w:t>
      </w:r>
    </w:p>
    <w:p>
      <w:pPr>
        <w:spacing w:after="0" w:line="164" w:lineRule="exact"/>
        <w:rPr>
          <w:rFonts w:ascii="Arial" w:cs="Arial" w:eastAsia="Arial" w:hAnsi="Arial"/>
          <w:sz w:val="16"/>
          <w:szCs w:val="16"/>
          <w:color w:val="auto"/>
        </w:rPr>
      </w:pPr>
    </w:p>
    <w:p>
      <w:pPr>
        <w:ind w:left="180" w:hanging="178"/>
        <w:spacing w:after="0"/>
        <w:tabs>
          <w:tab w:leader="none" w:pos="18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Appreciation Rights.</w:t>
      </w:r>
    </w:p>
    <w:p>
      <w:pPr>
        <w:spacing w:after="0" w:line="206" w:lineRule="exact"/>
        <w:rPr>
          <w:rFonts w:ascii="Arial" w:cs="Arial" w:eastAsia="Arial" w:hAnsi="Arial"/>
          <w:sz w:val="16"/>
          <w:szCs w:val="16"/>
          <w:color w:val="auto"/>
        </w:rPr>
      </w:pPr>
    </w:p>
    <w:p>
      <w:pPr>
        <w:ind w:right="80" w:firstLine="375"/>
        <w:spacing w:after="0" w:line="302" w:lineRule="auto"/>
        <w:tabs>
          <w:tab w:leader="none" w:pos="606" w:val="left"/>
        </w:tabs>
        <w:numPr>
          <w:ilvl w:val="2"/>
          <w:numId w:val="77"/>
        </w:numPr>
        <w:rPr>
          <w:rFonts w:ascii="Arial" w:cs="Arial" w:eastAsia="Arial" w:hAnsi="Arial"/>
          <w:sz w:val="14"/>
          <w:szCs w:val="14"/>
          <w:color w:val="auto"/>
        </w:rPr>
      </w:pPr>
      <w:r>
        <w:rPr>
          <w:rFonts w:ascii="Arial" w:cs="Arial" w:eastAsia="Arial" w:hAnsi="Arial"/>
          <w:sz w:val="14"/>
          <w:szCs w:val="14"/>
          <w:color w:val="auto"/>
        </w:rPr>
        <w:t>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143" w:lineRule="exact"/>
        <w:rPr>
          <w:rFonts w:ascii="Arial" w:cs="Arial" w:eastAsia="Arial" w:hAnsi="Arial"/>
          <w:sz w:val="14"/>
          <w:szCs w:val="14"/>
          <w:color w:val="auto"/>
        </w:rPr>
      </w:pPr>
    </w:p>
    <w:p>
      <w:pPr>
        <w:ind w:right="360" w:firstLine="375"/>
        <w:spacing w:after="0" w:line="263" w:lineRule="auto"/>
        <w:tabs>
          <w:tab w:leader="none" w:pos="606" w:val="left"/>
        </w:tabs>
        <w:numPr>
          <w:ilvl w:val="2"/>
          <w:numId w:val="77"/>
        </w:numPr>
        <w:rPr>
          <w:rFonts w:ascii="Arial" w:cs="Arial" w:eastAsia="Arial" w:hAnsi="Arial"/>
          <w:sz w:val="16"/>
          <w:szCs w:val="16"/>
          <w:color w:val="auto"/>
        </w:rPr>
      </w:pPr>
      <w:r>
        <w:rPr>
          <w:rFonts w:ascii="Arial" w:cs="Arial" w:eastAsia="Arial" w:hAnsi="Arial"/>
          <w:sz w:val="16"/>
          <w:szCs w:val="16"/>
          <w:color w:val="auto"/>
        </w:rPr>
        <w:t>Each grant of Appreciation Rights may utilize any or all of the authorizations, and will be subject to all of the requirements, contained in the following provisions:</w:t>
      </w:r>
    </w:p>
    <w:p>
      <w:pPr>
        <w:spacing w:after="0" w:line="75" w:lineRule="exact"/>
        <w:rPr>
          <w:rFonts w:ascii="Arial" w:cs="Arial" w:eastAsia="Arial" w:hAnsi="Arial"/>
          <w:sz w:val="16"/>
          <w:szCs w:val="16"/>
          <w:color w:val="auto"/>
        </w:rPr>
      </w:pPr>
    </w:p>
    <w:p>
      <w:pPr>
        <w:ind w:left="720" w:right="160" w:hanging="355"/>
        <w:spacing w:after="0" w:line="263" w:lineRule="auto"/>
        <w:tabs>
          <w:tab w:leader="none" w:pos="7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Each grant may specify that the amount payable on exercise of an Appreciation Right will be paid by the Company in cash, Common Shares or any combination thereof.</w:t>
      </w:r>
    </w:p>
    <w:p>
      <w:pPr>
        <w:spacing w:after="0" w:line="75" w:lineRule="exact"/>
        <w:rPr>
          <w:rFonts w:ascii="Arial" w:cs="Arial" w:eastAsia="Arial" w:hAnsi="Arial"/>
          <w:sz w:val="16"/>
          <w:szCs w:val="16"/>
          <w:color w:val="auto"/>
        </w:rPr>
      </w:pPr>
    </w:p>
    <w:p>
      <w:pPr>
        <w:ind w:left="720" w:right="120" w:hanging="355"/>
        <w:spacing w:after="0" w:line="291" w:lineRule="auto"/>
        <w:tabs>
          <w:tab w:leader="none" w:pos="720" w:val="left"/>
        </w:tabs>
        <w:numPr>
          <w:ilvl w:val="1"/>
          <w:numId w:val="77"/>
        </w:numPr>
        <w:rPr>
          <w:rFonts w:ascii="Arial" w:cs="Arial" w:eastAsia="Arial" w:hAnsi="Arial"/>
          <w:sz w:val="14"/>
          <w:szCs w:val="14"/>
          <w:color w:val="auto"/>
        </w:rPr>
      </w:pPr>
      <w:r>
        <w:rPr>
          <w:rFonts w:ascii="Arial" w:cs="Arial" w:eastAsia="Arial" w:hAnsi="Arial"/>
          <w:sz w:val="14"/>
          <w:szCs w:val="14"/>
          <w:color w:val="auto"/>
        </w:rPr>
        <w:t>Each grant will specify the period or periods of continuous service by the Participant with the Company or any Subsidiary, if any, that is necessary before the Appreciation Rights or installments thereof will vest. Appreciation Rights may provide for continued vesting or the earlier vesting of such Appreciation Rights, including in the event of the retirement, death, disability or termination of employment or service of a Participant or in the event of a Change in Control.</w:t>
      </w:r>
    </w:p>
    <w:p>
      <w:pPr>
        <w:spacing w:after="0" w:line="60" w:lineRule="exact"/>
        <w:rPr>
          <w:rFonts w:ascii="Arial" w:cs="Arial" w:eastAsia="Arial" w:hAnsi="Arial"/>
          <w:sz w:val="14"/>
          <w:szCs w:val="14"/>
          <w:color w:val="auto"/>
        </w:rPr>
      </w:pPr>
    </w:p>
    <w:p>
      <w:pPr>
        <w:ind w:left="720" w:hanging="355"/>
        <w:spacing w:after="0"/>
        <w:tabs>
          <w:tab w:leader="none" w:pos="7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Any grant of Appreciation Rights may specify Management Objectives regarding the vesting of such Appreciation Rights.</w:t>
      </w:r>
    </w:p>
    <w:p>
      <w:pPr>
        <w:spacing w:after="0" w:line="113" w:lineRule="exact"/>
        <w:rPr>
          <w:rFonts w:ascii="Arial" w:cs="Arial" w:eastAsia="Arial" w:hAnsi="Arial"/>
          <w:sz w:val="16"/>
          <w:szCs w:val="16"/>
          <w:color w:val="auto"/>
        </w:rPr>
      </w:pPr>
    </w:p>
    <w:p>
      <w:pPr>
        <w:ind w:left="720" w:hanging="355"/>
        <w:spacing w:after="0"/>
        <w:tabs>
          <w:tab w:leader="none" w:pos="7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Appreciation Rights granted under this Plan may not provide for any dividends or dividend equivalents thereon.</w:t>
      </w:r>
    </w:p>
    <w:p>
      <w:pPr>
        <w:spacing w:after="0" w:line="113" w:lineRule="exact"/>
        <w:rPr>
          <w:rFonts w:ascii="Arial" w:cs="Arial" w:eastAsia="Arial" w:hAnsi="Arial"/>
          <w:sz w:val="16"/>
          <w:szCs w:val="16"/>
          <w:color w:val="auto"/>
        </w:rPr>
      </w:pPr>
    </w:p>
    <w:p>
      <w:pPr>
        <w:ind w:left="720" w:right="40" w:hanging="355"/>
        <w:spacing w:after="0" w:line="263" w:lineRule="auto"/>
        <w:tabs>
          <w:tab w:leader="none" w:pos="7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166" w:lineRule="exact"/>
        <w:rPr>
          <w:rFonts w:ascii="Arial" w:cs="Arial" w:eastAsia="Arial" w:hAnsi="Arial"/>
          <w:sz w:val="16"/>
          <w:szCs w:val="16"/>
          <w:color w:val="auto"/>
        </w:rPr>
      </w:pPr>
    </w:p>
    <w:p>
      <w:pPr>
        <w:ind w:left="600" w:hanging="225"/>
        <w:spacing w:after="0"/>
        <w:tabs>
          <w:tab w:leader="none" w:pos="600" w:val="left"/>
        </w:tabs>
        <w:numPr>
          <w:ilvl w:val="2"/>
          <w:numId w:val="78"/>
        </w:numPr>
        <w:rPr>
          <w:rFonts w:ascii="Arial" w:cs="Arial" w:eastAsia="Arial" w:hAnsi="Arial"/>
          <w:sz w:val="16"/>
          <w:szCs w:val="16"/>
          <w:color w:val="auto"/>
        </w:rPr>
      </w:pPr>
      <w:r>
        <w:rPr>
          <w:rFonts w:ascii="Arial" w:cs="Arial" w:eastAsia="Arial" w:hAnsi="Arial"/>
          <w:sz w:val="16"/>
          <w:szCs w:val="16"/>
          <w:color w:val="auto"/>
        </w:rPr>
        <w:t>Also, regarding Appreciation Rights:</w:t>
      </w:r>
    </w:p>
    <w:p>
      <w:pPr>
        <w:spacing w:after="0" w:line="114" w:lineRule="exact"/>
        <w:rPr>
          <w:sz w:val="20"/>
          <w:szCs w:val="20"/>
          <w:color w:val="auto"/>
        </w:rPr>
      </w:pPr>
    </w:p>
    <w:p>
      <w:pPr>
        <w:ind w:left="720" w:right="480" w:hanging="355"/>
        <w:spacing w:after="0" w:line="273" w:lineRule="auto"/>
        <w:tabs>
          <w:tab w:leader="none" w:pos="7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Each grant will specify in respect of each Appreciation Right a Base Price, which (except with respect to awards under </w:t>
      </w:r>
      <w:r>
        <w:rPr>
          <w:rFonts w:ascii="Arial" w:cs="Arial" w:eastAsia="Arial" w:hAnsi="Arial"/>
          <w:sz w:val="16"/>
          <w:szCs w:val="16"/>
          <w:b w:val="1"/>
          <w:bCs w:val="1"/>
          <w:u w:val="single" w:color="auto"/>
          <w:color w:val="auto"/>
        </w:rPr>
        <w:t>Section 22</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 may not be less than the Market Value per Share on the Date of Grant; and</w:t>
      </w:r>
    </w:p>
    <w:p>
      <w:pPr>
        <w:spacing w:after="0" w:line="60" w:lineRule="exact"/>
        <w:rPr>
          <w:rFonts w:ascii="Arial" w:cs="Arial" w:eastAsia="Arial" w:hAnsi="Arial"/>
          <w:sz w:val="16"/>
          <w:szCs w:val="16"/>
          <w:color w:val="auto"/>
        </w:rPr>
      </w:pPr>
    </w:p>
    <w:p>
      <w:pPr>
        <w:ind w:left="720" w:right="60" w:hanging="355"/>
        <w:spacing w:after="0" w:line="249" w:lineRule="auto"/>
        <w:tabs>
          <w:tab w:leader="none" w:pos="7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176" w:lineRule="exact"/>
        <w:rPr>
          <w:rFonts w:ascii="Arial" w:cs="Arial" w:eastAsia="Arial" w:hAnsi="Arial"/>
          <w:sz w:val="16"/>
          <w:szCs w:val="16"/>
          <w:color w:val="auto"/>
        </w:rPr>
      </w:pPr>
    </w:p>
    <w:p>
      <w:pPr>
        <w:ind w:left="180" w:hanging="178"/>
        <w:spacing w:after="0"/>
        <w:tabs>
          <w:tab w:leader="none" w:pos="180" w:val="left"/>
        </w:tabs>
        <w:numPr>
          <w:ilvl w:val="0"/>
          <w:numId w:val="80"/>
        </w:numPr>
        <w:rPr>
          <w:rFonts w:ascii="Arial" w:cs="Arial" w:eastAsia="Arial" w:hAnsi="Arial"/>
          <w:sz w:val="14"/>
          <w:szCs w:val="14"/>
          <w:color w:val="auto"/>
        </w:rPr>
      </w:pPr>
      <w:r>
        <w:rPr>
          <w:rFonts w:ascii="Arial" w:cs="Arial" w:eastAsia="Arial" w:hAnsi="Arial"/>
          <w:sz w:val="14"/>
          <w:szCs w:val="14"/>
          <w:b w:val="1"/>
          <w:bCs w:val="1"/>
          <w:color w:val="auto"/>
        </w:rPr>
        <w:t xml:space="preserve">Restricted Stock. </w:t>
      </w:r>
      <w:r>
        <w:rPr>
          <w:rFonts w:ascii="Arial" w:cs="Arial" w:eastAsia="Arial" w:hAnsi="Arial"/>
          <w:sz w:val="14"/>
          <w:szCs w:val="14"/>
          <w:color w:val="auto"/>
        </w:rPr>
        <w:t>The Committee may, from time to time and upon such terms and conditions as it may determine, authorize the</w:t>
      </w:r>
    </w:p>
    <w:p>
      <w:pPr>
        <w:spacing w:after="0" w:line="36" w:lineRule="exact"/>
        <w:rPr>
          <w:rFonts w:ascii="Arial" w:cs="Arial" w:eastAsia="Arial" w:hAnsi="Arial"/>
          <w:sz w:val="14"/>
          <w:szCs w:val="14"/>
          <w:color w:val="auto"/>
        </w:rPr>
      </w:pPr>
    </w:p>
    <w:p>
      <w:pPr>
        <w:ind w:right="120"/>
        <w:spacing w:after="0" w:line="245" w:lineRule="auto"/>
        <w:rPr>
          <w:rFonts w:ascii="Arial" w:cs="Arial" w:eastAsia="Arial" w:hAnsi="Arial"/>
          <w:sz w:val="14"/>
          <w:szCs w:val="14"/>
          <w:color w:val="auto"/>
        </w:rPr>
      </w:pPr>
      <w:r>
        <w:rPr>
          <w:rFonts w:ascii="Arial" w:cs="Arial" w:eastAsia="Arial" w:hAnsi="Arial"/>
          <w:sz w:val="16"/>
          <w:szCs w:val="16"/>
          <w:color w:val="auto"/>
        </w:rPr>
        <w:t>grant or sale of Restricted Stock to Participants. Each such grant or sale may utilize any or all of the authorizations, and will be subject to all of the requirements, contained in the following provisions:</w:t>
      </w:r>
    </w:p>
    <w:p>
      <w:pPr>
        <w:spacing w:after="0" w:line="76" w:lineRule="exact"/>
        <w:rPr>
          <w:rFonts w:ascii="Arial" w:cs="Arial" w:eastAsia="Arial" w:hAnsi="Arial"/>
          <w:sz w:val="14"/>
          <w:szCs w:val="14"/>
          <w:color w:val="auto"/>
        </w:rPr>
      </w:pPr>
    </w:p>
    <w:p>
      <w:pPr>
        <w:ind w:right="60" w:firstLine="375"/>
        <w:spacing w:after="0" w:line="308" w:lineRule="auto"/>
        <w:tabs>
          <w:tab w:leader="none" w:pos="606" w:val="left"/>
        </w:tabs>
        <w:numPr>
          <w:ilvl w:val="2"/>
          <w:numId w:val="80"/>
        </w:numPr>
        <w:rPr>
          <w:rFonts w:ascii="Arial" w:cs="Arial" w:eastAsia="Arial" w:hAnsi="Arial"/>
          <w:sz w:val="14"/>
          <w:szCs w:val="14"/>
          <w:color w:val="auto"/>
        </w:rPr>
      </w:pPr>
      <w:r>
        <w:rPr>
          <w:rFonts w:ascii="Arial" w:cs="Arial" w:eastAsia="Arial" w:hAnsi="Arial"/>
          <w:sz w:val="14"/>
          <w:szCs w:val="14"/>
          <w:color w:val="auto"/>
        </w:rPr>
        <w:t xml:space="preserve">Each such grant or sale will constitute an immediate transfer of the ownership of Common Shares to the Participant in consideration of the performance of services, entitling such Participant to voting, dividend and other ownership rights (subject in particular to </w:t>
      </w:r>
      <w:r>
        <w:rPr>
          <w:rFonts w:ascii="Arial" w:cs="Arial" w:eastAsia="Arial" w:hAnsi="Arial"/>
          <w:sz w:val="14"/>
          <w:szCs w:val="14"/>
          <w:b w:val="1"/>
          <w:bCs w:val="1"/>
          <w:u w:val="single" w:color="auto"/>
          <w:color w:val="auto"/>
        </w:rPr>
        <w:t>Section 6(g)</w:t>
      </w:r>
      <w:r>
        <w:rPr>
          <w:rFonts w:ascii="Arial" w:cs="Arial" w:eastAsia="Arial" w:hAnsi="Arial"/>
          <w:sz w:val="14"/>
          <w:szCs w:val="14"/>
          <w:color w:val="auto"/>
        </w:rPr>
        <w:t xml:space="preserve"> of this Plan) , but subject to the substantial risk of forfeiture and restrictions on transfer hereinafter described.</w:t>
      </w:r>
    </w:p>
    <w:p>
      <w:pPr>
        <w:spacing w:after="0" w:line="131" w:lineRule="exact"/>
        <w:rPr>
          <w:rFonts w:ascii="Arial" w:cs="Arial" w:eastAsia="Arial" w:hAnsi="Arial"/>
          <w:sz w:val="14"/>
          <w:szCs w:val="14"/>
          <w:color w:val="auto"/>
        </w:rPr>
      </w:pPr>
    </w:p>
    <w:p>
      <w:pPr>
        <w:ind w:right="280" w:firstLine="375"/>
        <w:spacing w:after="0" w:line="263" w:lineRule="auto"/>
        <w:tabs>
          <w:tab w:leader="none" w:pos="606" w:val="left"/>
        </w:tabs>
        <w:numPr>
          <w:ilvl w:val="2"/>
          <w:numId w:val="80"/>
        </w:numPr>
        <w:rPr>
          <w:rFonts w:ascii="Arial" w:cs="Arial" w:eastAsia="Arial" w:hAnsi="Arial"/>
          <w:sz w:val="16"/>
          <w:szCs w:val="16"/>
          <w:color w:val="auto"/>
        </w:rPr>
      </w:pPr>
      <w:r>
        <w:rPr>
          <w:rFonts w:ascii="Arial" w:cs="Arial" w:eastAsia="Arial" w:hAnsi="Arial"/>
          <w:sz w:val="16"/>
          <w:szCs w:val="16"/>
          <w:color w:val="auto"/>
        </w:rPr>
        <w:t>Each such grant or sale may be made without additional consideration or in consideration of a payment by such Participant that is less than the Market Value per Share on the Date of Grant.</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B-5</w:t>
      </w:r>
    </w:p>
    <w:p>
      <w:pPr>
        <w:sectPr>
          <w:pgSz w:w="11900" w:h="16838" w:orient="portrait"/>
          <w:cols w:equalWidth="0" w:num="1">
            <w:col w:w="9320"/>
          </w:cols>
          <w:pgMar w:left="1280" w:top="296" w:right="1299" w:bottom="1440" w:gutter="0" w:footer="0" w:header="0"/>
        </w:sectPr>
      </w:pPr>
    </w:p>
    <w:bookmarkStart w:id="101" w:name="page102"/>
    <w:bookmarkEnd w:id="101"/>
    <w:p>
      <w:pPr>
        <w:ind w:right="20" w:firstLine="375"/>
        <w:spacing w:after="0" w:line="255" w:lineRule="auto"/>
        <w:tabs>
          <w:tab w:leader="none" w:pos="597" w:val="left"/>
        </w:tabs>
        <w:numPr>
          <w:ilvl w:val="1"/>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Arial" w:cs="Arial" w:eastAsia="Arial" w:hAnsi="Arial"/>
          <w:sz w:val="16"/>
          <w:szCs w:val="16"/>
          <w:b w:val="1"/>
          <w:bCs w:val="1"/>
          <w:u w:val="single" w:color="auto"/>
          <w:color w:val="auto"/>
        </w:rPr>
        <w:t>Section 6(e)</w:t>
      </w:r>
      <w:r>
        <w:rPr>
          <w:rFonts w:ascii="Arial" w:cs="Arial" w:eastAsia="Arial" w:hAnsi="Arial"/>
          <w:sz w:val="16"/>
          <w:szCs w:val="16"/>
          <w:color w:val="auto"/>
        </w:rPr>
        <w:t xml:space="preserve"> of this Plan.</w:t>
      </w:r>
    </w:p>
    <w:p>
      <w:pPr>
        <w:spacing w:after="0" w:line="164" w:lineRule="exact"/>
        <w:rPr>
          <w:rFonts w:ascii="Arial" w:cs="Arial" w:eastAsia="Arial" w:hAnsi="Arial"/>
          <w:sz w:val="16"/>
          <w:szCs w:val="16"/>
          <w:color w:val="auto"/>
        </w:rPr>
      </w:pPr>
    </w:p>
    <w:p>
      <w:pPr>
        <w:jc w:val="both"/>
        <w:ind w:right="20" w:firstLine="375"/>
        <w:spacing w:after="0" w:line="245" w:lineRule="auto"/>
        <w:tabs>
          <w:tab w:leader="none" w:pos="606" w:val="left"/>
        </w:tabs>
        <w:numPr>
          <w:ilvl w:val="1"/>
          <w:numId w:val="81"/>
        </w:numPr>
        <w:rPr>
          <w:rFonts w:ascii="Arial" w:cs="Arial" w:eastAsia="Arial" w:hAnsi="Arial"/>
          <w:sz w:val="16"/>
          <w:szCs w:val="16"/>
          <w:color w:val="auto"/>
        </w:rPr>
      </w:pPr>
      <w:r>
        <w:rPr>
          <w:rFonts w:ascii="Arial" w:cs="Arial" w:eastAsia="Arial" w:hAnsi="Arial"/>
          <w:sz w:val="16"/>
          <w:szCs w:val="16"/>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181" w:lineRule="exact"/>
        <w:rPr>
          <w:rFonts w:ascii="Arial" w:cs="Arial" w:eastAsia="Arial" w:hAnsi="Arial"/>
          <w:sz w:val="16"/>
          <w:szCs w:val="16"/>
          <w:color w:val="auto"/>
        </w:rPr>
      </w:pPr>
    </w:p>
    <w:p>
      <w:pPr>
        <w:ind w:left="600" w:hanging="225"/>
        <w:spacing w:after="0"/>
        <w:tabs>
          <w:tab w:leader="none" w:pos="6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grant of Restricted Stock may specify Management Objectives regarding the vesting of such Restricted Stock.</w:t>
      </w:r>
    </w:p>
    <w:p>
      <w:pPr>
        <w:spacing w:after="0" w:line="204" w:lineRule="exact"/>
        <w:rPr>
          <w:rFonts w:ascii="Arial" w:cs="Arial" w:eastAsia="Arial" w:hAnsi="Arial"/>
          <w:sz w:val="16"/>
          <w:szCs w:val="16"/>
          <w:color w:val="auto"/>
        </w:rPr>
      </w:pPr>
    </w:p>
    <w:p>
      <w:pPr>
        <w:ind w:right="440" w:firstLine="375"/>
        <w:spacing w:after="0" w:line="249" w:lineRule="auto"/>
        <w:tabs>
          <w:tab w:leader="none" w:pos="563" w:val="left"/>
        </w:tabs>
        <w:numPr>
          <w:ilvl w:val="1"/>
          <w:numId w:val="8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Plan, Restricted Stock may provide for continued vesting or the earlier vesting of such Restricted Stock, including in the event of the retirement, death, disability or termination of employment or service of a Participant or in the event of a Change in Control.</w:t>
      </w:r>
    </w:p>
    <w:p>
      <w:pPr>
        <w:spacing w:after="0" w:line="178" w:lineRule="exact"/>
        <w:rPr>
          <w:rFonts w:ascii="Arial" w:cs="Arial" w:eastAsia="Arial" w:hAnsi="Arial"/>
          <w:sz w:val="16"/>
          <w:szCs w:val="16"/>
          <w:color w:val="auto"/>
        </w:rPr>
      </w:pPr>
    </w:p>
    <w:p>
      <w:pPr>
        <w:jc w:val="both"/>
        <w:ind w:right="60" w:firstLine="375"/>
        <w:spacing w:after="0" w:line="245" w:lineRule="auto"/>
        <w:tabs>
          <w:tab w:leader="none" w:pos="606"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shall be deferred until, and paid contingent upon, the vesting of such Restricted Stock.</w:t>
      </w:r>
    </w:p>
    <w:p>
      <w:pPr>
        <w:spacing w:after="0" w:line="181" w:lineRule="exact"/>
        <w:rPr>
          <w:rFonts w:ascii="Arial" w:cs="Arial" w:eastAsia="Arial" w:hAnsi="Arial"/>
          <w:sz w:val="16"/>
          <w:szCs w:val="16"/>
          <w:color w:val="auto"/>
        </w:rPr>
      </w:pPr>
    </w:p>
    <w:p>
      <w:pPr>
        <w:ind w:right="120" w:firstLine="375"/>
        <w:spacing w:after="0" w:line="241" w:lineRule="auto"/>
        <w:tabs>
          <w:tab w:leader="none" w:pos="606" w:val="left"/>
        </w:tabs>
        <w:numPr>
          <w:ilvl w:val="1"/>
          <w:numId w:val="81"/>
        </w:numPr>
        <w:rPr>
          <w:rFonts w:ascii="Arial" w:cs="Arial" w:eastAsia="Arial" w:hAnsi="Arial"/>
          <w:sz w:val="16"/>
          <w:szCs w:val="16"/>
          <w:color w:val="auto"/>
        </w:rPr>
      </w:pPr>
      <w:r>
        <w:rPr>
          <w:rFonts w:ascii="Arial" w:cs="Arial" w:eastAsia="Arial" w:hAnsi="Arial"/>
          <w:sz w:val="16"/>
          <w:szCs w:val="16"/>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184" w:lineRule="exact"/>
        <w:rPr>
          <w:rFonts w:ascii="Arial" w:cs="Arial" w:eastAsia="Arial" w:hAnsi="Arial"/>
          <w:sz w:val="16"/>
          <w:szCs w:val="16"/>
          <w:color w:val="auto"/>
        </w:rPr>
      </w:pPr>
    </w:p>
    <w:p>
      <w:pPr>
        <w:ind w:firstLine="2"/>
        <w:spacing w:after="0" w:line="251" w:lineRule="auto"/>
        <w:tabs>
          <w:tab w:leader="none" w:pos="173"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The Committee may, from time to time and upon such terms and conditions as it may determine, authorize</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granting or sale of Restricted Stock Units to Participants. Each such grant or sale may utilize any or all of the authorizations, and will be subject to all of the requirements, contained in the following provisions:</w:t>
      </w:r>
    </w:p>
    <w:p>
      <w:pPr>
        <w:spacing w:after="0" w:line="72" w:lineRule="exact"/>
        <w:rPr>
          <w:rFonts w:ascii="Arial" w:cs="Arial" w:eastAsia="Arial" w:hAnsi="Arial"/>
          <w:sz w:val="16"/>
          <w:szCs w:val="16"/>
          <w:color w:val="auto"/>
        </w:rPr>
      </w:pPr>
    </w:p>
    <w:p>
      <w:pPr>
        <w:jc w:val="both"/>
        <w:ind w:right="200" w:firstLine="375"/>
        <w:spacing w:after="0" w:line="302" w:lineRule="auto"/>
        <w:tabs>
          <w:tab w:leader="none" w:pos="606" w:val="left"/>
        </w:tabs>
        <w:numPr>
          <w:ilvl w:val="1"/>
          <w:numId w:val="82"/>
        </w:numPr>
        <w:rPr>
          <w:rFonts w:ascii="Arial" w:cs="Arial" w:eastAsia="Arial" w:hAnsi="Arial"/>
          <w:sz w:val="14"/>
          <w:szCs w:val="14"/>
          <w:color w:val="auto"/>
        </w:rPr>
      </w:pPr>
      <w:r>
        <w:rPr>
          <w:rFonts w:ascii="Arial" w:cs="Arial" w:eastAsia="Arial" w:hAnsi="Arial"/>
          <w:sz w:val="14"/>
          <w:szCs w:val="14"/>
          <w:color w:val="auto"/>
        </w:rPr>
        <w:t>Each such grant or sale will constitute the agreement by the Company to deliver Common Shares or cash, or a combination thereof, to the Participant in the future in consideration of the performance of services, but subject to the fulfillment of such conditions (which may include achievement regarding Management Objectives) during the Restriction Period as the Committee may specify.</w:t>
      </w:r>
    </w:p>
    <w:p>
      <w:pPr>
        <w:spacing w:after="0" w:line="143" w:lineRule="exact"/>
        <w:rPr>
          <w:rFonts w:ascii="Arial" w:cs="Arial" w:eastAsia="Arial" w:hAnsi="Arial"/>
          <w:sz w:val="14"/>
          <w:szCs w:val="14"/>
          <w:color w:val="auto"/>
        </w:rPr>
      </w:pPr>
    </w:p>
    <w:p>
      <w:pPr>
        <w:ind w:right="280" w:firstLine="375"/>
        <w:spacing w:after="0" w:line="263" w:lineRule="auto"/>
        <w:tabs>
          <w:tab w:leader="none" w:pos="606" w:val="left"/>
        </w:tabs>
        <w:numPr>
          <w:ilvl w:val="1"/>
          <w:numId w:val="82"/>
        </w:numPr>
        <w:rPr>
          <w:rFonts w:ascii="Arial" w:cs="Arial" w:eastAsia="Arial" w:hAnsi="Arial"/>
          <w:sz w:val="16"/>
          <w:szCs w:val="16"/>
          <w:color w:val="auto"/>
        </w:rPr>
      </w:pPr>
      <w:r>
        <w:rPr>
          <w:rFonts w:ascii="Arial" w:cs="Arial" w:eastAsia="Arial" w:hAnsi="Arial"/>
          <w:sz w:val="16"/>
          <w:szCs w:val="16"/>
          <w:color w:val="auto"/>
        </w:rPr>
        <w:t>Each such grant or sale may be made without additional consideration or in consideration of a payment by such Participant that is less than the Market Value per Share on the Date of Grant.</w:t>
      </w:r>
    </w:p>
    <w:p>
      <w:pPr>
        <w:spacing w:after="0" w:line="166" w:lineRule="exact"/>
        <w:rPr>
          <w:rFonts w:ascii="Arial" w:cs="Arial" w:eastAsia="Arial" w:hAnsi="Arial"/>
          <w:sz w:val="16"/>
          <w:szCs w:val="16"/>
          <w:color w:val="auto"/>
        </w:rPr>
      </w:pPr>
    </w:p>
    <w:p>
      <w:pPr>
        <w:ind w:firstLine="375"/>
        <w:spacing w:after="0" w:line="249" w:lineRule="auto"/>
        <w:tabs>
          <w:tab w:leader="none" w:pos="597" w:val="left"/>
        </w:tabs>
        <w:numPr>
          <w:ilvl w:val="1"/>
          <w:numId w:val="8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Plan, Restricted Stock Units may provide for continued vesting or the earlier lapse or other modification of the Restriction Period, including in the event of the retirement, death, disability or termination or employment of service of a Participant or in the event of a Change in Control.</w:t>
      </w:r>
    </w:p>
    <w:p>
      <w:pPr>
        <w:spacing w:after="0" w:line="178" w:lineRule="exact"/>
        <w:rPr>
          <w:rFonts w:ascii="Arial" w:cs="Arial" w:eastAsia="Arial" w:hAnsi="Arial"/>
          <w:sz w:val="16"/>
          <w:szCs w:val="16"/>
          <w:color w:val="auto"/>
        </w:rPr>
      </w:pPr>
    </w:p>
    <w:p>
      <w:pPr>
        <w:ind w:right="80" w:firstLine="375"/>
        <w:spacing w:after="0" w:line="241" w:lineRule="auto"/>
        <w:tabs>
          <w:tab w:leader="none" w:pos="606"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During the Restriction Period, the Participant will have no right to transfer any rights under his or her award and will have no rights of ownership in the Common Shares deliverable upon payment of the Restricted Stock Units and will have no right to vote them, but the Committee may, at or after the Date of Grant, authorize the payment of dividend equivalents on such Restricted Stock Units on a deferred and contingent basis, either in cash or in additional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dividend equivalents or other distributions on Common Shares underlying Restricted Stock Units shall be deferred until and paid contingent upon the vesting of such Restricted Stock Units.</w:t>
      </w:r>
    </w:p>
    <w:p>
      <w:pPr>
        <w:spacing w:after="0" w:line="186" w:lineRule="exact"/>
        <w:rPr>
          <w:rFonts w:ascii="Arial" w:cs="Arial" w:eastAsia="Arial" w:hAnsi="Arial"/>
          <w:sz w:val="16"/>
          <w:szCs w:val="16"/>
          <w:color w:val="auto"/>
        </w:rPr>
      </w:pPr>
    </w:p>
    <w:p>
      <w:pPr>
        <w:ind w:firstLine="375"/>
        <w:spacing w:after="0" w:line="249" w:lineRule="auto"/>
        <w:tabs>
          <w:tab w:leader="none" w:pos="606" w:val="left"/>
        </w:tabs>
        <w:numPr>
          <w:ilvl w:val="1"/>
          <w:numId w:val="82"/>
        </w:numPr>
        <w:rPr>
          <w:rFonts w:ascii="Arial" w:cs="Arial" w:eastAsia="Arial" w:hAnsi="Arial"/>
          <w:sz w:val="16"/>
          <w:szCs w:val="16"/>
          <w:color w:val="auto"/>
        </w:rPr>
      </w:pPr>
      <w:r>
        <w:rPr>
          <w:rFonts w:ascii="Arial" w:cs="Arial" w:eastAsia="Arial" w:hAnsi="Arial"/>
          <w:sz w:val="16"/>
          <w:szCs w:val="16"/>
          <w:color w:val="auto"/>
        </w:rPr>
        <w:t>Each grant or sale of Restricted Stock Units will specify the time and manner of payment of the Restricted Stock Units that have been earned. Each grant or sale will specify that the amount payable with respect thereto will be paid by the Company in Common Shares or cash, or a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80010</wp:posOffset>
            </wp:positionV>
            <wp:extent cx="699135" cy="1314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B-6</w:t>
      </w:r>
    </w:p>
    <w:p>
      <w:pPr>
        <w:sectPr>
          <w:pgSz w:w="11900" w:h="16838" w:orient="portrait"/>
          <w:cols w:equalWidth="0" w:num="1">
            <w:col w:w="9320"/>
          </w:cols>
          <w:pgMar w:left="1280" w:top="296" w:right="1299" w:bottom="1440" w:gutter="0" w:footer="0" w:header="0"/>
        </w:sectPr>
      </w:pPr>
    </w:p>
    <w:bookmarkStart w:id="102" w:name="page103"/>
    <w:bookmarkEnd w:id="102"/>
    <w:p>
      <w:pPr>
        <w:ind w:right="520" w:firstLine="375"/>
        <w:spacing w:after="0" w:line="335" w:lineRule="auto"/>
        <w:tabs>
          <w:tab w:leader="none" w:pos="563" w:val="left"/>
        </w:tabs>
        <w:numPr>
          <w:ilvl w:val="1"/>
          <w:numId w:val="8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Each grant or sale of Restricted Stock Units will be evidenced by an Evidence of Award. Each Evidence of Award will be subject to this Plan and will contain such terms and provisions, consistent with this Plan, as the Committee may approve.</w:t>
      </w:r>
    </w:p>
    <w:p>
      <w:pPr>
        <w:spacing w:after="0" w:line="118" w:lineRule="exact"/>
        <w:rPr>
          <w:rFonts w:ascii="Arial" w:cs="Arial" w:eastAsia="Arial" w:hAnsi="Arial"/>
          <w:sz w:val="14"/>
          <w:szCs w:val="14"/>
          <w:color w:val="auto"/>
        </w:rPr>
      </w:pPr>
    </w:p>
    <w:p>
      <w:pPr>
        <w:jc w:val="both"/>
        <w:ind w:right="320" w:firstLine="2"/>
        <w:spacing w:after="0" w:line="246" w:lineRule="auto"/>
        <w:tabs>
          <w:tab w:leader="none" w:pos="173"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Cash Incentive Awards, Performance Shares and Performance Units. </w:t>
      </w:r>
      <w:r>
        <w:rPr>
          <w:rFonts w:ascii="Arial" w:cs="Arial" w:eastAsia="Arial" w:hAnsi="Arial"/>
          <w:sz w:val="16"/>
          <w:szCs w:val="16"/>
          <w:color w:val="auto"/>
        </w:rPr>
        <w:t>The Committee may, from time to time and upon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76" w:lineRule="exact"/>
        <w:rPr>
          <w:rFonts w:ascii="Arial" w:cs="Arial" w:eastAsia="Arial" w:hAnsi="Arial"/>
          <w:sz w:val="16"/>
          <w:szCs w:val="16"/>
          <w:color w:val="auto"/>
        </w:rPr>
      </w:pPr>
    </w:p>
    <w:p>
      <w:pPr>
        <w:jc w:val="both"/>
        <w:ind w:firstLine="375"/>
        <w:spacing w:after="0" w:line="249" w:lineRule="auto"/>
        <w:tabs>
          <w:tab w:leader="none" w:pos="606" w:val="left"/>
        </w:tabs>
        <w:numPr>
          <w:ilvl w:val="1"/>
          <w:numId w:val="84"/>
        </w:numPr>
        <w:rPr>
          <w:rFonts w:ascii="Arial" w:cs="Arial" w:eastAsia="Arial" w:hAnsi="Arial"/>
          <w:sz w:val="16"/>
          <w:szCs w:val="16"/>
          <w:color w:val="auto"/>
        </w:rPr>
      </w:pPr>
      <w:r>
        <w:rPr>
          <w:rFonts w:ascii="Arial" w:cs="Arial" w:eastAsia="Arial" w:hAnsi="Arial"/>
          <w:sz w:val="16"/>
          <w:szCs w:val="16"/>
          <w:color w:val="auto"/>
        </w:rPr>
        <w:t>Each grant will specify the number or amount of Performance Shares or Performance Units, or amount payable with respect to a Cash Incentive Award, to which it pertains, which number or amount may be subject to adjustment to reflect changes in compensation or other factors.</w:t>
      </w:r>
    </w:p>
    <w:p>
      <w:pPr>
        <w:spacing w:after="0" w:line="178" w:lineRule="exact"/>
        <w:rPr>
          <w:rFonts w:ascii="Arial" w:cs="Arial" w:eastAsia="Arial" w:hAnsi="Arial"/>
          <w:sz w:val="16"/>
          <w:szCs w:val="16"/>
          <w:color w:val="auto"/>
        </w:rPr>
      </w:pPr>
    </w:p>
    <w:p>
      <w:pPr>
        <w:ind w:right="60" w:firstLine="375"/>
        <w:spacing w:after="0" w:line="245" w:lineRule="auto"/>
        <w:tabs>
          <w:tab w:leader="none" w:pos="606"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Performance Period with respect to each Cash Incentive Award or grant of Performance Shares or Performance Units will be such period of time as will be determined by the Committee, which may be subject to continued vesting or earlier lapse or other modification, including in the event of the retirement, death, disability or termination of employment or service of a Participant or in the event of a Change in Control.</w:t>
      </w:r>
    </w:p>
    <w:p>
      <w:pPr>
        <w:spacing w:after="0" w:line="181" w:lineRule="exact"/>
        <w:rPr>
          <w:rFonts w:ascii="Arial" w:cs="Arial" w:eastAsia="Arial" w:hAnsi="Arial"/>
          <w:sz w:val="16"/>
          <w:szCs w:val="16"/>
          <w:color w:val="auto"/>
        </w:rPr>
      </w:pPr>
    </w:p>
    <w:p>
      <w:pPr>
        <w:ind w:right="580" w:firstLine="375"/>
        <w:spacing w:after="0" w:line="263" w:lineRule="auto"/>
        <w:tabs>
          <w:tab w:leader="none" w:pos="597" w:val="left"/>
        </w:tabs>
        <w:numPr>
          <w:ilvl w:val="1"/>
          <w:numId w:val="84"/>
        </w:numPr>
        <w:rPr>
          <w:rFonts w:ascii="Arial" w:cs="Arial" w:eastAsia="Arial" w:hAnsi="Arial"/>
          <w:sz w:val="16"/>
          <w:szCs w:val="16"/>
          <w:color w:val="auto"/>
        </w:rPr>
      </w:pPr>
      <w:r>
        <w:rPr>
          <w:rFonts w:ascii="Arial" w:cs="Arial" w:eastAsia="Arial" w:hAnsi="Arial"/>
          <w:sz w:val="16"/>
          <w:szCs w:val="16"/>
          <w:color w:val="auto"/>
        </w:rPr>
        <w:t>Each grant of a Cash Incentive Award, Performance Shares or Performance Units will specify Management Objectives regarding the earning of the award.</w:t>
      </w:r>
    </w:p>
    <w:p>
      <w:pPr>
        <w:spacing w:after="0" w:line="166" w:lineRule="exact"/>
        <w:rPr>
          <w:rFonts w:ascii="Arial" w:cs="Arial" w:eastAsia="Arial" w:hAnsi="Arial"/>
          <w:sz w:val="16"/>
          <w:szCs w:val="16"/>
          <w:color w:val="auto"/>
        </w:rPr>
      </w:pPr>
    </w:p>
    <w:p>
      <w:pPr>
        <w:ind w:right="20" w:firstLine="375"/>
        <w:spacing w:after="0" w:line="263" w:lineRule="auto"/>
        <w:tabs>
          <w:tab w:leader="none" w:pos="606" w:val="left"/>
        </w:tabs>
        <w:numPr>
          <w:ilvl w:val="1"/>
          <w:numId w:val="84"/>
        </w:numPr>
        <w:rPr>
          <w:rFonts w:ascii="Arial" w:cs="Arial" w:eastAsia="Arial" w:hAnsi="Arial"/>
          <w:sz w:val="16"/>
          <w:szCs w:val="16"/>
          <w:color w:val="auto"/>
        </w:rPr>
      </w:pPr>
      <w:r>
        <w:rPr>
          <w:rFonts w:ascii="Arial" w:cs="Arial" w:eastAsia="Arial" w:hAnsi="Arial"/>
          <w:sz w:val="16"/>
          <w:szCs w:val="16"/>
          <w:color w:val="auto"/>
        </w:rPr>
        <w:t>Each grant will specify the time and manner of payment of a Cash Incentive Award, Performance Shares or Performance Units that have been earned.</w:t>
      </w:r>
    </w:p>
    <w:p>
      <w:pPr>
        <w:spacing w:after="0" w:line="166" w:lineRule="exact"/>
        <w:rPr>
          <w:rFonts w:ascii="Arial" w:cs="Arial" w:eastAsia="Arial" w:hAnsi="Arial"/>
          <w:sz w:val="16"/>
          <w:szCs w:val="16"/>
          <w:color w:val="auto"/>
        </w:rPr>
      </w:pPr>
    </w:p>
    <w:p>
      <w:pPr>
        <w:ind w:right="20" w:firstLine="375"/>
        <w:spacing w:after="0" w:line="245" w:lineRule="auto"/>
        <w:tabs>
          <w:tab w:leader="none" w:pos="606"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Committee may, on the Date of Grant of Performance Shares or Performance Units, provide for the payment of dividend equivalents to the holder thereof either in cash or in additional Common Shares, which dividend equivalents shall be subject to deferral and payment on a contingent basis based on the Participant’s earning and vesting of the Performance Shares or Performance Units, as applicable, with respect to which such dividend equivalents are paid.</w:t>
      </w:r>
    </w:p>
    <w:p>
      <w:pPr>
        <w:spacing w:after="0" w:line="181" w:lineRule="exact"/>
        <w:rPr>
          <w:rFonts w:ascii="Arial" w:cs="Arial" w:eastAsia="Arial" w:hAnsi="Arial"/>
          <w:sz w:val="16"/>
          <w:szCs w:val="16"/>
          <w:color w:val="auto"/>
        </w:rPr>
      </w:pPr>
    </w:p>
    <w:p>
      <w:pPr>
        <w:ind w:right="100" w:firstLine="375"/>
        <w:spacing w:after="0" w:line="249" w:lineRule="auto"/>
        <w:tabs>
          <w:tab w:leader="none" w:pos="563" w:val="left"/>
        </w:tabs>
        <w:numPr>
          <w:ilvl w:val="1"/>
          <w:numId w:val="84"/>
        </w:numPr>
        <w:rPr>
          <w:rFonts w:ascii="Arial" w:cs="Arial" w:eastAsia="Arial" w:hAnsi="Arial"/>
          <w:sz w:val="16"/>
          <w:szCs w:val="16"/>
          <w:color w:val="auto"/>
        </w:rPr>
      </w:pPr>
      <w:r>
        <w:rPr>
          <w:rFonts w:ascii="Arial" w:cs="Arial" w:eastAsia="Arial" w:hAnsi="Arial"/>
          <w:sz w:val="16"/>
          <w:szCs w:val="16"/>
          <w:color w:val="auto"/>
        </w:rPr>
        <w:t>Each grant of a Cash Incentive Award, Performance Shares or Performance Units will be evidenced by an Evidence of Award. Each Evidence of Award will be subject to this Plan and will contain such other terms and provisions, consistent with this Plan, as the Committee may approve.</w:t>
      </w:r>
    </w:p>
    <w:p>
      <w:pPr>
        <w:spacing w:after="0" w:line="176" w:lineRule="exact"/>
        <w:rPr>
          <w:rFonts w:ascii="Arial" w:cs="Arial" w:eastAsia="Arial" w:hAnsi="Arial"/>
          <w:sz w:val="16"/>
          <w:szCs w:val="16"/>
          <w:color w:val="auto"/>
        </w:rPr>
      </w:pPr>
    </w:p>
    <w:p>
      <w:pPr>
        <w:ind w:left="180" w:hanging="178"/>
        <w:spacing w:after="0"/>
        <w:tabs>
          <w:tab w:leader="none" w:pos="18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Other Awards.</w:t>
      </w:r>
    </w:p>
    <w:p>
      <w:pPr>
        <w:spacing w:after="0" w:line="204" w:lineRule="exact"/>
        <w:rPr>
          <w:rFonts w:ascii="Arial" w:cs="Arial" w:eastAsia="Arial" w:hAnsi="Arial"/>
          <w:sz w:val="16"/>
          <w:szCs w:val="16"/>
          <w:color w:val="auto"/>
        </w:rPr>
      </w:pPr>
    </w:p>
    <w:p>
      <w:pPr>
        <w:ind w:right="20" w:firstLine="375"/>
        <w:spacing w:after="0" w:line="239" w:lineRule="auto"/>
        <w:tabs>
          <w:tab w:leader="none" w:pos="606"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Subject to applicable law and the applicable limits set forth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the Committee may authorize the grant to any Participant of Common Shares or such other awards that may be denominated or payable in, valued in whole or in part by reference to, or otherwise based on, or related to, Common Shares or factors that may influence the value of such shares, including, without limitation, convertible or exchangeable debt securities, other rights convertible or exchangeable into Common Shares, purchase rights for Common Shares, awards with value and payment contingent upon performance of the Company or specified Subsidiaries, affiliates or other business units thereof or any other factors designated by the Committee, and awards valued by reference to the book value of the Common Shares or the value of securities of, or the performance of specified Subsidiaries or affiliates or other business units of the Company. The Committee will determine the terms and conditions of such awards. Common Shares delivered pursuant to an award in the nature of a purchase right granted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will be purchased for such consideration, paid for at such time, by such methods, and in such forms, including, without limitation, cash, Common Shares, other awards, notes or other property, as the Committee determines.</w:t>
      </w:r>
    </w:p>
    <w:p>
      <w:pPr>
        <w:spacing w:after="0" w:line="188" w:lineRule="exact"/>
        <w:rPr>
          <w:rFonts w:ascii="Arial" w:cs="Arial" w:eastAsia="Arial" w:hAnsi="Arial"/>
          <w:sz w:val="16"/>
          <w:szCs w:val="16"/>
          <w:color w:val="auto"/>
        </w:rPr>
      </w:pPr>
    </w:p>
    <w:p>
      <w:pPr>
        <w:ind w:right="240" w:firstLine="375"/>
        <w:spacing w:after="0" w:line="273" w:lineRule="auto"/>
        <w:tabs>
          <w:tab w:leader="none" w:pos="606"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Cash awards, as an element of or supplement to any other award granted under this Plan, may also be granted pursuant to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jc w:val="both"/>
        <w:ind w:right="40" w:firstLine="375"/>
        <w:spacing w:after="0" w:line="302" w:lineRule="auto"/>
        <w:tabs>
          <w:tab w:leader="none" w:pos="597" w:val="left"/>
        </w:tabs>
        <w:numPr>
          <w:ilvl w:val="1"/>
          <w:numId w:val="84"/>
        </w:numPr>
        <w:rPr>
          <w:rFonts w:ascii="Arial" w:cs="Arial" w:eastAsia="Arial" w:hAnsi="Arial"/>
          <w:sz w:val="14"/>
          <w:szCs w:val="14"/>
          <w:color w:val="auto"/>
        </w:rPr>
      </w:pPr>
      <w:r>
        <w:rPr>
          <w:rFonts w:ascii="Arial" w:cs="Arial" w:eastAsia="Arial" w:hAnsi="Arial"/>
          <w:sz w:val="14"/>
          <w:szCs w:val="14"/>
          <w:color w:val="auto"/>
        </w:rPr>
        <w:t>The Committee may authorize the grant of Common Shares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w:t>
      </w:r>
    </w:p>
    <w:p>
      <w:pPr>
        <w:spacing w:after="0" w:line="143" w:lineRule="exact"/>
        <w:rPr>
          <w:rFonts w:ascii="Arial" w:cs="Arial" w:eastAsia="Arial" w:hAnsi="Arial"/>
          <w:sz w:val="14"/>
          <w:szCs w:val="14"/>
          <w:color w:val="auto"/>
        </w:rPr>
      </w:pPr>
    </w:p>
    <w:p>
      <w:pPr>
        <w:ind w:right="440" w:firstLine="375"/>
        <w:spacing w:after="0" w:line="273" w:lineRule="auto"/>
        <w:tabs>
          <w:tab w:leader="none" w:pos="606"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The Committee may, at or after the Date of Grant, authorize the payment of dividends or dividend equivalents on awards granted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on a deferred and contingent basis, either in cash or in additional Common Shares;</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B-7</w:t>
      </w:r>
    </w:p>
    <w:p>
      <w:pPr>
        <w:sectPr>
          <w:pgSz w:w="11900" w:h="16838" w:orient="portrait"/>
          <w:cols w:equalWidth="0" w:num="1">
            <w:col w:w="9320"/>
          </w:cols>
          <w:pgMar w:left="1280" w:top="296" w:right="1299" w:bottom="1440" w:gutter="0" w:footer="0" w:header="0"/>
        </w:sectPr>
      </w:pPr>
    </w:p>
    <w:bookmarkStart w:id="103" w:name="page104"/>
    <w:bookmarkEnd w:id="103"/>
    <w:p>
      <w:pPr>
        <w:ind w:right="40"/>
        <w:spacing w:after="0" w:line="26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dividend equivalents or other distributions on Common Shares underlying awards granted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shall be deferred until and paid contingent upon the earning and vesting of such awards.</w:t>
      </w:r>
    </w:p>
    <w:p>
      <w:pPr>
        <w:spacing w:after="0" w:line="162" w:lineRule="exact"/>
        <w:rPr>
          <w:sz w:val="20"/>
          <w:szCs w:val="20"/>
          <w:color w:val="auto"/>
        </w:rPr>
      </w:pPr>
    </w:p>
    <w:p>
      <w:pPr>
        <w:ind w:right="40" w:firstLine="375"/>
        <w:spacing w:after="0" w:line="251" w:lineRule="auto"/>
        <w:tabs>
          <w:tab w:leader="none" w:pos="606"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Each grant of an award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spacing w:after="0" w:line="173" w:lineRule="exact"/>
        <w:rPr>
          <w:rFonts w:ascii="Arial" w:cs="Arial" w:eastAsia="Arial" w:hAnsi="Arial"/>
          <w:sz w:val="16"/>
          <w:szCs w:val="16"/>
          <w:color w:val="auto"/>
        </w:rPr>
      </w:pPr>
    </w:p>
    <w:p>
      <w:pPr>
        <w:jc w:val="both"/>
        <w:ind w:right="300" w:firstLine="375"/>
        <w:spacing w:after="0" w:line="251" w:lineRule="auto"/>
        <w:tabs>
          <w:tab w:leader="none" w:pos="563"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Plan, awards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may provide for the earning or vesting of, or earlier elimination of restrictions applicable to, such award, including in the event of the retirement, death, disability or termination of employment or service of a Participant or in the event of a Change in Control.</w:t>
      </w:r>
    </w:p>
    <w:p>
      <w:pPr>
        <w:spacing w:after="0" w:line="173" w:lineRule="exact"/>
        <w:rPr>
          <w:rFonts w:ascii="Arial" w:cs="Arial" w:eastAsia="Arial" w:hAnsi="Arial"/>
          <w:sz w:val="16"/>
          <w:szCs w:val="16"/>
          <w:color w:val="auto"/>
        </w:rPr>
      </w:pPr>
    </w:p>
    <w:p>
      <w:pPr>
        <w:ind w:left="260" w:hanging="258"/>
        <w:spacing w:after="0"/>
        <w:tabs>
          <w:tab w:leader="none" w:pos="260"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Administration of this Plan.</w:t>
      </w:r>
    </w:p>
    <w:p>
      <w:pPr>
        <w:spacing w:after="0" w:line="206" w:lineRule="exact"/>
        <w:rPr>
          <w:rFonts w:ascii="Arial" w:cs="Arial" w:eastAsia="Arial" w:hAnsi="Arial"/>
          <w:sz w:val="16"/>
          <w:szCs w:val="16"/>
          <w:color w:val="auto"/>
        </w:rPr>
      </w:pPr>
    </w:p>
    <w:p>
      <w:pPr>
        <w:ind w:right="120" w:firstLine="375"/>
        <w:spacing w:after="0" w:line="291" w:lineRule="auto"/>
        <w:tabs>
          <w:tab w:leader="none" w:pos="606" w:val="left"/>
        </w:tabs>
        <w:numPr>
          <w:ilvl w:val="1"/>
          <w:numId w:val="86"/>
        </w:numPr>
        <w:rPr>
          <w:rFonts w:ascii="Arial" w:cs="Arial" w:eastAsia="Arial" w:hAnsi="Arial"/>
          <w:sz w:val="14"/>
          <w:szCs w:val="14"/>
          <w:color w:val="auto"/>
        </w:rPr>
      </w:pPr>
      <w:r>
        <w:rPr>
          <w:rFonts w:ascii="Arial" w:cs="Arial" w:eastAsia="Arial" w:hAnsi="Arial"/>
          <w:sz w:val="14"/>
          <w:szCs w:val="14"/>
          <w:color w:val="auto"/>
        </w:rPr>
        <w:t xml:space="preserve">This Plan will be administered by the Committee;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at the discretion of the Board, this Plan may be administered by the Board, including with respect to the administration of any responsibilities and duties held by the Committee hereunder.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151" w:lineRule="exact"/>
        <w:rPr>
          <w:rFonts w:ascii="Arial" w:cs="Arial" w:eastAsia="Arial" w:hAnsi="Arial"/>
          <w:sz w:val="14"/>
          <w:szCs w:val="14"/>
          <w:color w:val="auto"/>
        </w:rPr>
      </w:pPr>
    </w:p>
    <w:p>
      <w:pPr>
        <w:ind w:right="100" w:firstLine="375"/>
        <w:spacing w:after="0" w:line="241" w:lineRule="auto"/>
        <w:tabs>
          <w:tab w:leader="none" w:pos="606"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186" w:lineRule="exact"/>
        <w:rPr>
          <w:rFonts w:ascii="Arial" w:cs="Arial" w:eastAsia="Arial" w:hAnsi="Arial"/>
          <w:sz w:val="16"/>
          <w:szCs w:val="16"/>
          <w:color w:val="auto"/>
        </w:rPr>
      </w:pPr>
    </w:p>
    <w:p>
      <w:pPr>
        <w:ind w:right="100" w:firstLine="375"/>
        <w:spacing w:after="0" w:line="239" w:lineRule="auto"/>
        <w:tabs>
          <w:tab w:leader="none" w:pos="597"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To the extent permitted by law, and in compliance with any applicable legal requirements, the Committee may, by resolution, authorize one or more officers of the Company to authorize the granting or sale of awards under this Plan on the same basis as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Committee will not delegate such authority to any such officer(s) for awards granted to such officer(s) or any employee who is an officer (for purposes of Section 16 of the Exchange Act), Director, or more than 10% “beneficial owner” (as such term is defined in Rule 13d-3 promulgated under the Exchange Act) of any class of the Company’s equity securities that is registered pursuant to Section 12 of the Exchange Act, as determined in accordance with Section 16 of the Exchange Act; and (ii) the officer(s) will report periodically to the Committee regarding the nature and scope of the awards granted pursuant to the authority delegated.</w:t>
      </w:r>
    </w:p>
    <w:p>
      <w:pPr>
        <w:spacing w:after="0" w:line="182" w:lineRule="exact"/>
        <w:rPr>
          <w:rFonts w:ascii="Arial" w:cs="Arial" w:eastAsia="Arial" w:hAnsi="Arial"/>
          <w:sz w:val="16"/>
          <w:szCs w:val="16"/>
          <w:color w:val="auto"/>
        </w:rPr>
      </w:pPr>
    </w:p>
    <w:p>
      <w:pPr>
        <w:ind w:firstLine="2"/>
        <w:spacing w:after="0" w:line="275" w:lineRule="auto"/>
        <w:tabs>
          <w:tab w:leader="none" w:pos="247" w:val="left"/>
        </w:tabs>
        <w:numPr>
          <w:ilvl w:val="0"/>
          <w:numId w:val="86"/>
        </w:numPr>
        <w:rPr>
          <w:rFonts w:ascii="Arial" w:cs="Arial" w:eastAsia="Arial" w:hAnsi="Arial"/>
          <w:sz w:val="14"/>
          <w:szCs w:val="14"/>
          <w:color w:val="auto"/>
        </w:rPr>
      </w:pPr>
      <w:r>
        <w:rPr>
          <w:rFonts w:ascii="Arial" w:cs="Arial" w:eastAsia="Arial" w:hAnsi="Arial"/>
          <w:sz w:val="14"/>
          <w:szCs w:val="14"/>
          <w:b w:val="1"/>
          <w:bCs w:val="1"/>
          <w:color w:val="auto"/>
        </w:rPr>
        <w:t xml:space="preserve">Adjustments. </w:t>
      </w:r>
      <w:r>
        <w:rPr>
          <w:rFonts w:ascii="Arial" w:cs="Arial" w:eastAsia="Arial" w:hAnsi="Arial"/>
          <w:sz w:val="14"/>
          <w:szCs w:val="14"/>
          <w:color w:val="auto"/>
        </w:rPr>
        <w:t>The Committee shall make or provide for such adjustments in the number of and kind of Common Shares covered by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outstanding Option Rights, Appreciation Rights, Restricted Stock, Restricted Stock Units, Performance Shares and Performance Units granted hereunder and, if applicable, in the number of and kind of Common Shares covered by other awards granted pursuant to </w:t>
      </w:r>
      <w:r>
        <w:rPr>
          <w:rFonts w:ascii="Arial" w:cs="Arial" w:eastAsia="Arial" w:hAnsi="Arial"/>
          <w:sz w:val="14"/>
          <w:szCs w:val="14"/>
          <w:b w:val="1"/>
          <w:bCs w:val="1"/>
          <w:u w:val="single" w:color="auto"/>
          <w:color w:val="auto"/>
        </w:rPr>
        <w:t>Section 9</w:t>
      </w:r>
      <w:r>
        <w:rPr>
          <w:rFonts w:ascii="Arial" w:cs="Arial" w:eastAsia="Arial" w:hAnsi="Arial"/>
          <w:sz w:val="14"/>
          <w:szCs w:val="14"/>
          <w:b w:val="1"/>
          <w:bCs w:val="1"/>
          <w:color w:val="auto"/>
        </w:rPr>
        <w:t xml:space="preserve"> </w:t>
      </w:r>
      <w:r>
        <w:rPr>
          <w:rFonts w:ascii="Arial" w:cs="Arial" w:eastAsia="Arial" w:hAnsi="Arial"/>
          <w:sz w:val="14"/>
          <w:szCs w:val="14"/>
          <w:color w:val="auto"/>
        </w:rPr>
        <w:t>of this Plan, in the Option Price and Base Price provided in outstanding Option Rights and Appreciation Rights, respectively,</w:t>
      </w:r>
      <w:r>
        <w:rPr>
          <w:rFonts w:ascii="Arial" w:cs="Arial" w:eastAsia="Arial" w:hAnsi="Arial"/>
          <w:sz w:val="14"/>
          <w:szCs w:val="14"/>
          <w:b w:val="1"/>
          <w:bCs w:val="1"/>
          <w:color w:val="auto"/>
        </w:rPr>
        <w:t xml:space="preserve"> </w:t>
      </w:r>
      <w:r>
        <w:rPr>
          <w:rFonts w:ascii="Arial" w:cs="Arial" w:eastAsia="Arial" w:hAnsi="Arial"/>
          <w:sz w:val="14"/>
          <w:szCs w:val="14"/>
          <w:color w:val="auto"/>
        </w:rPr>
        <w:t>in Cash Incentive Awards, and in other award terms, as the Committee, in its sole discretion, exercised in good faith, determines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188595</wp:posOffset>
            </wp:positionV>
            <wp:extent cx="699135" cy="1314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B-8</w:t>
      </w:r>
    </w:p>
    <w:p>
      <w:pPr>
        <w:sectPr>
          <w:pgSz w:w="11900" w:h="16838" w:orient="portrait"/>
          <w:cols w:equalWidth="0" w:num="1">
            <w:col w:w="9320"/>
          </w:cols>
          <w:pgMar w:left="1280" w:top="293" w:right="1299" w:bottom="1440" w:gutter="0" w:footer="0" w:header="0"/>
        </w:sectPr>
      </w:pPr>
    </w:p>
    <w:bookmarkStart w:id="104" w:name="page105"/>
    <w:bookmarkEnd w:id="104"/>
    <w:p>
      <w:pPr>
        <w:ind w:right="60"/>
        <w:spacing w:after="0" w:line="2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 xml:space="preserve">any such transaction or event or Change in Control, the Committee may in its discretion elect to cancel such Option Right or Appreciation Right without any payment to the person holding such Option Right or Appreciation Right. The Committee shall also make or provide for such adjustments in the numbers of Common Shares specified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as the Committee in its sole discretion, exercised in good faith, determines is appropriate to reflect any transaction or event described in this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adjustment to the number specified in </w:t>
      </w:r>
      <w:r>
        <w:rPr>
          <w:rFonts w:ascii="Arial" w:cs="Arial" w:eastAsia="Arial" w:hAnsi="Arial"/>
          <w:sz w:val="16"/>
          <w:szCs w:val="16"/>
          <w:b w:val="1"/>
          <w:bCs w:val="1"/>
          <w:u w:val="single" w:color="auto"/>
          <w:color w:val="auto"/>
        </w:rPr>
        <w:t>Section 3(c)</w:t>
      </w:r>
      <w:r>
        <w:rPr>
          <w:rFonts w:ascii="Arial" w:cs="Arial" w:eastAsia="Arial" w:hAnsi="Arial"/>
          <w:sz w:val="16"/>
          <w:szCs w:val="16"/>
          <w:color w:val="auto"/>
        </w:rPr>
        <w:t xml:space="preserve"> of this Plan will be made only if and to the extent that such adjustment would not cause any Option Right intended to qualify as an Incentive Stock Option to fail to so qualify.</w:t>
      </w:r>
    </w:p>
    <w:p>
      <w:pPr>
        <w:spacing w:after="0" w:line="185" w:lineRule="exact"/>
        <w:rPr>
          <w:sz w:val="20"/>
          <w:szCs w:val="20"/>
          <w:color w:val="auto"/>
        </w:rPr>
      </w:pPr>
    </w:p>
    <w:p>
      <w:pPr>
        <w:jc w:val="both"/>
        <w:ind w:right="140" w:firstLine="2"/>
        <w:spacing w:after="0" w:line="251" w:lineRule="auto"/>
        <w:tabs>
          <w:tab w:leader="none" w:pos="259"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For purposes of this Plan, except as may be otherwise prescribed by the Committee in an Evidence of Award</w:t>
      </w:r>
      <w:r>
        <w:rPr>
          <w:rFonts w:ascii="Arial" w:cs="Arial" w:eastAsia="Arial" w:hAnsi="Arial"/>
          <w:sz w:val="16"/>
          <w:szCs w:val="16"/>
          <w:b w:val="1"/>
          <w:bCs w:val="1"/>
          <w:color w:val="auto"/>
        </w:rPr>
        <w:t xml:space="preserve"> </w:t>
      </w:r>
      <w:r>
        <w:rPr>
          <w:rFonts w:ascii="Arial" w:cs="Arial" w:eastAsia="Arial" w:hAnsi="Arial"/>
          <w:sz w:val="16"/>
          <w:szCs w:val="16"/>
          <w:color w:val="auto"/>
        </w:rPr>
        <w:t>made under this Plan, a “Change in Control” will be deemed to have occurred upon the occurrence (after the Effective Date) of any of the following events:</w:t>
      </w:r>
    </w:p>
    <w:p>
      <w:pPr>
        <w:spacing w:after="0" w:line="72" w:lineRule="exact"/>
        <w:rPr>
          <w:rFonts w:ascii="Arial" w:cs="Arial" w:eastAsia="Arial" w:hAnsi="Arial"/>
          <w:sz w:val="16"/>
          <w:szCs w:val="16"/>
          <w:color w:val="auto"/>
        </w:rPr>
      </w:pPr>
    </w:p>
    <w:p>
      <w:pPr>
        <w:ind w:right="40" w:firstLine="375"/>
        <w:spacing w:after="0" w:line="238" w:lineRule="auto"/>
        <w:tabs>
          <w:tab w:leader="none" w:pos="606" w:val="left"/>
        </w:tabs>
        <w:numPr>
          <w:ilvl w:val="1"/>
          <w:numId w:val="87"/>
        </w:numPr>
        <w:rPr>
          <w:rFonts w:ascii="Arial" w:cs="Arial" w:eastAsia="Arial" w:hAnsi="Arial"/>
          <w:sz w:val="16"/>
          <w:szCs w:val="16"/>
          <w:color w:val="auto"/>
        </w:rPr>
      </w:pPr>
      <w:r>
        <w:rPr>
          <w:rFonts w:ascii="Arial" w:cs="Arial" w:eastAsia="Arial" w:hAnsi="Arial"/>
          <w:sz w:val="16"/>
          <w:szCs w:val="16"/>
          <w:color w:val="auto"/>
        </w:rPr>
        <w:t>Any individual, entity or group (within the meaning of Section 13(d)(3) or 14(d)(2) of the Exchange Act) (a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becomes the beneficial owner (within the meaning of Rule 13d-3 promulgated under the Exchange Act) of 20% or more of the combined voting power of the then-outstanding voting securities of the Company entitled to vote generally in the election of Directors (the “</w:t>
      </w:r>
      <w:r>
        <w:rPr>
          <w:rFonts w:ascii="Arial" w:cs="Arial" w:eastAsia="Arial" w:hAnsi="Arial"/>
          <w:sz w:val="16"/>
          <w:szCs w:val="16"/>
          <w:b w:val="1"/>
          <w:bCs w:val="1"/>
          <w:i w:val="1"/>
          <w:iCs w:val="1"/>
          <w:color w:val="auto"/>
        </w:rPr>
        <w:t>Outstanding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Company Voting Securities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for purposes of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u w:val="single" w:color="auto"/>
          <w:color w:val="auto"/>
        </w:rPr>
        <w:t>Section 12(a)</w:t>
      </w:r>
      <w:r>
        <w:rPr>
          <w:rFonts w:ascii="Arial" w:cs="Arial" w:eastAsia="Arial" w:hAnsi="Arial"/>
          <w:sz w:val="16"/>
          <w:szCs w:val="16"/>
          <w:color w:val="auto"/>
        </w:rPr>
        <w:t>, the following acquisitions will not constitute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 Change in Control: (A) any acquisition directly from the Company; (B) any acquisition by the Company; (C) any acquisition by any employee benefit plan (or related trust) sponsored or maintained by the Company or any affiliate of the Company; (D) any acquisition by any Person pursuant to a transaction that complies with </w:t>
      </w:r>
      <w:r>
        <w:rPr>
          <w:rFonts w:ascii="Arial" w:cs="Arial" w:eastAsia="Arial" w:hAnsi="Arial"/>
          <w:sz w:val="16"/>
          <w:szCs w:val="16"/>
          <w:b w:val="1"/>
          <w:bCs w:val="1"/>
          <w:u w:val="single" w:color="auto"/>
          <w:color w:val="auto"/>
        </w:rPr>
        <w:t>Sections 12(c)(i)</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12(c)(ii)</w:t>
      </w:r>
      <w:r>
        <w:rPr>
          <w:rFonts w:ascii="Arial" w:cs="Arial" w:eastAsia="Arial" w:hAnsi="Arial"/>
          <w:sz w:val="16"/>
          <w:szCs w:val="16"/>
          <w:color w:val="auto"/>
        </w:rPr>
        <w:t>; or (E) any acquisition of beneficial ownership of not more than 25% of the Outstanding Company Voting Securities by any Person that is entitled to and does report such beneficial ownership on Schedule 13G under the Exchange Act (a “</w:t>
      </w:r>
      <w:r>
        <w:rPr>
          <w:rFonts w:ascii="Arial" w:cs="Arial" w:eastAsia="Arial" w:hAnsi="Arial"/>
          <w:sz w:val="16"/>
          <w:szCs w:val="16"/>
          <w:b w:val="1"/>
          <w:bCs w:val="1"/>
          <w:i w:val="1"/>
          <w:iCs w:val="1"/>
          <w:color w:val="auto"/>
        </w:rPr>
        <w:t>13G Filer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this clause (E) will cease to apply when a Person who is a Schedule 13G Filer becomes required to file a Schedule 13D under the Exchange Act with respect to beneficial ownership of 20% or more of the Outstanding Company Voting Securities. Notwithstanding any other provision hereof, if a Business Combination is completed and the Outstanding Company Voting Securities are converted into voting securities of the Combined Company, but such Business Combination does not constitute a “Change in Control” under </w:t>
      </w:r>
      <w:r>
        <w:rPr>
          <w:rFonts w:ascii="Arial" w:cs="Arial" w:eastAsia="Arial" w:hAnsi="Arial"/>
          <w:sz w:val="16"/>
          <w:szCs w:val="16"/>
          <w:b w:val="1"/>
          <w:bCs w:val="1"/>
          <w:u w:val="single" w:color="auto"/>
          <w:color w:val="auto"/>
        </w:rPr>
        <w:t>Section 12(c)</w:t>
      </w:r>
      <w:r>
        <w:rPr>
          <w:rFonts w:ascii="Arial" w:cs="Arial" w:eastAsia="Arial" w:hAnsi="Arial"/>
          <w:sz w:val="16"/>
          <w:szCs w:val="16"/>
          <w:color w:val="auto"/>
        </w:rPr>
        <w:t>, “</w:t>
      </w:r>
      <w:r>
        <w:rPr>
          <w:rFonts w:ascii="Arial" w:cs="Arial" w:eastAsia="Arial" w:hAnsi="Arial"/>
          <w:sz w:val="16"/>
          <w:szCs w:val="16"/>
          <w:b w:val="1"/>
          <w:bCs w:val="1"/>
          <w:i w:val="1"/>
          <w:iCs w:val="1"/>
          <w:color w:val="auto"/>
        </w:rPr>
        <w:t>Outstanding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Company Voting Securities</w:t>
      </w:r>
      <w:r>
        <w:rPr>
          <w:rFonts w:ascii="Arial" w:cs="Arial" w:eastAsia="Arial" w:hAnsi="Arial"/>
          <w:sz w:val="16"/>
          <w:szCs w:val="16"/>
          <w:color w:val="auto"/>
        </w:rPr>
        <w:t>” thereafter means voting securities of the Combined Company entitled to vote generally in the election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members of the Combined Company Board.</w:t>
      </w:r>
    </w:p>
    <w:p>
      <w:pPr>
        <w:spacing w:after="0" w:line="189" w:lineRule="exact"/>
        <w:rPr>
          <w:rFonts w:ascii="Arial" w:cs="Arial" w:eastAsia="Arial" w:hAnsi="Arial"/>
          <w:sz w:val="16"/>
          <w:szCs w:val="16"/>
          <w:color w:val="auto"/>
        </w:rPr>
      </w:pPr>
    </w:p>
    <w:p>
      <w:pPr>
        <w:ind w:right="160" w:firstLine="375"/>
        <w:spacing w:after="0" w:line="241" w:lineRule="auto"/>
        <w:tabs>
          <w:tab w:leader="none" w:pos="606" w:val="left"/>
        </w:tabs>
        <w:numPr>
          <w:ilvl w:val="1"/>
          <w:numId w:val="87"/>
        </w:numPr>
        <w:rPr>
          <w:rFonts w:ascii="Arial" w:cs="Arial" w:eastAsia="Arial" w:hAnsi="Arial"/>
          <w:sz w:val="16"/>
          <w:szCs w:val="16"/>
          <w:color w:val="auto"/>
        </w:rPr>
      </w:pPr>
      <w:r>
        <w:rPr>
          <w:rFonts w:ascii="Arial" w:cs="Arial" w:eastAsia="Arial" w:hAnsi="Arial"/>
          <w:sz w:val="16"/>
          <w:szCs w:val="16"/>
          <w:color w:val="auto"/>
        </w:rPr>
        <w:t>Any time at which individuals who, as of the Effective Date, constitute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xml:space="preserve">”) cease for any reason to constitute a majority of the Board other than as a result of a Business Combination that does not constitute a “Change in Control” under </w:t>
      </w:r>
      <w:r>
        <w:rPr>
          <w:rFonts w:ascii="Arial" w:cs="Arial" w:eastAsia="Arial" w:hAnsi="Arial"/>
          <w:sz w:val="16"/>
          <w:szCs w:val="16"/>
          <w:b w:val="1"/>
          <w:bCs w:val="1"/>
          <w:u w:val="single" w:color="auto"/>
          <w:color w:val="auto"/>
        </w:rPr>
        <w:t>Section 12(a)</w:t>
      </w:r>
      <w:r>
        <w:rPr>
          <w:rFonts w:ascii="Arial" w:cs="Arial" w:eastAsia="Arial" w:hAnsi="Arial"/>
          <w:sz w:val="16"/>
          <w:szCs w:val="16"/>
          <w:color w:val="auto"/>
        </w:rPr>
        <w:t xml:space="preserve"> or under </w:t>
      </w:r>
      <w:r>
        <w:rPr>
          <w:rFonts w:ascii="Arial" w:cs="Arial" w:eastAsia="Arial" w:hAnsi="Arial"/>
          <w:sz w:val="16"/>
          <w:szCs w:val="16"/>
          <w:b w:val="1"/>
          <w:bCs w:val="1"/>
          <w:u w:val="single" w:color="auto"/>
          <w:color w:val="auto"/>
        </w:rPr>
        <w:t>Sections 12(c)(i)</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12(c)(ii)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any individual becoming a Director subsequent to the date hereof whose election, or nomination for election by the Stockholders, was approved by a vote of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(an “</w:t>
      </w:r>
      <w:r>
        <w:rPr>
          <w:rFonts w:ascii="Arial" w:cs="Arial" w:eastAsia="Arial" w:hAnsi="Arial"/>
          <w:sz w:val="16"/>
          <w:szCs w:val="16"/>
          <w:b w:val="1"/>
          <w:bCs w:val="1"/>
          <w:i w:val="1"/>
          <w:iCs w:val="1"/>
          <w:color w:val="auto"/>
        </w:rPr>
        <w:t>Election Contest</w:t>
      </w:r>
      <w:r>
        <w:rPr>
          <w:rFonts w:ascii="Arial" w:cs="Arial" w:eastAsia="Arial" w:hAnsi="Arial"/>
          <w:sz w:val="16"/>
          <w:szCs w:val="16"/>
          <w:color w:val="auto"/>
        </w:rPr>
        <w:t>”);</w:t>
      </w:r>
    </w:p>
    <w:p>
      <w:pPr>
        <w:spacing w:after="0" w:line="179" w:lineRule="exact"/>
        <w:rPr>
          <w:rFonts w:ascii="Arial" w:cs="Arial" w:eastAsia="Arial" w:hAnsi="Arial"/>
          <w:sz w:val="16"/>
          <w:szCs w:val="16"/>
          <w:color w:val="auto"/>
        </w:rPr>
      </w:pPr>
    </w:p>
    <w:p>
      <w:pPr>
        <w:ind w:right="20" w:firstLine="375"/>
        <w:spacing w:after="0"/>
        <w:tabs>
          <w:tab w:leader="none" w:pos="597" w:val="left"/>
        </w:tabs>
        <w:numPr>
          <w:ilvl w:val="1"/>
          <w:numId w:val="87"/>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no Person (excluding any corporation resulting from such Business Combination or any employee benefit plan (or related trust) of the Company or such corporation resulting from such Business Combination (the “</w:t>
      </w:r>
      <w:r>
        <w:rPr>
          <w:rFonts w:ascii="Arial" w:cs="Arial" w:eastAsia="Arial" w:hAnsi="Arial"/>
          <w:sz w:val="16"/>
          <w:szCs w:val="16"/>
          <w:b w:val="1"/>
          <w:bCs w:val="1"/>
          <w:i w:val="1"/>
          <w:iCs w:val="1"/>
          <w:color w:val="auto"/>
        </w:rPr>
        <w:t>Combined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beneficially owns, directly or indirectly, such number of the then-Outstanding Company Voting Securities as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constitute a “Change in Control” under </w:t>
      </w:r>
      <w:r>
        <w:rPr>
          <w:rFonts w:ascii="Arial" w:cs="Arial" w:eastAsia="Arial" w:hAnsi="Arial"/>
          <w:sz w:val="16"/>
          <w:szCs w:val="16"/>
          <w:b w:val="1"/>
          <w:bCs w:val="1"/>
          <w:u w:val="single" w:color="auto"/>
          <w:color w:val="auto"/>
        </w:rPr>
        <w:t>Section 12(a)</w:t>
      </w:r>
      <w:r>
        <w:rPr>
          <w:rFonts w:ascii="Arial" w:cs="Arial" w:eastAsia="Arial" w:hAnsi="Arial"/>
          <w:sz w:val="16"/>
          <w:szCs w:val="16"/>
          <w:color w:val="auto"/>
        </w:rPr>
        <w:t>, and at least one-half of the members of the board of directors (or, for a non-corporate entity, equivalent governing body) of the entity resulting from such Business Combination (the “</w:t>
      </w:r>
      <w:r>
        <w:rPr>
          <w:rFonts w:ascii="Arial" w:cs="Arial" w:eastAsia="Arial" w:hAnsi="Arial"/>
          <w:sz w:val="16"/>
          <w:szCs w:val="16"/>
          <w:b w:val="1"/>
          <w:bCs w:val="1"/>
          <w:i w:val="1"/>
          <w:iCs w:val="1"/>
          <w:color w:val="auto"/>
        </w:rPr>
        <w:t>Combined Company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were members of the Incumbent Board at the time of the execution of the initial agreement or of the action of the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providing for such Business Combination (the “</w:t>
      </w:r>
      <w:r>
        <w:rPr>
          <w:rFonts w:ascii="Arial" w:cs="Arial" w:eastAsia="Arial" w:hAnsi="Arial"/>
          <w:sz w:val="16"/>
          <w:szCs w:val="16"/>
          <w:b w:val="1"/>
          <w:bCs w:val="1"/>
          <w:i w:val="1"/>
          <w:iCs w:val="1"/>
          <w:color w:val="auto"/>
        </w:rPr>
        <w:t>Business Combination Agreement</w:t>
      </w:r>
      <w:r>
        <w:rPr>
          <w:rFonts w:ascii="Arial" w:cs="Arial" w:eastAsia="Arial" w:hAnsi="Arial"/>
          <w:sz w:val="16"/>
          <w:szCs w:val="16"/>
          <w:color w:val="auto"/>
        </w:rPr>
        <w:t>”); or</w:t>
      </w:r>
    </w:p>
    <w:p>
      <w:pPr>
        <w:spacing w:after="0" w:line="180" w:lineRule="exact"/>
        <w:rPr>
          <w:rFonts w:ascii="Arial" w:cs="Arial" w:eastAsia="Arial" w:hAnsi="Arial"/>
          <w:sz w:val="16"/>
          <w:szCs w:val="16"/>
          <w:color w:val="auto"/>
        </w:rPr>
      </w:pPr>
    </w:p>
    <w:p>
      <w:pPr>
        <w:ind w:left="600" w:hanging="225"/>
        <w:spacing w:after="0"/>
        <w:tabs>
          <w:tab w:leader="none" w:pos="6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Approval by the Stockholders of a complete liquidation or dissolution of the Company.</w:t>
      </w:r>
    </w:p>
    <w:p>
      <w:pPr>
        <w:spacing w:after="0" w:line="202" w:lineRule="exact"/>
        <w:rPr>
          <w:rFonts w:ascii="Arial" w:cs="Arial" w:eastAsia="Arial" w:hAnsi="Arial"/>
          <w:sz w:val="16"/>
          <w:szCs w:val="16"/>
          <w:color w:val="auto"/>
        </w:rPr>
      </w:pPr>
    </w:p>
    <w:p>
      <w:pPr>
        <w:ind w:right="340" w:firstLine="2"/>
        <w:spacing w:after="0" w:line="338" w:lineRule="auto"/>
        <w:tabs>
          <w:tab w:leader="none" w:pos="259" w:val="left"/>
        </w:tabs>
        <w:numPr>
          <w:ilvl w:val="0"/>
          <w:numId w:val="87"/>
        </w:numPr>
        <w:rPr>
          <w:rFonts w:ascii="Arial" w:cs="Arial" w:eastAsia="Arial" w:hAnsi="Arial"/>
          <w:sz w:val="14"/>
          <w:szCs w:val="14"/>
          <w:color w:val="auto"/>
        </w:rPr>
      </w:pPr>
      <w:r>
        <w:rPr>
          <w:rFonts w:ascii="Arial" w:cs="Arial" w:eastAsia="Arial" w:hAnsi="Arial"/>
          <w:sz w:val="14"/>
          <w:szCs w:val="14"/>
          <w:b w:val="1"/>
          <w:bCs w:val="1"/>
          <w:color w:val="auto"/>
        </w:rPr>
        <w:t>Detrimental Activity and Recapture Provisions</w:t>
      </w:r>
      <w:r>
        <w:rPr>
          <w:rFonts w:ascii="Arial" w:cs="Arial" w:eastAsia="Arial" w:hAnsi="Arial"/>
          <w:sz w:val="14"/>
          <w:szCs w:val="14"/>
          <w:color w:val="auto"/>
        </w:rPr>
        <w:t>. Any Evidence of Award may reference a clawback policy of the Company or</w:t>
      </w:r>
      <w:r>
        <w:rPr>
          <w:rFonts w:ascii="Arial" w:cs="Arial" w:eastAsia="Arial" w:hAnsi="Arial"/>
          <w:sz w:val="14"/>
          <w:szCs w:val="14"/>
          <w:b w:val="1"/>
          <w:bCs w:val="1"/>
          <w:color w:val="auto"/>
        </w:rPr>
        <w:t xml:space="preserve"> </w:t>
      </w:r>
      <w:r>
        <w:rPr>
          <w:rFonts w:ascii="Arial" w:cs="Arial" w:eastAsia="Arial" w:hAnsi="Arial"/>
          <w:sz w:val="14"/>
          <w:szCs w:val="14"/>
          <w:color w:val="auto"/>
        </w:rPr>
        <w:t>provide for the cancellation or forfeiture of an award or the forfeiture and repayment to the Company of any gain related to</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B-9</w:t>
      </w:r>
    </w:p>
    <w:p>
      <w:pPr>
        <w:sectPr>
          <w:pgSz w:w="11900" w:h="16838" w:orient="portrait"/>
          <w:cols w:equalWidth="0" w:num="1">
            <w:col w:w="9320"/>
          </w:cols>
          <w:pgMar w:left="1280" w:top="296" w:right="1299" w:bottom="1440" w:gutter="0" w:footer="0" w:header="0"/>
        </w:sectPr>
      </w:pPr>
    </w:p>
    <w:bookmarkStart w:id="105" w:name="page106"/>
    <w:bookmarkEnd w:id="105"/>
    <w:p>
      <w:pPr>
        <w:ind w:right="20"/>
        <w:spacing w:after="0" w:line="2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an award, or include other provisions intended to have a similar effect, upon such terms and conditions as may be determined by the Committee or the Board from time to time or as required by applicable law or any applicable rules or regulations promulgated by the Securities and Exchange Commission or any national securities exchange or national securities association on which the Common Shares may be traded. In addition, notwithstanding anything in this Plan to the contrary, any Evidence of Award or such clawback policy may also provide for the cancellation or forfeiture of an award or the forfeiture and repayment to the Company of any Common Shares issued under and/or any other benefit related to an award, or include other provisions intended to have a similar effect, including upon such terms and conditions as may be required by the Committee or the Board or under Section 10D of the Exchange Act and/or any applicable rules or regulations promulgated by the Securities and Exchange Commission or any national securities exchange or national securities association on which the Common Shares may be traded.</w:t>
      </w:r>
    </w:p>
    <w:p>
      <w:pPr>
        <w:spacing w:after="0" w:line="188" w:lineRule="exact"/>
        <w:rPr>
          <w:sz w:val="20"/>
          <w:szCs w:val="20"/>
          <w:color w:val="auto"/>
        </w:rPr>
      </w:pPr>
    </w:p>
    <w:p>
      <w:pPr>
        <w:ind w:right="40" w:firstLine="2"/>
        <w:spacing w:after="0" w:line="239" w:lineRule="auto"/>
        <w:tabs>
          <w:tab w:leader="none" w:pos="259"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Non-U.S. Participants. </w:t>
      </w:r>
      <w:r>
        <w:rPr>
          <w:rFonts w:ascii="Arial" w:cs="Arial" w:eastAsia="Arial" w:hAnsi="Arial"/>
          <w:sz w:val="16"/>
          <w:szCs w:val="16"/>
          <w:color w:val="auto"/>
        </w:rPr>
        <w:t>In order to facilitate the making of any grant or combination of grants under this Plan, the Committee may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(to be considered a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186" w:lineRule="exact"/>
        <w:rPr>
          <w:rFonts w:ascii="Arial" w:cs="Arial" w:eastAsia="Arial" w:hAnsi="Arial"/>
          <w:sz w:val="16"/>
          <w:szCs w:val="16"/>
          <w:color w:val="auto"/>
        </w:rPr>
      </w:pPr>
    </w:p>
    <w:p>
      <w:pPr>
        <w:ind w:left="260" w:hanging="258"/>
        <w:spacing w:after="0"/>
        <w:tabs>
          <w:tab w:leader="none" w:pos="260"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Transferability.</w:t>
      </w:r>
    </w:p>
    <w:p>
      <w:pPr>
        <w:spacing w:after="0" w:line="205" w:lineRule="exact"/>
        <w:rPr>
          <w:sz w:val="20"/>
          <w:szCs w:val="20"/>
          <w:color w:val="auto"/>
        </w:rPr>
      </w:pPr>
    </w:p>
    <w:p>
      <w:pPr>
        <w:ind w:right="20" w:firstLine="375"/>
        <w:spacing w:after="0"/>
        <w:tabs>
          <w:tab w:leader="none" w:pos="606"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Except as otherwise determined by the Committee, and subject to compliance with </w:t>
      </w:r>
      <w:r>
        <w:rPr>
          <w:rFonts w:ascii="Arial" w:cs="Arial" w:eastAsia="Arial" w:hAnsi="Arial"/>
          <w:sz w:val="16"/>
          <w:szCs w:val="16"/>
          <w:b w:val="1"/>
          <w:bCs w:val="1"/>
          <w:u w:val="single" w:color="auto"/>
          <w:color w:val="auto"/>
        </w:rPr>
        <w:t>Section 17(b)</w:t>
      </w:r>
      <w:r>
        <w:rPr>
          <w:rFonts w:ascii="Arial" w:cs="Arial" w:eastAsia="Arial" w:hAnsi="Arial"/>
          <w:sz w:val="16"/>
          <w:szCs w:val="16"/>
          <w:color w:val="auto"/>
        </w:rPr>
        <w:t xml:space="preserve"> of this Plan and Section 409A of the Code, no Option Right, Appreciation Right, Restricted Stock, Restricted Stock Unit, Performance Share, Performance Unit, Cash Incentive Award, award contemplated by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or dividend equivalents paid with respect to awards made under this Plan will be transferable by the Participant except by will or the laws of descent and distribution. In no event will any such award granted under this Plan be transferred for value. Where transfer is permitted, references to “Participant” shall be construed, as the Committee deems appropriate, to include any permitted transferee to whom such award is transferred.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85" w:lineRule="exact"/>
        <w:rPr>
          <w:rFonts w:ascii="Arial" w:cs="Arial" w:eastAsia="Arial" w:hAnsi="Arial"/>
          <w:sz w:val="16"/>
          <w:szCs w:val="16"/>
          <w:color w:val="auto"/>
        </w:rPr>
      </w:pPr>
    </w:p>
    <w:p>
      <w:pPr>
        <w:ind w:firstLine="375"/>
        <w:spacing w:after="0" w:line="243" w:lineRule="auto"/>
        <w:tabs>
          <w:tab w:leader="none" w:pos="606"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The Committee may specify on the Date of Grant that part or all of the Common Shares that are (i) to be issued or transferred by the Company upon the exercise of Option Rights or Appreciation Rights, upon the termination of the Restriction Period applicable to Restricted Stock Units or upon payment under any grant of Performance Shares or Performance Units or other awards under this Plan or (ii) no longer subject to the substantial risk of forfeiture and restrictions on transfer referred to in </w:t>
      </w:r>
      <w:r>
        <w:rPr>
          <w:rFonts w:ascii="Arial" w:cs="Arial" w:eastAsia="Arial" w:hAnsi="Arial"/>
          <w:sz w:val="16"/>
          <w:szCs w:val="16"/>
          <w:b w:val="1"/>
          <w:bCs w:val="1"/>
          <w:u w:val="single" w:color="auto"/>
          <w:color w:val="auto"/>
        </w:rPr>
        <w:t>Section 6</w:t>
      </w:r>
      <w:r>
        <w:rPr>
          <w:rFonts w:ascii="Arial" w:cs="Arial" w:eastAsia="Arial" w:hAnsi="Arial"/>
          <w:sz w:val="16"/>
          <w:szCs w:val="16"/>
          <w:color w:val="auto"/>
        </w:rPr>
        <w:t xml:space="preserve"> of this Plan, will be subject to further restrictions on transfer, including minimum holding periods.</w:t>
      </w:r>
    </w:p>
    <w:p>
      <w:pPr>
        <w:spacing w:after="0" w:line="180" w:lineRule="exact"/>
        <w:rPr>
          <w:rFonts w:ascii="Arial" w:cs="Arial" w:eastAsia="Arial" w:hAnsi="Arial"/>
          <w:sz w:val="16"/>
          <w:szCs w:val="16"/>
          <w:color w:val="auto"/>
        </w:rPr>
      </w:pPr>
    </w:p>
    <w:p>
      <w:pPr>
        <w:ind w:right="20" w:firstLine="2"/>
        <w:spacing w:after="0" w:line="239" w:lineRule="auto"/>
        <w:tabs>
          <w:tab w:leader="none" w:pos="259"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To the extent that the Company is required to withhold federal, state, local or foreign taxes or other amounts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Common Shares, and such Participant fails to make arrangements for the payment of taxes or other amounts, then, unless otherwise determined by the Committee, the Company will withhold Common Shares having a value equal to the amount required to be withheld. Notwithstanding the foregoing, when a Participant is required to pay the Company an amount required to be withheld under applicable income, employment, tax or other laws, the Participant may elect, unless otherwise determined by the Committee, to satisfy the obligation, in whole or in part, by having withheld, from the Common Shares required to be delivered to the Participant, Common Shares having a value equal to the amount required to be withheld or by delivering to the Company other Common Shares held by such Participant. The Common Shares used for tax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83820</wp:posOffset>
            </wp:positionV>
            <wp:extent cx="699135" cy="1314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B-10</w:t>
      </w:r>
    </w:p>
    <w:p>
      <w:pPr>
        <w:sectPr>
          <w:pgSz w:w="11900" w:h="16838" w:orient="portrait"/>
          <w:cols w:equalWidth="0" w:num="1">
            <w:col w:w="9320"/>
          </w:cols>
          <w:pgMar w:left="1280" w:top="296" w:right="1299" w:bottom="1440" w:gutter="0" w:footer="0" w:header="0"/>
        </w:sectPr>
      </w:pPr>
    </w:p>
    <w:bookmarkStart w:id="106" w:name="page107"/>
    <w:bookmarkEnd w:id="106"/>
    <w:p>
      <w:pPr>
        <w:spacing w:after="0" w:line="28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 xml:space="preserve">withholding will be valued at an amount equal to the fair market value of such Common Shares on the date the benefit is to be included in Participant’s income. In no event will the fair market value of the Common Shares to be withheld and delivered pursuant to this </w:t>
      </w:r>
      <w:r>
        <w:rPr>
          <w:rFonts w:ascii="Arial" w:cs="Arial" w:eastAsia="Arial" w:hAnsi="Arial"/>
          <w:sz w:val="14"/>
          <w:szCs w:val="14"/>
          <w:b w:val="1"/>
          <w:bCs w:val="1"/>
          <w:u w:val="single" w:color="auto"/>
          <w:color w:val="auto"/>
        </w:rPr>
        <w:t>Section 16</w:t>
      </w:r>
      <w:r>
        <w:rPr>
          <w:rFonts w:ascii="Arial" w:cs="Arial" w:eastAsia="Arial" w:hAnsi="Arial"/>
          <w:sz w:val="14"/>
          <w:szCs w:val="14"/>
          <w:b w:val="1"/>
          <w:bCs w:val="1"/>
          <w:color w:val="auto"/>
        </w:rPr>
        <w:t xml:space="preserve"> </w:t>
      </w:r>
      <w:r>
        <w:rPr>
          <w:rFonts w:ascii="Arial" w:cs="Arial" w:eastAsia="Arial" w:hAnsi="Arial"/>
          <w:sz w:val="14"/>
          <w:szCs w:val="14"/>
          <w:color w:val="auto"/>
        </w:rPr>
        <w:t>exceed the minimum amount required to be withheld, unless such additional withholding amount is authorized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Committee. Participants will also make such arrangements as the Company may require for the payment of any withholding tax or other obligation that may arise in connection with the disposition of Common Shares acquired upon the exercise of Option Rights.</w:t>
      </w:r>
    </w:p>
    <w:p>
      <w:pPr>
        <w:spacing w:after="0" w:line="152" w:lineRule="exact"/>
        <w:rPr>
          <w:sz w:val="20"/>
          <w:szCs w:val="20"/>
          <w:color w:val="auto"/>
        </w:rPr>
      </w:pPr>
    </w:p>
    <w:p>
      <w:pPr>
        <w:ind w:left="260" w:hanging="258"/>
        <w:spacing w:after="0"/>
        <w:tabs>
          <w:tab w:leader="none" w:pos="26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Compliance with Section 409A of the Code.</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To the extent applicable, it is intended that this Plan and any grants made hereunder comply with the provisions of</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Section 409A of the Code, so that the income inclusion provisions of Section 409A(a)(1) of the Code do not apply to the Participants.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This Plan and any grants made hereunder will be administered in a manner consistent with this intent. Any reference in this Plan to</w:t>
      </w:r>
    </w:p>
    <w:p>
      <w:pPr>
        <w:spacing w:after="0"/>
        <w:rPr>
          <w:sz w:val="20"/>
          <w:szCs w:val="20"/>
          <w:color w:val="auto"/>
        </w:rPr>
      </w:pPr>
      <w:r>
        <w:rPr>
          <w:rFonts w:ascii="Arial" w:cs="Arial" w:eastAsia="Arial" w:hAnsi="Arial"/>
          <w:sz w:val="14"/>
          <w:szCs w:val="14"/>
          <w:color w:val="auto"/>
        </w:rPr>
        <w:t>Section 409A of the Code will also include any regulations or any other formal guidance promulgated with respect to such section by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U.S. Department of the Treasury or the Internal Revenue Service.</w:t>
      </w:r>
    </w:p>
    <w:p>
      <w:pPr>
        <w:spacing w:after="0" w:line="191" w:lineRule="exact"/>
        <w:rPr>
          <w:sz w:val="20"/>
          <w:szCs w:val="20"/>
          <w:color w:val="auto"/>
        </w:rPr>
      </w:pPr>
    </w:p>
    <w:p>
      <w:pPr>
        <w:ind w:right="200" w:firstLine="375"/>
        <w:spacing w:after="0" w:line="241" w:lineRule="auto"/>
        <w:tabs>
          <w:tab w:leader="none" w:pos="606" w:val="left"/>
        </w:tabs>
        <w:numPr>
          <w:ilvl w:val="1"/>
          <w:numId w:val="92"/>
        </w:numPr>
        <w:rPr>
          <w:rFonts w:ascii="Arial" w:cs="Arial" w:eastAsia="Arial" w:hAnsi="Arial"/>
          <w:sz w:val="16"/>
          <w:szCs w:val="16"/>
          <w:color w:val="auto"/>
        </w:rPr>
      </w:pPr>
      <w:r>
        <w:rPr>
          <w:rFonts w:ascii="Arial" w:cs="Arial" w:eastAsia="Arial" w:hAnsi="Arial"/>
          <w:sz w:val="16"/>
          <w:szCs w:val="16"/>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186" w:lineRule="exact"/>
        <w:rPr>
          <w:rFonts w:ascii="Arial" w:cs="Arial" w:eastAsia="Arial" w:hAnsi="Arial"/>
          <w:sz w:val="16"/>
          <w:szCs w:val="16"/>
          <w:color w:val="auto"/>
        </w:rPr>
      </w:pPr>
    </w:p>
    <w:p>
      <w:pPr>
        <w:ind w:right="20" w:firstLine="375"/>
        <w:spacing w:after="0"/>
        <w:tabs>
          <w:tab w:leader="none" w:pos="597" w:val="left"/>
        </w:tabs>
        <w:numPr>
          <w:ilvl w:val="1"/>
          <w:numId w:val="92"/>
        </w:numPr>
        <w:rPr>
          <w:rFonts w:ascii="Arial" w:cs="Arial" w:eastAsia="Arial" w:hAnsi="Arial"/>
          <w:sz w:val="16"/>
          <w:szCs w:val="16"/>
          <w:color w:val="auto"/>
        </w:rPr>
      </w:pPr>
      <w:r>
        <w:rPr>
          <w:rFonts w:ascii="Arial" w:cs="Arial" w:eastAsia="Arial" w:hAnsi="Arial"/>
          <w:sz w:val="16"/>
          <w:szCs w:val="16"/>
          <w:color w:val="auto"/>
        </w:rPr>
        <w:t>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tenth business day of the seventh month after such separation from service.</w:t>
      </w:r>
    </w:p>
    <w:p>
      <w:pPr>
        <w:spacing w:after="0" w:line="188" w:lineRule="exact"/>
        <w:rPr>
          <w:rFonts w:ascii="Arial" w:cs="Arial" w:eastAsia="Arial" w:hAnsi="Arial"/>
          <w:sz w:val="16"/>
          <w:szCs w:val="16"/>
          <w:color w:val="auto"/>
        </w:rPr>
      </w:pPr>
    </w:p>
    <w:p>
      <w:pPr>
        <w:ind w:right="60" w:firstLine="375"/>
        <w:spacing w:after="0" w:line="283" w:lineRule="auto"/>
        <w:tabs>
          <w:tab w:leader="none" w:pos="606" w:val="left"/>
        </w:tabs>
        <w:numPr>
          <w:ilvl w:val="1"/>
          <w:numId w:val="92"/>
        </w:numPr>
        <w:rPr>
          <w:rFonts w:ascii="Arial" w:cs="Arial" w:eastAsia="Arial" w:hAnsi="Arial"/>
          <w:sz w:val="14"/>
          <w:szCs w:val="14"/>
          <w:color w:val="auto"/>
        </w:rPr>
      </w:pPr>
      <w:r>
        <w:rPr>
          <w:rFonts w:ascii="Arial" w:cs="Arial" w:eastAsia="Arial" w:hAnsi="Arial"/>
          <w:sz w:val="14"/>
          <w:szCs w:val="14"/>
          <w:color w:val="auto"/>
        </w:rPr>
        <w:t>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155" w:lineRule="exact"/>
        <w:rPr>
          <w:rFonts w:ascii="Arial" w:cs="Arial" w:eastAsia="Arial" w:hAnsi="Arial"/>
          <w:sz w:val="14"/>
          <w:szCs w:val="14"/>
          <w:color w:val="auto"/>
        </w:rPr>
      </w:pPr>
    </w:p>
    <w:p>
      <w:pPr>
        <w:ind w:firstLine="375"/>
        <w:spacing w:after="0"/>
        <w:tabs>
          <w:tab w:leader="none" w:pos="606" w:val="left"/>
        </w:tabs>
        <w:numPr>
          <w:ilvl w:val="1"/>
          <w:numId w:val="92"/>
        </w:numPr>
        <w:rPr>
          <w:rFonts w:ascii="Arial" w:cs="Arial" w:eastAsia="Arial" w:hAnsi="Arial"/>
          <w:sz w:val="16"/>
          <w:szCs w:val="16"/>
          <w:color w:val="auto"/>
        </w:rPr>
      </w:pPr>
      <w:r>
        <w:rPr>
          <w:rFonts w:ascii="Arial" w:cs="Arial" w:eastAsia="Arial" w:hAnsi="Arial"/>
          <w:sz w:val="16"/>
          <w:szCs w:val="16"/>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186" w:lineRule="exact"/>
        <w:rPr>
          <w:rFonts w:ascii="Arial" w:cs="Arial" w:eastAsia="Arial" w:hAnsi="Arial"/>
          <w:sz w:val="16"/>
          <w:szCs w:val="16"/>
          <w:color w:val="auto"/>
        </w:rPr>
      </w:pPr>
    </w:p>
    <w:p>
      <w:pPr>
        <w:ind w:left="260" w:hanging="258"/>
        <w:spacing w:after="0"/>
        <w:tabs>
          <w:tab w:leader="none" w:pos="260"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Amendments.</w:t>
      </w:r>
    </w:p>
    <w:p>
      <w:pPr>
        <w:spacing w:after="0" w:line="206" w:lineRule="exact"/>
        <w:rPr>
          <w:rFonts w:ascii="Arial" w:cs="Arial" w:eastAsia="Arial" w:hAnsi="Arial"/>
          <w:sz w:val="16"/>
          <w:szCs w:val="16"/>
          <w:color w:val="auto"/>
        </w:rPr>
      </w:pPr>
    </w:p>
    <w:p>
      <w:pPr>
        <w:ind w:right="20" w:firstLine="375"/>
        <w:spacing w:after="0" w:line="241" w:lineRule="auto"/>
        <w:tabs>
          <w:tab w:leader="none" w:pos="606"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The Board may at any time and from time to time amend this Plan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 amendment to this Plan, for purposes of applicable stock exchange rules and except as permitted under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Stockholders in order to comply with applicable law or the rules of the NASDAQ Global Select Market or, if the Common Shares are not traded on the NASDAQ Global Select Market, the principal</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B-11</w:t>
      </w:r>
    </w:p>
    <w:p>
      <w:pPr>
        <w:sectPr>
          <w:pgSz w:w="11900" w:h="16838" w:orient="portrait"/>
          <w:cols w:equalWidth="0" w:num="1">
            <w:col w:w="9320"/>
          </w:cols>
          <w:pgMar w:left="1280" w:top="296" w:right="1299" w:bottom="1440" w:gutter="0" w:footer="0" w:header="0"/>
        </w:sectPr>
      </w:pPr>
    </w:p>
    <w:bookmarkStart w:id="107" w:name="page108"/>
    <w:bookmarkEnd w:id="107"/>
    <w:p>
      <w:pPr>
        <w:jc w:val="both"/>
        <w:ind w:right="620"/>
        <w:spacing w:after="0" w:line="33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national securities exchange upon which the Common Shares are traded or quoted, all as determined by the Board, then, such amendment will be subject to Stockholder approval and will not be effective unless and until such approval has been obtained.</w:t>
      </w:r>
    </w:p>
    <w:p>
      <w:pPr>
        <w:spacing w:after="0" w:line="118" w:lineRule="exact"/>
        <w:rPr>
          <w:sz w:val="20"/>
          <w:szCs w:val="20"/>
          <w:color w:val="auto"/>
        </w:rPr>
      </w:pPr>
    </w:p>
    <w:p>
      <w:pPr>
        <w:ind w:right="20" w:firstLine="375"/>
        <w:spacing w:after="0"/>
        <w:tabs>
          <w:tab w:leader="none" w:pos="606"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Except in connection with a corporate transaction or event described in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w:t>
      </w:r>
      <w:r>
        <w:rPr>
          <w:rFonts w:ascii="Arial" w:cs="Arial" w:eastAsia="Arial" w:hAnsi="Arial"/>
          <w:sz w:val="16"/>
          <w:szCs w:val="16"/>
          <w:b w:val="1"/>
          <w:bCs w:val="1"/>
          <w:u w:val="single" w:color="auto"/>
          <w:color w:val="auto"/>
        </w:rPr>
        <w:t>Section 18(b)</w:t>
      </w:r>
      <w:r>
        <w:rPr>
          <w:rFonts w:ascii="Arial" w:cs="Arial" w:eastAsia="Arial" w:hAnsi="Arial"/>
          <w:sz w:val="16"/>
          <w:szCs w:val="16"/>
          <w:color w:val="auto"/>
        </w:rPr>
        <w:t xml:space="preserve"> is intended to prohibit the repricing of “underwater” Option Rights and Appreciation Rights and will not be construed to prohibit the adjustments provided for in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Notwithstanding any provision of this Plan to the contrary, this </w:t>
      </w:r>
      <w:r>
        <w:rPr>
          <w:rFonts w:ascii="Arial" w:cs="Arial" w:eastAsia="Arial" w:hAnsi="Arial"/>
          <w:sz w:val="16"/>
          <w:szCs w:val="16"/>
          <w:b w:val="1"/>
          <w:bCs w:val="1"/>
          <w:u w:val="single" w:color="auto"/>
          <w:color w:val="auto"/>
        </w:rPr>
        <w:t>Section 18(b)</w:t>
      </w:r>
      <w:r>
        <w:rPr>
          <w:rFonts w:ascii="Arial" w:cs="Arial" w:eastAsia="Arial" w:hAnsi="Arial"/>
          <w:sz w:val="16"/>
          <w:szCs w:val="16"/>
          <w:color w:val="auto"/>
        </w:rPr>
        <w:t xml:space="preserve"> may not be amended without approval by the Stockholders.</w:t>
      </w:r>
    </w:p>
    <w:p>
      <w:pPr>
        <w:spacing w:after="0" w:line="183" w:lineRule="exact"/>
        <w:rPr>
          <w:rFonts w:ascii="Arial" w:cs="Arial" w:eastAsia="Arial" w:hAnsi="Arial"/>
          <w:sz w:val="16"/>
          <w:szCs w:val="16"/>
          <w:color w:val="auto"/>
        </w:rPr>
      </w:pPr>
    </w:p>
    <w:p>
      <w:pPr>
        <w:ind w:firstLine="375"/>
        <w:spacing w:after="0" w:line="239" w:lineRule="auto"/>
        <w:tabs>
          <w:tab w:leader="none" w:pos="597"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If permitted by Section 409A of the Code, but subject to </w:t>
      </w:r>
      <w:r>
        <w:rPr>
          <w:rFonts w:ascii="Arial" w:cs="Arial" w:eastAsia="Arial" w:hAnsi="Arial"/>
          <w:sz w:val="16"/>
          <w:szCs w:val="16"/>
          <w:b w:val="1"/>
          <w:bCs w:val="1"/>
          <w:u w:val="single" w:color="auto"/>
          <w:color w:val="auto"/>
        </w:rPr>
        <w:t>Section 18(d)</w:t>
      </w:r>
      <w:r>
        <w:rPr>
          <w:rFonts w:ascii="Arial" w:cs="Arial" w:eastAsia="Arial" w:hAnsi="Arial"/>
          <w:sz w:val="16"/>
          <w:szCs w:val="16"/>
          <w:color w:val="auto"/>
        </w:rPr>
        <w:t xml:space="preserve">, including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equivalents or other awards made pursuant to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subject to any vesting schedule or transfer restriction, or holds Common Shares subject to any transfer restriction imposed pursuant to </w:t>
      </w:r>
      <w:r>
        <w:rPr>
          <w:rFonts w:ascii="Arial" w:cs="Arial" w:eastAsia="Arial" w:hAnsi="Arial"/>
          <w:sz w:val="16"/>
          <w:szCs w:val="16"/>
          <w:b w:val="1"/>
          <w:bCs w:val="1"/>
          <w:u w:val="single" w:color="auto"/>
          <w:color w:val="auto"/>
        </w:rPr>
        <w:t>Section 15(b)</w:t>
      </w:r>
      <w:r>
        <w:rPr>
          <w:rFonts w:ascii="Arial" w:cs="Arial" w:eastAsia="Arial" w:hAnsi="Arial"/>
          <w:sz w:val="16"/>
          <w:szCs w:val="16"/>
          <w:color w:val="auto"/>
        </w:rPr>
        <w:t xml:space="preserve"> of this Plan, the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w:t>
      </w:r>
    </w:p>
    <w:p>
      <w:pPr>
        <w:spacing w:after="0" w:line="184" w:lineRule="exact"/>
        <w:rPr>
          <w:rFonts w:ascii="Arial" w:cs="Arial" w:eastAsia="Arial" w:hAnsi="Arial"/>
          <w:sz w:val="16"/>
          <w:szCs w:val="16"/>
          <w:color w:val="auto"/>
        </w:rPr>
      </w:pPr>
    </w:p>
    <w:p>
      <w:pPr>
        <w:ind w:right="180" w:firstLine="375"/>
        <w:spacing w:after="0" w:line="243" w:lineRule="auto"/>
        <w:tabs>
          <w:tab w:leader="none" w:pos="606"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u w:val="single" w:color="auto"/>
          <w:color w:val="auto"/>
        </w:rPr>
        <w:t>Section 18(b)</w:t>
      </w:r>
      <w:r>
        <w:rPr>
          <w:rFonts w:ascii="Arial" w:cs="Arial" w:eastAsia="Arial" w:hAnsi="Arial"/>
          <w:sz w:val="16"/>
          <w:szCs w:val="16"/>
          <w:color w:val="auto"/>
        </w:rPr>
        <w:t xml:space="preserve"> of this Plan, the Committee may amend the terms of any award theretofore granted under this Plan prospectively or retroactively. Except for adjustments made pursuant to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182" w:lineRule="exact"/>
        <w:rPr>
          <w:rFonts w:ascii="Arial" w:cs="Arial" w:eastAsia="Arial" w:hAnsi="Arial"/>
          <w:sz w:val="16"/>
          <w:szCs w:val="16"/>
          <w:color w:val="auto"/>
        </w:rPr>
      </w:pPr>
    </w:p>
    <w:p>
      <w:pPr>
        <w:ind w:right="800" w:firstLine="2"/>
        <w:spacing w:after="0" w:line="266" w:lineRule="auto"/>
        <w:tabs>
          <w:tab w:leader="none" w:pos="259"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Plan and all grants and awards and actions taken hereunder will be governed by and construed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internal substantive laws of the State of Delaware.</w:t>
      </w:r>
    </w:p>
    <w:p>
      <w:pPr>
        <w:spacing w:after="0" w:line="161" w:lineRule="exact"/>
        <w:rPr>
          <w:rFonts w:ascii="Arial" w:cs="Arial" w:eastAsia="Arial" w:hAnsi="Arial"/>
          <w:sz w:val="16"/>
          <w:szCs w:val="16"/>
          <w:color w:val="auto"/>
        </w:rPr>
      </w:pPr>
    </w:p>
    <w:p>
      <w:pPr>
        <w:ind w:right="20" w:firstLine="2"/>
        <w:spacing w:after="0"/>
        <w:tabs>
          <w:tab w:leader="none" w:pos="259"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Effective Date/Termination. </w:t>
      </w:r>
      <w:r>
        <w:rPr>
          <w:rFonts w:ascii="Arial" w:cs="Arial" w:eastAsia="Arial" w:hAnsi="Arial"/>
          <w:sz w:val="16"/>
          <w:szCs w:val="16"/>
          <w:color w:val="auto"/>
        </w:rPr>
        <w:t>The ACI Worldwide, Inc. 2020 Equity and Incentive Compensation Plan was effective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Effective Date. This 2023 amendment and restatement of the ACI Worldwide, Inc. 2020 Equity and Incentive Compensation Plan will be effective as of the date on which such amendment and restatement is approved by the Company’s Stockholders (the “Amendment and Restatement Date”). No grants will be made on or after the Effective Date under the Predecessor Plans, provided that outstanding awards granted under the Predecessor Plans continued following the Effective Date. No grant will be made under this Plan on or after the tenth anniversary of the Amendment and Restatement Date, but all grants made prior to such date will continue in effect thereafter subject to the terms thereof and of this Plan. For clarification purposes, the terms and conditions of this Plan shall not apply to or otherwise impact previously granted and outstanding awards under the Predecessor Plans, as applicable (except for purposes of providing for Common Shares under such awards to be added to the aggregate number of Common Shares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 pursuant to the share counting rules of this Plan).</w:t>
      </w:r>
    </w:p>
    <w:p>
      <w:pPr>
        <w:spacing w:after="0" w:line="180" w:lineRule="exact"/>
        <w:rPr>
          <w:rFonts w:ascii="Arial" w:cs="Arial" w:eastAsia="Arial" w:hAnsi="Arial"/>
          <w:sz w:val="16"/>
          <w:szCs w:val="16"/>
          <w:color w:val="auto"/>
        </w:rPr>
      </w:pPr>
    </w:p>
    <w:p>
      <w:pPr>
        <w:ind w:left="260" w:hanging="258"/>
        <w:spacing w:after="0"/>
        <w:tabs>
          <w:tab w:leader="none" w:pos="260"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Miscellaneous Provisions.</w:t>
      </w:r>
    </w:p>
    <w:p>
      <w:pPr>
        <w:spacing w:after="0" w:line="206" w:lineRule="exact"/>
        <w:rPr>
          <w:rFonts w:ascii="Arial" w:cs="Arial" w:eastAsia="Arial" w:hAnsi="Arial"/>
          <w:sz w:val="16"/>
          <w:szCs w:val="16"/>
          <w:color w:val="auto"/>
        </w:rPr>
      </w:pPr>
    </w:p>
    <w:p>
      <w:pPr>
        <w:ind w:right="140" w:firstLine="375"/>
        <w:spacing w:after="0" w:line="263" w:lineRule="auto"/>
        <w:tabs>
          <w:tab w:leader="none" w:pos="606"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Company will not be required to issue any fractional Common Shares pursuant to this Plan. The Committee may provide for the elimination of fractions or for the settlement of fractions in cash.</w:t>
      </w:r>
    </w:p>
    <w:p>
      <w:pPr>
        <w:spacing w:after="0" w:line="166" w:lineRule="exact"/>
        <w:rPr>
          <w:rFonts w:ascii="Arial" w:cs="Arial" w:eastAsia="Arial" w:hAnsi="Arial"/>
          <w:sz w:val="16"/>
          <w:szCs w:val="16"/>
          <w:color w:val="auto"/>
        </w:rPr>
      </w:pPr>
    </w:p>
    <w:p>
      <w:pPr>
        <w:ind w:right="300" w:firstLine="375"/>
        <w:spacing w:after="0" w:line="249" w:lineRule="auto"/>
        <w:tabs>
          <w:tab w:leader="none" w:pos="606"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80010</wp:posOffset>
            </wp:positionV>
            <wp:extent cx="699135" cy="1314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B-12</w:t>
      </w:r>
    </w:p>
    <w:p>
      <w:pPr>
        <w:sectPr>
          <w:pgSz w:w="11900" w:h="16838" w:orient="portrait"/>
          <w:cols w:equalWidth="0" w:num="1">
            <w:col w:w="9320"/>
          </w:cols>
          <w:pgMar w:left="1280" w:top="296" w:right="1299" w:bottom="1440" w:gutter="0" w:footer="0" w:header="0"/>
        </w:sectPr>
      </w:pPr>
    </w:p>
    <w:bookmarkStart w:id="108" w:name="page109"/>
    <w:bookmarkEnd w:id="108"/>
    <w:p>
      <w:pPr>
        <w:ind w:right="160" w:firstLine="375"/>
        <w:spacing w:after="0" w:line="246" w:lineRule="auto"/>
        <w:tabs>
          <w:tab w:leader="none" w:pos="597" w:val="left"/>
        </w:tabs>
        <w:numPr>
          <w:ilvl w:val="1"/>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 xml:space="preserve">Except with respect to </w:t>
      </w:r>
      <w:r>
        <w:rPr>
          <w:rFonts w:ascii="Arial" w:cs="Arial" w:eastAsia="Arial" w:hAnsi="Arial"/>
          <w:sz w:val="16"/>
          <w:szCs w:val="16"/>
          <w:b w:val="1"/>
          <w:bCs w:val="1"/>
          <w:u w:val="single" w:color="auto"/>
          <w:color w:val="auto"/>
        </w:rPr>
        <w:t>Section 21(e)</w:t>
      </w:r>
      <w:r>
        <w:rPr>
          <w:rFonts w:ascii="Arial" w:cs="Arial" w:eastAsia="Arial" w:hAnsi="Arial"/>
          <w:sz w:val="16"/>
          <w:szCs w:val="16"/>
          <w:color w:val="auto"/>
        </w:rPr>
        <w:t xml:space="preserv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spacing w:after="0" w:line="180" w:lineRule="exact"/>
        <w:rPr>
          <w:rFonts w:ascii="Arial" w:cs="Arial" w:eastAsia="Arial" w:hAnsi="Arial"/>
          <w:sz w:val="16"/>
          <w:szCs w:val="16"/>
          <w:color w:val="auto"/>
        </w:rPr>
      </w:pPr>
    </w:p>
    <w:p>
      <w:pPr>
        <w:ind w:right="380" w:firstLine="375"/>
        <w:spacing w:after="0" w:line="249" w:lineRule="auto"/>
        <w:tabs>
          <w:tab w:leader="none" w:pos="606" w:val="left"/>
        </w:tabs>
        <w:numPr>
          <w:ilvl w:val="1"/>
          <w:numId w:val="96"/>
        </w:numPr>
        <w:rPr>
          <w:rFonts w:ascii="Arial" w:cs="Arial" w:eastAsia="Arial" w:hAnsi="Arial"/>
          <w:sz w:val="16"/>
          <w:szCs w:val="16"/>
          <w:color w:val="auto"/>
        </w:rPr>
      </w:pPr>
      <w:r>
        <w:rPr>
          <w:rFonts w:ascii="Arial" w:cs="Arial" w:eastAsia="Arial" w:hAnsi="Arial"/>
          <w:sz w:val="16"/>
          <w:szCs w:val="16"/>
          <w:color w:val="auto"/>
        </w:rPr>
        <w:t>No award under this Plan may be exercised by the holder thereof if such exercise, and the receipt of cash or shares thereunder, would be, in the opinion of counsel selected by the Company, contrary to law or the regulations of any duly constituted authority having jurisdiction over this Plan.</w:t>
      </w:r>
    </w:p>
    <w:p>
      <w:pPr>
        <w:spacing w:after="0" w:line="178" w:lineRule="exact"/>
        <w:rPr>
          <w:rFonts w:ascii="Arial" w:cs="Arial" w:eastAsia="Arial" w:hAnsi="Arial"/>
          <w:sz w:val="16"/>
          <w:szCs w:val="16"/>
          <w:color w:val="auto"/>
        </w:rPr>
      </w:pPr>
    </w:p>
    <w:p>
      <w:pPr>
        <w:ind w:right="440" w:firstLine="375"/>
        <w:spacing w:after="0" w:line="263" w:lineRule="auto"/>
        <w:tabs>
          <w:tab w:leader="none" w:pos="606" w:val="left"/>
        </w:tabs>
        <w:numPr>
          <w:ilvl w:val="1"/>
          <w:numId w:val="96"/>
        </w:numPr>
        <w:rPr>
          <w:rFonts w:ascii="Arial" w:cs="Arial" w:eastAsia="Arial" w:hAnsi="Arial"/>
          <w:sz w:val="16"/>
          <w:szCs w:val="16"/>
          <w:color w:val="auto"/>
        </w:rPr>
      </w:pPr>
      <w:r>
        <w:rPr>
          <w:rFonts w:ascii="Arial" w:cs="Arial" w:eastAsia="Arial" w:hAnsi="Arial"/>
          <w:sz w:val="16"/>
          <w:szCs w:val="16"/>
          <w:color w:val="auto"/>
        </w:rPr>
        <w:t>Absence on leave approved by a duly constituted officer of the Company or any of its Subsidiaries will not be considered interruption or termination of service of any employee for any purposes of this Plan or awards granted hereunder.</w:t>
      </w:r>
    </w:p>
    <w:p>
      <w:pPr>
        <w:spacing w:after="0" w:line="166" w:lineRule="exact"/>
        <w:rPr>
          <w:rFonts w:ascii="Arial" w:cs="Arial" w:eastAsia="Arial" w:hAnsi="Arial"/>
          <w:sz w:val="16"/>
          <w:szCs w:val="16"/>
          <w:color w:val="auto"/>
        </w:rPr>
      </w:pPr>
    </w:p>
    <w:p>
      <w:pPr>
        <w:jc w:val="both"/>
        <w:ind w:right="200" w:firstLine="375"/>
        <w:spacing w:after="0" w:line="249" w:lineRule="auto"/>
        <w:tabs>
          <w:tab w:leader="none" w:pos="563" w:val="left"/>
        </w:tabs>
        <w:numPr>
          <w:ilvl w:val="1"/>
          <w:numId w:val="96"/>
        </w:numPr>
        <w:rPr>
          <w:rFonts w:ascii="Arial" w:cs="Arial" w:eastAsia="Arial" w:hAnsi="Arial"/>
          <w:sz w:val="16"/>
          <w:szCs w:val="16"/>
          <w:color w:val="auto"/>
        </w:rPr>
      </w:pPr>
      <w:r>
        <w:rPr>
          <w:rFonts w:ascii="Arial" w:cs="Arial" w:eastAsia="Arial" w:hAnsi="Arial"/>
          <w:sz w:val="16"/>
          <w:szCs w:val="16"/>
          <w:color w:val="auto"/>
        </w:rPr>
        <w:t>No Participant will have any rights as a Stockholder with respect to any Common Shares subject to awards granted to him or her under this Plan prior to the date as of which he or she is actually recorded as the holder of such Common Shares upon the share records of the Company.</w:t>
      </w:r>
    </w:p>
    <w:p>
      <w:pPr>
        <w:spacing w:after="0" w:line="178" w:lineRule="exact"/>
        <w:rPr>
          <w:rFonts w:ascii="Arial" w:cs="Arial" w:eastAsia="Arial" w:hAnsi="Arial"/>
          <w:sz w:val="16"/>
          <w:szCs w:val="16"/>
          <w:color w:val="auto"/>
        </w:rPr>
      </w:pPr>
    </w:p>
    <w:p>
      <w:pPr>
        <w:ind w:right="60" w:firstLine="375"/>
        <w:spacing w:after="0" w:line="249" w:lineRule="auto"/>
        <w:tabs>
          <w:tab w:leader="none" w:pos="606"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178" w:lineRule="exact"/>
        <w:rPr>
          <w:rFonts w:ascii="Arial" w:cs="Arial" w:eastAsia="Arial" w:hAnsi="Arial"/>
          <w:sz w:val="16"/>
          <w:szCs w:val="16"/>
          <w:color w:val="auto"/>
        </w:rPr>
      </w:pPr>
    </w:p>
    <w:p>
      <w:pPr>
        <w:ind w:right="240" w:firstLine="375"/>
        <w:spacing w:after="0" w:line="291" w:lineRule="auto"/>
        <w:tabs>
          <w:tab w:leader="none" w:pos="606" w:val="left"/>
        </w:tabs>
        <w:numPr>
          <w:ilvl w:val="1"/>
          <w:numId w:val="96"/>
        </w:numPr>
        <w:rPr>
          <w:rFonts w:ascii="Arial" w:cs="Arial" w:eastAsia="Arial" w:hAnsi="Arial"/>
          <w:sz w:val="14"/>
          <w:szCs w:val="14"/>
          <w:color w:val="auto"/>
        </w:rPr>
      </w:pPr>
      <w:r>
        <w:rPr>
          <w:rFonts w:ascii="Arial" w:cs="Arial" w:eastAsia="Arial" w:hAnsi="Arial"/>
          <w:sz w:val="14"/>
          <w:szCs w:val="14"/>
          <w:color w:val="auto"/>
        </w:rPr>
        <w:t>Except with respect to Option Rights and Appreciation Rights, the Committee may permit Participants to elect to defer the issuance of Common Shares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spacing w:after="0" w:line="151" w:lineRule="exact"/>
        <w:rPr>
          <w:rFonts w:ascii="Arial" w:cs="Arial" w:eastAsia="Arial" w:hAnsi="Arial"/>
          <w:sz w:val="14"/>
          <w:szCs w:val="14"/>
          <w:color w:val="auto"/>
        </w:rPr>
      </w:pPr>
    </w:p>
    <w:p>
      <w:pPr>
        <w:ind w:firstLine="375"/>
        <w:spacing w:after="0"/>
        <w:tabs>
          <w:tab w:leader="none" w:pos="554" w:val="left"/>
        </w:tabs>
        <w:numPr>
          <w:ilvl w:val="1"/>
          <w:numId w:val="96"/>
        </w:numPr>
        <w:rPr>
          <w:rFonts w:ascii="Arial" w:cs="Arial" w:eastAsia="Arial" w:hAnsi="Arial"/>
          <w:sz w:val="16"/>
          <w:szCs w:val="16"/>
          <w:color w:val="auto"/>
        </w:rPr>
      </w:pPr>
      <w:r>
        <w:rPr>
          <w:rFonts w:ascii="Arial" w:cs="Arial" w:eastAsia="Arial" w:hAnsi="Arial"/>
          <w:sz w:val="16"/>
          <w:szCs w:val="16"/>
          <w:color w:val="auto"/>
        </w:rPr>
        <w:t>If any provision of this Plan is or becomes invalid, illegal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183" w:lineRule="exact"/>
        <w:rPr>
          <w:rFonts w:ascii="Arial" w:cs="Arial" w:eastAsia="Arial" w:hAnsi="Arial"/>
          <w:sz w:val="16"/>
          <w:szCs w:val="16"/>
          <w:color w:val="auto"/>
        </w:rPr>
      </w:pPr>
    </w:p>
    <w:p>
      <w:pPr>
        <w:ind w:right="220" w:firstLine="2"/>
        <w:spacing w:after="0" w:line="266" w:lineRule="auto"/>
        <w:tabs>
          <w:tab w:leader="none" w:pos="259"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 xml:space="preserve">Share-Based Awards in Substitution for Awards Granted by Another Company. </w:t>
      </w:r>
      <w:r>
        <w:rPr>
          <w:rFonts w:ascii="Arial" w:cs="Arial" w:eastAsia="Arial" w:hAnsi="Arial"/>
          <w:sz w:val="16"/>
          <w:szCs w:val="16"/>
          <w:color w:val="auto"/>
        </w:rPr>
        <w:t>Notwithstanding anything in this Plan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contrary:</w:t>
      </w:r>
    </w:p>
    <w:p>
      <w:pPr>
        <w:spacing w:after="0" w:line="60" w:lineRule="exact"/>
        <w:rPr>
          <w:rFonts w:ascii="Arial" w:cs="Arial" w:eastAsia="Arial" w:hAnsi="Arial"/>
          <w:sz w:val="16"/>
          <w:szCs w:val="16"/>
          <w:color w:val="auto"/>
        </w:rPr>
      </w:pPr>
    </w:p>
    <w:p>
      <w:pPr>
        <w:ind w:firstLine="375"/>
        <w:spacing w:after="0" w:line="239" w:lineRule="auto"/>
        <w:tabs>
          <w:tab w:leader="none" w:pos="606" w:val="left"/>
        </w:tabs>
        <w:numPr>
          <w:ilvl w:val="1"/>
          <w:numId w:val="97"/>
        </w:numPr>
        <w:rPr>
          <w:rFonts w:ascii="Arial" w:cs="Arial" w:eastAsia="Arial" w:hAnsi="Arial"/>
          <w:sz w:val="16"/>
          <w:szCs w:val="16"/>
          <w:color w:val="auto"/>
        </w:rPr>
      </w:pPr>
      <w:r>
        <w:rPr>
          <w:rFonts w:ascii="Arial" w:cs="Arial" w:eastAsia="Arial" w:hAnsi="Arial"/>
          <w:sz w:val="16"/>
          <w:szCs w:val="16"/>
          <w:color w:val="auto"/>
        </w:rPr>
        <w:t>Awards may be granted under this Plan in substitution for or in conversion of, or in connection with an assumption of, stock options, stock appreciation rights, restricted shares, restricted share units or other share or share-based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Common Shares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189" w:lineRule="exact"/>
        <w:rPr>
          <w:rFonts w:ascii="Arial" w:cs="Arial" w:eastAsia="Arial" w:hAnsi="Arial"/>
          <w:sz w:val="16"/>
          <w:szCs w:val="16"/>
          <w:color w:val="auto"/>
        </w:rPr>
      </w:pPr>
    </w:p>
    <w:p>
      <w:pPr>
        <w:ind w:right="20" w:firstLine="375"/>
        <w:spacing w:after="0"/>
        <w:tabs>
          <w:tab w:leader="none" w:pos="606"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In the event that a company acquired by the Company or any Subsidiary or with which the Company or any Subsidiary merges has shares available under a pre-existing plan previously approved by shareholders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2023 PROXY STATEMENT </w:t>
      </w:r>
      <w:r>
        <w:rPr>
          <w:rFonts w:ascii="Arial" w:cs="Arial" w:eastAsia="Arial" w:hAnsi="Arial"/>
          <w:sz w:val="14"/>
          <w:szCs w:val="14"/>
          <w:b w:val="1"/>
          <w:bCs w:val="1"/>
          <w:color w:val="284993"/>
        </w:rPr>
        <w:t>B-13</w:t>
      </w:r>
    </w:p>
    <w:p>
      <w:pPr>
        <w:sectPr>
          <w:pgSz w:w="11900" w:h="16838" w:orient="portrait"/>
          <w:cols w:equalWidth="0" w:num="1">
            <w:col w:w="9320"/>
          </w:cols>
          <w:pgMar w:left="1280" w:top="294" w:right="1299" w:bottom="1440" w:gutter="0" w:footer="0" w:header="0"/>
        </w:sectPr>
      </w:pPr>
    </w:p>
    <w:bookmarkStart w:id="109" w:name="page110"/>
    <w:bookmarkEnd w:id="109"/>
    <w:p>
      <w:pPr>
        <w:ind w:right="79" w:firstLine="375"/>
        <w:spacing w:after="0" w:line="245" w:lineRule="auto"/>
        <w:tabs>
          <w:tab w:leader="none" w:pos="597"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 xml:space="preserve">Any Common Shares that are issued or transferred by, or that are subject to any awards that are granted by, or become obligations of, the Company under </w:t>
      </w:r>
      <w:r>
        <w:rPr>
          <w:rFonts w:ascii="Arial" w:cs="Arial" w:eastAsia="Arial" w:hAnsi="Arial"/>
          <w:sz w:val="16"/>
          <w:szCs w:val="16"/>
          <w:b w:val="1"/>
          <w:bCs w:val="1"/>
          <w:u w:val="single" w:color="auto"/>
          <w:color w:val="auto"/>
        </w:rPr>
        <w:t>Sections 22(a)</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22(b)</w:t>
      </w:r>
      <w:r>
        <w:rPr>
          <w:rFonts w:ascii="Arial" w:cs="Arial" w:eastAsia="Arial" w:hAnsi="Arial"/>
          <w:sz w:val="16"/>
          <w:szCs w:val="16"/>
          <w:color w:val="auto"/>
        </w:rPr>
        <w:t xml:space="preserve"> of this Plan will not reduce the Common Shares available for issuance or transfer under this Plan or otherwise count against the limits contained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In addition, no Common Shares subject to an award that is granted by, or becomes an obligation of, the Company under </w:t>
      </w:r>
      <w:r>
        <w:rPr>
          <w:rFonts w:ascii="Arial" w:cs="Arial" w:eastAsia="Arial" w:hAnsi="Arial"/>
          <w:sz w:val="16"/>
          <w:szCs w:val="16"/>
          <w:b w:val="1"/>
          <w:bCs w:val="1"/>
          <w:u w:val="single" w:color="auto"/>
          <w:color w:val="auto"/>
        </w:rPr>
        <w:t>Sections 22(a)</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22(b)</w:t>
      </w:r>
      <w:r>
        <w:rPr>
          <w:rFonts w:ascii="Arial" w:cs="Arial" w:eastAsia="Arial" w:hAnsi="Arial"/>
          <w:sz w:val="16"/>
          <w:szCs w:val="16"/>
          <w:color w:val="auto"/>
        </w:rPr>
        <w:t xml:space="preserve"> of this Plan, will be added to the aggregate limit contained in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77470</wp:posOffset>
            </wp:positionV>
            <wp:extent cx="699135" cy="1314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135" cy="1314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284993"/>
        </w:rPr>
        <w:t>B-14</w:t>
      </w:r>
    </w:p>
    <w:p>
      <w:pPr>
        <w:sectPr>
          <w:pgSz w:w="11900" w:h="16838" w:orient="portrait"/>
          <w:cols w:equalWidth="0" w:num="1">
            <w:col w:w="9179"/>
          </w:cols>
          <w:pgMar w:left="1280" w:top="296" w:right="1440" w:bottom="1440" w:gutter="0" w:footer="0" w:header="0"/>
        </w:sectPr>
      </w:pPr>
    </w:p>
    <w:bookmarkStart w:id="110" w:name="page111"/>
    <w:bookmarkEnd w:id="110"/>
    <w:p>
      <w:pPr>
        <w:ind w:left="60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9945" cy="53975"/>
                    </a:xfrm>
                    <a:prstGeom prst="rect">
                      <a:avLst/>
                    </a:prstGeom>
                    <a:noFill/>
                  </pic:spPr>
                </pic:pic>
              </a:graphicData>
            </a:graphic>
          </wp:anchor>
        </w:drawing>
        <w:drawing>
          <wp:anchor simplePos="0" relativeHeight="251657728" behindDoc="1" locked="0" layoutInCell="0" allowOverlap="1">
            <wp:simplePos x="0" y="0"/>
            <wp:positionH relativeFrom="page">
              <wp:posOffset>419100</wp:posOffset>
            </wp:positionH>
            <wp:positionV relativeFrom="page">
              <wp:posOffset>327660</wp:posOffset>
            </wp:positionV>
            <wp:extent cx="2121535" cy="279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clrChange>
                        <a:clrFrom>
                          <a:srgbClr val="FFFFFF"/>
                        </a:clrFrom>
                        <a:clrTo>
                          <a:srgbClr val="FFFFFF">
                            <a:alpha val="0"/>
                          </a:srgbClr>
                        </a:clrTo>
                      </a:clrChange>
                      <a:extLst>
                        <a:ext uri="{28A0092B-C50C-407E-A947-70E740481C1C}"/>
                      </a:extLst>
                    </a:blip>
                    <a:srcRect/>
                    <a:stretch>
                      <a:fillRect/>
                    </a:stretch>
                  </pic:blipFill>
                  <pic:spPr bwMode="auto">
                    <a:xfrm>
                      <a:off x="0" y="0"/>
                      <a:ext cx="2121535" cy="279400"/>
                    </a:xfrm>
                    <a:prstGeom prst="rect">
                      <a:avLst/>
                    </a:prstGeom>
                    <a:noFill/>
                  </pic:spPr>
                </pic:pic>
              </a:graphicData>
            </a:graphic>
          </wp:anchor>
        </w:drawing>
        <w:t>YOUR VOTE IS IMPORTANT! PLEASE VOTE BY:</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34"/>
        </w:trPr>
        <w:tc>
          <w:tcPr>
            <w:tcW w:w="5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P.O. BOX 8016, CARY, NC 27512-9903</w:t>
            </w:r>
          </w:p>
        </w:tc>
        <w:tc>
          <w:tcPr>
            <w:tcW w:w="5280" w:type="dxa"/>
            <w:vAlign w:val="bottom"/>
            <w:tcBorders>
              <w:top w:val="single" w:sz="8" w:color="auto"/>
              <w:right w:val="single" w:sz="8" w:color="auto"/>
            </w:tcBorders>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INTERNET</w:t>
            </w:r>
          </w:p>
        </w:tc>
        <w:tc>
          <w:tcPr>
            <w:tcW w:w="0" w:type="dxa"/>
            <w:vAlign w:val="bottom"/>
          </w:tcPr>
          <w:p>
            <w:pPr>
              <w:spacing w:after="0"/>
              <w:rPr>
                <w:sz w:val="1"/>
                <w:szCs w:val="1"/>
                <w:color w:val="auto"/>
              </w:rPr>
            </w:pPr>
          </w:p>
        </w:tc>
      </w:tr>
      <w:tr>
        <w:trPr>
          <w:trHeight w:val="103"/>
        </w:trPr>
        <w:tc>
          <w:tcPr>
            <w:tcW w:w="5280" w:type="dxa"/>
            <w:vAlign w:val="bottom"/>
            <w:tcBorders>
              <w:right w:val="single" w:sz="8" w:color="auto"/>
            </w:tcBorders>
          </w:tcPr>
          <w:p>
            <w:pPr>
              <w:spacing w:after="0"/>
              <w:rPr>
                <w:sz w:val="8"/>
                <w:szCs w:val="8"/>
                <w:color w:val="auto"/>
              </w:rPr>
            </w:pPr>
          </w:p>
        </w:tc>
        <w:tc>
          <w:tcPr>
            <w:tcW w:w="52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5280" w:type="dxa"/>
            <w:vAlign w:val="bottom"/>
            <w:tcBorders>
              <w:right w:val="single" w:sz="8" w:color="auto"/>
            </w:tcBorders>
          </w:tcPr>
          <w:p>
            <w:pPr>
              <w:spacing w:after="0"/>
              <w:rPr>
                <w:sz w:val="16"/>
                <w:szCs w:val="16"/>
                <w:color w:val="auto"/>
              </w:rPr>
            </w:pPr>
          </w:p>
        </w:tc>
        <w:tc>
          <w:tcPr>
            <w:tcW w:w="528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 xml:space="preserve">Go To: </w:t>
            </w:r>
            <w:r>
              <w:rPr>
                <w:rFonts w:ascii="Times New Roman" w:cs="Times New Roman" w:eastAsia="Times New Roman" w:hAnsi="Times New Roman"/>
                <w:sz w:val="14"/>
                <w:szCs w:val="14"/>
                <w:b w:val="1"/>
                <w:bCs w:val="1"/>
                <w:color w:val="auto"/>
              </w:rPr>
              <w:t>www.proxypush.com/ACIW</w:t>
            </w:r>
          </w:p>
        </w:tc>
        <w:tc>
          <w:tcPr>
            <w:tcW w:w="0" w:type="dxa"/>
            <w:vAlign w:val="bottom"/>
          </w:tcPr>
          <w:p>
            <w:pPr>
              <w:spacing w:after="0"/>
              <w:rPr>
                <w:sz w:val="1"/>
                <w:szCs w:val="1"/>
                <w:color w:val="auto"/>
              </w:rPr>
            </w:pPr>
          </w:p>
        </w:tc>
      </w:tr>
      <w:tr>
        <w:trPr>
          <w:trHeight w:val="153"/>
        </w:trPr>
        <w:tc>
          <w:tcPr>
            <w:tcW w:w="5280" w:type="dxa"/>
            <w:vAlign w:val="bottom"/>
            <w:tcBorders>
              <w:right w:val="single" w:sz="8" w:color="auto"/>
            </w:tcBorders>
          </w:tcPr>
          <w:p>
            <w:pPr>
              <w:spacing w:after="0"/>
              <w:rPr>
                <w:sz w:val="13"/>
                <w:szCs w:val="13"/>
                <w:color w:val="auto"/>
              </w:rPr>
            </w:pPr>
          </w:p>
        </w:tc>
        <w:tc>
          <w:tcPr>
            <w:tcW w:w="5280" w:type="dxa"/>
            <w:vAlign w:val="bottom"/>
            <w:tcBorders>
              <w:right w:val="single" w:sz="8" w:color="auto"/>
            </w:tcBorders>
          </w:tcPr>
          <w:p>
            <w:pPr>
              <w:ind w:left="780"/>
              <w:spacing w:after="0" w:line="153" w:lineRule="exact"/>
              <w:rPr>
                <w:sz w:val="20"/>
                <w:szCs w:val="20"/>
                <w:color w:val="auto"/>
              </w:rPr>
            </w:pPr>
            <w:r>
              <w:rPr>
                <w:rFonts w:ascii="Times New Roman" w:cs="Times New Roman" w:eastAsia="Times New Roman" w:hAnsi="Times New Roman"/>
                <w:sz w:val="14"/>
                <w:szCs w:val="14"/>
                <w:color w:val="auto"/>
              </w:rPr>
              <w:t>●    Cast your vote online</w:t>
            </w:r>
          </w:p>
        </w:tc>
        <w:tc>
          <w:tcPr>
            <w:tcW w:w="0" w:type="dxa"/>
            <w:vAlign w:val="bottom"/>
          </w:tcPr>
          <w:p>
            <w:pPr>
              <w:spacing w:after="0"/>
              <w:rPr>
                <w:sz w:val="1"/>
                <w:szCs w:val="1"/>
                <w:color w:val="auto"/>
              </w:rPr>
            </w:pPr>
          </w:p>
        </w:tc>
      </w:tr>
      <w:tr>
        <w:trPr>
          <w:trHeight w:val="157"/>
        </w:trPr>
        <w:tc>
          <w:tcPr>
            <w:tcW w:w="5280" w:type="dxa"/>
            <w:vAlign w:val="bottom"/>
            <w:tcBorders>
              <w:right w:val="single" w:sz="8" w:color="auto"/>
            </w:tcBorders>
          </w:tcPr>
          <w:p>
            <w:pPr>
              <w:spacing w:after="0"/>
              <w:rPr>
                <w:sz w:val="13"/>
                <w:szCs w:val="13"/>
                <w:color w:val="auto"/>
              </w:rPr>
            </w:pPr>
          </w:p>
        </w:tc>
        <w:tc>
          <w:tcPr>
            <w:tcW w:w="5280" w:type="dxa"/>
            <w:vAlign w:val="bottom"/>
            <w:tcBorders>
              <w:right w:val="single" w:sz="8" w:color="auto"/>
            </w:tcBorders>
          </w:tcPr>
          <w:p>
            <w:pPr>
              <w:ind w:left="780"/>
              <w:spacing w:after="0" w:line="157"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Have your Proxy Card ready</w:t>
            </w:r>
          </w:p>
        </w:tc>
        <w:tc>
          <w:tcPr>
            <w:tcW w:w="0" w:type="dxa"/>
            <w:vAlign w:val="bottom"/>
          </w:tcPr>
          <w:p>
            <w:pPr>
              <w:spacing w:after="0"/>
              <w:rPr>
                <w:sz w:val="1"/>
                <w:szCs w:val="1"/>
                <w:color w:val="auto"/>
              </w:rPr>
            </w:pPr>
          </w:p>
        </w:tc>
      </w:tr>
      <w:tr>
        <w:trPr>
          <w:trHeight w:val="186"/>
        </w:trPr>
        <w:tc>
          <w:tcPr>
            <w:tcW w:w="5280" w:type="dxa"/>
            <w:vAlign w:val="bottom"/>
            <w:tcBorders>
              <w:right w:val="single" w:sz="8" w:color="auto"/>
            </w:tcBorders>
          </w:tcPr>
          <w:p>
            <w:pPr>
              <w:spacing w:after="0"/>
              <w:rPr>
                <w:sz w:val="16"/>
                <w:szCs w:val="16"/>
                <w:color w:val="auto"/>
              </w:rPr>
            </w:pPr>
          </w:p>
        </w:tc>
        <w:tc>
          <w:tcPr>
            <w:tcW w:w="5280" w:type="dxa"/>
            <w:vAlign w:val="bottom"/>
            <w:tcBorders>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●    Follow the simple instructions to record your vote</w:t>
            </w:r>
          </w:p>
        </w:tc>
        <w:tc>
          <w:tcPr>
            <w:tcW w:w="0" w:type="dxa"/>
            <w:vAlign w:val="bottom"/>
          </w:tcPr>
          <w:p>
            <w:pPr>
              <w:spacing w:after="0"/>
              <w:rPr>
                <w:sz w:val="1"/>
                <w:szCs w:val="1"/>
                <w:color w:val="auto"/>
              </w:rPr>
            </w:pPr>
          </w:p>
        </w:tc>
      </w:tr>
      <w:tr>
        <w:trPr>
          <w:trHeight w:val="221"/>
        </w:trPr>
        <w:tc>
          <w:tcPr>
            <w:tcW w:w="5280" w:type="dxa"/>
            <w:vAlign w:val="bottom"/>
            <w:tcBorders>
              <w:right w:val="single" w:sz="8" w:color="auto"/>
            </w:tcBorders>
          </w:tcPr>
          <w:p>
            <w:pPr>
              <w:spacing w:after="0"/>
              <w:rPr>
                <w:sz w:val="19"/>
                <w:szCs w:val="19"/>
                <w:color w:val="auto"/>
              </w:rPr>
            </w:pPr>
          </w:p>
        </w:tc>
        <w:tc>
          <w:tcPr>
            <w:tcW w:w="528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 xml:space="preserve">PHONE </w:t>
            </w:r>
            <w:r>
              <w:rPr>
                <w:rFonts w:ascii="Times New Roman" w:cs="Times New Roman" w:eastAsia="Times New Roman" w:hAnsi="Times New Roman"/>
                <w:sz w:val="14"/>
                <w:szCs w:val="14"/>
                <w:color w:val="auto"/>
              </w:rPr>
              <w:t>Call</w:t>
            </w:r>
            <w:r>
              <w:rPr>
                <w:rFonts w:ascii="Times New Roman" w:cs="Times New Roman" w:eastAsia="Times New Roman" w:hAnsi="Times New Roman"/>
                <w:sz w:val="14"/>
                <w:szCs w:val="14"/>
                <w:b w:val="1"/>
                <w:bCs w:val="1"/>
                <w:color w:val="auto"/>
              </w:rPr>
              <w:t xml:space="preserve"> 1-866-390-5392</w:t>
            </w:r>
          </w:p>
        </w:tc>
        <w:tc>
          <w:tcPr>
            <w:tcW w:w="0" w:type="dxa"/>
            <w:vAlign w:val="bottom"/>
          </w:tcPr>
          <w:p>
            <w:pPr>
              <w:spacing w:after="0"/>
              <w:rPr>
                <w:sz w:val="1"/>
                <w:szCs w:val="1"/>
                <w:color w:val="auto"/>
              </w:rPr>
            </w:pPr>
          </w:p>
        </w:tc>
      </w:tr>
      <w:tr>
        <w:trPr>
          <w:trHeight w:val="153"/>
        </w:trPr>
        <w:tc>
          <w:tcPr>
            <w:tcW w:w="5280" w:type="dxa"/>
            <w:vAlign w:val="bottom"/>
            <w:tcBorders>
              <w:right w:val="single" w:sz="8" w:color="auto"/>
            </w:tcBorders>
          </w:tcPr>
          <w:p>
            <w:pPr>
              <w:spacing w:after="0"/>
              <w:rPr>
                <w:sz w:val="13"/>
                <w:szCs w:val="13"/>
                <w:color w:val="auto"/>
              </w:rPr>
            </w:pPr>
          </w:p>
        </w:tc>
        <w:tc>
          <w:tcPr>
            <w:tcW w:w="5280" w:type="dxa"/>
            <w:vAlign w:val="bottom"/>
            <w:tcBorders>
              <w:right w:val="single" w:sz="8" w:color="auto"/>
            </w:tcBorders>
          </w:tcPr>
          <w:p>
            <w:pPr>
              <w:ind w:left="780"/>
              <w:spacing w:after="0" w:line="153" w:lineRule="exact"/>
              <w:rPr>
                <w:sz w:val="20"/>
                <w:szCs w:val="20"/>
                <w:color w:val="auto"/>
              </w:rPr>
            </w:pPr>
            <w:r>
              <w:rPr>
                <w:rFonts w:ascii="Times New Roman" w:cs="Times New Roman" w:eastAsia="Times New Roman" w:hAnsi="Times New Roman"/>
                <w:sz w:val="14"/>
                <w:szCs w:val="14"/>
                <w:color w:val="auto"/>
              </w:rPr>
              <w:t>●    Use any touch-tone telephone</w:t>
            </w:r>
          </w:p>
        </w:tc>
        <w:tc>
          <w:tcPr>
            <w:tcW w:w="0" w:type="dxa"/>
            <w:vAlign w:val="bottom"/>
          </w:tcPr>
          <w:p>
            <w:pPr>
              <w:spacing w:after="0"/>
              <w:rPr>
                <w:sz w:val="1"/>
                <w:szCs w:val="1"/>
                <w:color w:val="auto"/>
              </w:rPr>
            </w:pPr>
          </w:p>
        </w:tc>
      </w:tr>
      <w:tr>
        <w:trPr>
          <w:trHeight w:val="157"/>
        </w:trPr>
        <w:tc>
          <w:tcPr>
            <w:tcW w:w="5280" w:type="dxa"/>
            <w:vAlign w:val="bottom"/>
            <w:tcBorders>
              <w:right w:val="single" w:sz="8" w:color="auto"/>
            </w:tcBorders>
          </w:tcPr>
          <w:p>
            <w:pPr>
              <w:spacing w:after="0"/>
              <w:rPr>
                <w:sz w:val="13"/>
                <w:szCs w:val="13"/>
                <w:color w:val="auto"/>
              </w:rPr>
            </w:pPr>
          </w:p>
        </w:tc>
        <w:tc>
          <w:tcPr>
            <w:tcW w:w="5280" w:type="dxa"/>
            <w:vAlign w:val="bottom"/>
            <w:tcBorders>
              <w:right w:val="single" w:sz="8" w:color="auto"/>
            </w:tcBorders>
          </w:tcPr>
          <w:p>
            <w:pPr>
              <w:ind w:left="780"/>
              <w:spacing w:after="0" w:line="157"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Have your Proxy Card ready</w:t>
            </w:r>
          </w:p>
        </w:tc>
        <w:tc>
          <w:tcPr>
            <w:tcW w:w="0" w:type="dxa"/>
            <w:vAlign w:val="bottom"/>
          </w:tcPr>
          <w:p>
            <w:pPr>
              <w:spacing w:after="0"/>
              <w:rPr>
                <w:sz w:val="1"/>
                <w:szCs w:val="1"/>
                <w:color w:val="auto"/>
              </w:rPr>
            </w:pPr>
          </w:p>
        </w:tc>
      </w:tr>
      <w:tr>
        <w:trPr>
          <w:trHeight w:val="181"/>
        </w:trPr>
        <w:tc>
          <w:tcPr>
            <w:tcW w:w="5280" w:type="dxa"/>
            <w:vAlign w:val="bottom"/>
            <w:tcBorders>
              <w:right w:val="single" w:sz="8" w:color="auto"/>
            </w:tcBorders>
          </w:tcPr>
          <w:p>
            <w:pPr>
              <w:spacing w:after="0"/>
              <w:rPr>
                <w:sz w:val="15"/>
                <w:szCs w:val="15"/>
                <w:color w:val="auto"/>
              </w:rPr>
            </w:pPr>
          </w:p>
        </w:tc>
        <w:tc>
          <w:tcPr>
            <w:tcW w:w="528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●    Follow the simple recorded instructions</w:t>
            </w:r>
          </w:p>
        </w:tc>
        <w:tc>
          <w:tcPr>
            <w:tcW w:w="0" w:type="dxa"/>
            <w:vAlign w:val="bottom"/>
          </w:tcPr>
          <w:p>
            <w:pPr>
              <w:spacing w:after="0"/>
              <w:rPr>
                <w:sz w:val="1"/>
                <w:szCs w:val="1"/>
                <w:color w:val="auto"/>
              </w:rPr>
            </w:pPr>
          </w:p>
        </w:tc>
      </w:tr>
      <w:tr>
        <w:trPr>
          <w:trHeight w:val="36"/>
        </w:trPr>
        <w:tc>
          <w:tcPr>
            <w:tcW w:w="5280" w:type="dxa"/>
            <w:vAlign w:val="bottom"/>
            <w:tcBorders>
              <w:right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280" w:type="dxa"/>
            <w:vAlign w:val="bottom"/>
            <w:tcBorders>
              <w:right w:val="single" w:sz="8" w:color="auto"/>
            </w:tcBorders>
          </w:tcPr>
          <w:p>
            <w:pPr>
              <w:spacing w:after="0"/>
              <w:rPr>
                <w:sz w:val="22"/>
                <w:szCs w:val="22"/>
                <w:color w:val="auto"/>
              </w:rPr>
            </w:pPr>
          </w:p>
        </w:tc>
        <w:tc>
          <w:tcPr>
            <w:tcW w:w="528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MAIL</w:t>
            </w:r>
          </w:p>
        </w:tc>
        <w:tc>
          <w:tcPr>
            <w:tcW w:w="0" w:type="dxa"/>
            <w:vAlign w:val="bottom"/>
          </w:tcPr>
          <w:p>
            <w:pPr>
              <w:spacing w:after="0"/>
              <w:rPr>
                <w:sz w:val="1"/>
                <w:szCs w:val="1"/>
                <w:color w:val="auto"/>
              </w:rPr>
            </w:pPr>
          </w:p>
        </w:tc>
      </w:tr>
      <w:tr>
        <w:trPr>
          <w:trHeight w:val="155"/>
        </w:trPr>
        <w:tc>
          <w:tcPr>
            <w:tcW w:w="5280" w:type="dxa"/>
            <w:vAlign w:val="bottom"/>
            <w:tcBorders>
              <w:right w:val="single" w:sz="8" w:color="auto"/>
            </w:tcBorders>
          </w:tcPr>
          <w:p>
            <w:pPr>
              <w:spacing w:after="0"/>
              <w:rPr>
                <w:sz w:val="13"/>
                <w:szCs w:val="13"/>
                <w:color w:val="auto"/>
              </w:rPr>
            </w:pPr>
          </w:p>
        </w:tc>
        <w:tc>
          <w:tcPr>
            <w:tcW w:w="5280" w:type="dxa"/>
            <w:vAlign w:val="bottom"/>
            <w:tcBorders>
              <w:right w:val="single" w:sz="8" w:color="auto"/>
            </w:tcBorders>
          </w:tcPr>
          <w:p>
            <w:pPr>
              <w:ind w:left="780"/>
              <w:spacing w:after="0" w:line="155" w:lineRule="exact"/>
              <w:rPr>
                <w:sz w:val="20"/>
                <w:szCs w:val="20"/>
                <w:color w:val="auto"/>
              </w:rPr>
            </w:pPr>
            <w:r>
              <w:rPr>
                <w:rFonts w:ascii="Times New Roman" w:cs="Times New Roman" w:eastAsia="Times New Roman" w:hAnsi="Times New Roman"/>
                <w:sz w:val="14"/>
                <w:szCs w:val="14"/>
                <w:color w:val="auto"/>
              </w:rPr>
              <w:t>●    Mark, sign and date your Proxy Card</w:t>
            </w:r>
          </w:p>
        </w:tc>
        <w:tc>
          <w:tcPr>
            <w:tcW w:w="0" w:type="dxa"/>
            <w:vAlign w:val="bottom"/>
          </w:tcPr>
          <w:p>
            <w:pPr>
              <w:spacing w:after="0"/>
              <w:rPr>
                <w:sz w:val="1"/>
                <w:szCs w:val="1"/>
                <w:color w:val="auto"/>
              </w:rPr>
            </w:pPr>
          </w:p>
        </w:tc>
      </w:tr>
      <w:tr>
        <w:trPr>
          <w:trHeight w:val="181"/>
        </w:trPr>
        <w:tc>
          <w:tcPr>
            <w:tcW w:w="5280" w:type="dxa"/>
            <w:vAlign w:val="bottom"/>
            <w:tcBorders>
              <w:right w:val="single" w:sz="8" w:color="auto"/>
            </w:tcBorders>
          </w:tcPr>
          <w:p>
            <w:pPr>
              <w:spacing w:after="0"/>
              <w:rPr>
                <w:sz w:val="15"/>
                <w:szCs w:val="15"/>
                <w:color w:val="auto"/>
              </w:rPr>
            </w:pPr>
          </w:p>
        </w:tc>
        <w:tc>
          <w:tcPr>
            <w:tcW w:w="528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●    Fold and return your Proxy Card in the postage-paid envelope provided</w:t>
            </w:r>
          </w:p>
        </w:tc>
        <w:tc>
          <w:tcPr>
            <w:tcW w:w="0" w:type="dxa"/>
            <w:vAlign w:val="bottom"/>
          </w:tcPr>
          <w:p>
            <w:pPr>
              <w:spacing w:after="0"/>
              <w:rPr>
                <w:sz w:val="1"/>
                <w:szCs w:val="1"/>
                <w:color w:val="auto"/>
              </w:rPr>
            </w:pPr>
          </w:p>
        </w:tc>
      </w:tr>
      <w:tr>
        <w:trPr>
          <w:trHeight w:val="88"/>
        </w:trPr>
        <w:tc>
          <w:tcPr>
            <w:tcW w:w="5280" w:type="dxa"/>
            <w:vAlign w:val="bottom"/>
            <w:tcBorders>
              <w:right w:val="single" w:sz="8" w:color="auto"/>
            </w:tcBorders>
          </w:tcPr>
          <w:p>
            <w:pPr>
              <w:spacing w:after="0"/>
              <w:rPr>
                <w:sz w:val="7"/>
                <w:szCs w:val="7"/>
                <w:color w:val="auto"/>
              </w:rPr>
            </w:pPr>
          </w:p>
        </w:tc>
        <w:tc>
          <w:tcPr>
            <w:tcW w:w="5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5280" w:type="dxa"/>
            <w:vAlign w:val="bottom"/>
            <w:tcBorders>
              <w:right w:val="single" w:sz="8" w:color="auto"/>
            </w:tcBorders>
          </w:tcPr>
          <w:p>
            <w:pPr>
              <w:spacing w:after="0"/>
              <w:rPr>
                <w:sz w:val="17"/>
                <w:szCs w:val="17"/>
                <w:color w:val="auto"/>
              </w:rPr>
            </w:pPr>
          </w:p>
        </w:tc>
        <w:tc>
          <w:tcPr>
            <w:tcW w:w="528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You must register to attend the meeting online and/or participate at</w:t>
            </w:r>
          </w:p>
        </w:tc>
        <w:tc>
          <w:tcPr>
            <w:tcW w:w="0" w:type="dxa"/>
            <w:vAlign w:val="bottom"/>
          </w:tcPr>
          <w:p>
            <w:pPr>
              <w:spacing w:after="0"/>
              <w:rPr>
                <w:sz w:val="1"/>
                <w:szCs w:val="1"/>
                <w:color w:val="auto"/>
              </w:rPr>
            </w:pPr>
          </w:p>
        </w:tc>
      </w:tr>
      <w:tr>
        <w:trPr>
          <w:trHeight w:val="183"/>
        </w:trPr>
        <w:tc>
          <w:tcPr>
            <w:tcW w:w="5280" w:type="dxa"/>
            <w:vAlign w:val="bottom"/>
            <w:tcBorders>
              <w:right w:val="single" w:sz="8" w:color="auto"/>
            </w:tcBorders>
          </w:tcPr>
          <w:p>
            <w:pPr>
              <w:spacing w:after="0"/>
              <w:rPr>
                <w:sz w:val="15"/>
                <w:szCs w:val="15"/>
                <w:color w:val="auto"/>
              </w:rPr>
            </w:pPr>
          </w:p>
        </w:tc>
        <w:tc>
          <w:tcPr>
            <w:tcW w:w="528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www.proxydocs.com/ACIW</w:t>
            </w:r>
          </w:p>
        </w:tc>
        <w:tc>
          <w:tcPr>
            <w:tcW w:w="0" w:type="dxa"/>
            <w:vAlign w:val="bottom"/>
          </w:tcPr>
          <w:p>
            <w:pPr>
              <w:spacing w:after="0"/>
              <w:rPr>
                <w:sz w:val="1"/>
                <w:szCs w:val="1"/>
                <w:color w:val="auto"/>
              </w:rPr>
            </w:pPr>
          </w:p>
        </w:tc>
      </w:tr>
      <w:tr>
        <w:trPr>
          <w:trHeight w:val="49"/>
        </w:trPr>
        <w:tc>
          <w:tcPr>
            <w:tcW w:w="5280" w:type="dxa"/>
            <w:vAlign w:val="bottom"/>
            <w:tcBorders>
              <w:right w:val="single" w:sz="8" w:color="auto"/>
            </w:tcBorders>
          </w:tcPr>
          <w:p>
            <w:pPr>
              <w:spacing w:after="0"/>
              <w:rPr>
                <w:sz w:val="4"/>
                <w:szCs w:val="4"/>
                <w:color w:val="auto"/>
              </w:rPr>
            </w:pPr>
          </w:p>
        </w:tc>
        <w:tc>
          <w:tcPr>
            <w:tcW w:w="5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-1577975</wp:posOffset>
            </wp:positionV>
            <wp:extent cx="320675" cy="2222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20675" cy="22225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-1068070</wp:posOffset>
            </wp:positionV>
            <wp:extent cx="164465" cy="2876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64465" cy="28765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-640715</wp:posOffset>
            </wp:positionV>
            <wp:extent cx="386715" cy="2876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6715" cy="28765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-262255</wp:posOffset>
            </wp:positionV>
            <wp:extent cx="361950" cy="2470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61950" cy="24701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57785</wp:posOffset>
            </wp:positionV>
            <wp:extent cx="337185" cy="3124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7185" cy="312420"/>
                    </a:xfrm>
                    <a:prstGeom prst="rect">
                      <a:avLst/>
                    </a:prstGeom>
                    <a:noFill/>
                  </pic:spPr>
                </pic:pic>
              </a:graphicData>
            </a:graphic>
          </wp:anchor>
        </w:drawing>
      </w:r>
    </w:p>
    <w:p>
      <w:pPr>
        <w:spacing w:after="0" w:line="14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Go Green! To receive documents via e-mail, simply go to:</w:t>
      </w:r>
    </w:p>
    <w:p>
      <w:pPr>
        <w:ind w:left="6080"/>
        <w:spacing w:after="0"/>
        <w:rPr>
          <w:sz w:val="20"/>
          <w:szCs w:val="20"/>
          <w:color w:val="auto"/>
        </w:rPr>
      </w:pPr>
      <w:r>
        <w:rPr>
          <w:rFonts w:ascii="Times New Roman" w:cs="Times New Roman" w:eastAsia="Times New Roman" w:hAnsi="Times New Roman"/>
          <w:sz w:val="14"/>
          <w:szCs w:val="14"/>
          <w:color w:val="auto"/>
        </w:rPr>
        <w:t>www.proxydocs.com/ACIW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5443855</wp:posOffset>
            </wp:positionH>
            <wp:positionV relativeFrom="paragraph">
              <wp:posOffset>864235</wp:posOffset>
            </wp:positionV>
            <wp:extent cx="1044575" cy="2959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044575" cy="29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ACI Worldwide,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Stockholders of record as of April 06, 2023</w:t>
      </w:r>
    </w:p>
    <w:p>
      <w:pPr>
        <w:spacing w:after="0" w:line="36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TIME:</w:t>
      </w:r>
      <w:r>
        <w:rPr>
          <w:sz w:val="20"/>
          <w:szCs w:val="20"/>
          <w:color w:val="auto"/>
        </w:rPr>
        <w:tab/>
      </w:r>
      <w:r>
        <w:rPr>
          <w:rFonts w:ascii="Times New Roman" w:cs="Times New Roman" w:eastAsia="Times New Roman" w:hAnsi="Times New Roman"/>
          <w:sz w:val="17"/>
          <w:szCs w:val="17"/>
          <w:color w:val="auto"/>
        </w:rPr>
        <w:t>Thursday, June 1, 2023 10:00 AM, Eastern Time</w:t>
      </w:r>
    </w:p>
    <w:p>
      <w:pPr>
        <w:spacing w:after="0" w:line="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PLACE:</w:t>
      </w:r>
      <w:r>
        <w:rPr>
          <w:sz w:val="20"/>
          <w:szCs w:val="20"/>
          <w:color w:val="auto"/>
        </w:rPr>
        <w:tab/>
      </w:r>
      <w:r>
        <w:rPr>
          <w:rFonts w:ascii="Times New Roman" w:cs="Times New Roman" w:eastAsia="Times New Roman" w:hAnsi="Times New Roman"/>
          <w:sz w:val="17"/>
          <w:szCs w:val="17"/>
          <w:color w:val="auto"/>
        </w:rPr>
        <w:t>Annual Meeting to be held live via the Internet - please visit</w:t>
      </w:r>
    </w:p>
    <w:p>
      <w:pPr>
        <w:spacing w:after="0" w:line="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www.proxydocs.com/ACIW for more details.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This proxy is being solicited on behalf of the Board of Directors</w:t>
      </w:r>
    </w:p>
    <w:p>
      <w:pPr>
        <w:spacing w:after="0" w:line="78"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7"/>
          <w:szCs w:val="17"/>
          <w:color w:val="auto"/>
        </w:rPr>
        <w:t>The undersigned hereby appoints Craig Maki and Karen Hobbs (the “Named Proxies”), and each or either of them, as the true and lawful attorneys of the undersigned, with full power of substitution and revocation, and authorizes them, and each of them, to vote all the shares of capital stock of ACI Worldwide,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6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66"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PLEASE BE SURE TO SIGN AND DATE THIS PROXY CARD AND MARK ON THE REVERSE SIDE</w:t>
      </w:r>
    </w:p>
    <w:p>
      <w:pPr>
        <w:sectPr>
          <w:pgSz w:w="11900" w:h="16838" w:orient="portrait"/>
          <w:cols w:equalWidth="0" w:num="1">
            <w:col w:w="10560"/>
          </w:cols>
          <w:pgMar w:left="660" w:top="637" w:right="679" w:bottom="1440" w:gutter="0" w:footer="0" w:header="0"/>
        </w:sectPr>
      </w:pPr>
    </w:p>
    <w:bookmarkStart w:id="111" w:name="page112"/>
    <w:bookmarkEnd w:id="111"/>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ACI Worldwide, Inc.</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144780</wp:posOffset>
            </wp:positionV>
            <wp:extent cx="197485" cy="1974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97485" cy="19748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Please make your marks like this: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w:t>
      </w:r>
    </w:p>
    <w:p>
      <w:pPr>
        <w:spacing w:after="0" w:line="2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3"/>
          <w:szCs w:val="13"/>
          <w:color w:val="auto"/>
        </w:rPr>
        <w:t>ALL NOMINEES FOR DIRECTOR ON PROPOSAL 1, FOR PROPOSALS 2, 3 AND 5, AND</w:t>
      </w:r>
      <w:r>
        <w:rPr>
          <w:rFonts w:ascii="Times New Roman" w:cs="Times New Roman" w:eastAsia="Times New Roman" w:hAnsi="Times New Roman"/>
          <w:sz w:val="13"/>
          <w:szCs w:val="13"/>
          <w:b w:val="1"/>
          <w:bCs w:val="1"/>
          <w:color w:val="auto"/>
        </w:rPr>
        <w:t xml:space="preserve"> 1 YEAR </w:t>
      </w:r>
      <w:r>
        <w:rPr>
          <w:rFonts w:ascii="Times New Roman" w:cs="Times New Roman" w:eastAsia="Times New Roman" w:hAnsi="Times New Roman"/>
          <w:sz w:val="13"/>
          <w:szCs w:val="13"/>
          <w:color w:val="auto"/>
        </w:rPr>
        <w:t>ON PROPOSAL 4</w:t>
      </w:r>
    </w:p>
    <w:p>
      <w:pPr>
        <w:sectPr>
          <w:pgSz w:w="11900" w:h="16838" w:orient="portrait"/>
          <w:cols w:equalWidth="0" w:num="1">
            <w:col w:w="10500"/>
          </w:cols>
          <w:pgMar w:left="660" w:top="263"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YOUR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BOARD OF</w:t>
      </w:r>
    </w:p>
    <w:p>
      <w:pPr>
        <w:jc w:val="center"/>
        <w:spacing w:after="0" w:line="212" w:lineRule="auto"/>
        <w:rPr>
          <w:sz w:val="20"/>
          <w:szCs w:val="20"/>
          <w:color w:val="auto"/>
        </w:rPr>
      </w:pPr>
      <w:r>
        <w:rPr>
          <w:rFonts w:ascii="Times New Roman" w:cs="Times New Roman" w:eastAsia="Times New Roman" w:hAnsi="Times New Roman"/>
          <w:sz w:val="14"/>
          <w:szCs w:val="14"/>
          <w:b w:val="1"/>
          <w:bCs w:val="1"/>
          <w:color w:val="auto"/>
        </w:rPr>
        <w:t>DIRECTORS</w:t>
      </w:r>
    </w:p>
    <w:p>
      <w:pPr>
        <w:jc w:val="center"/>
        <w:spacing w:after="0"/>
        <w:rPr>
          <w:sz w:val="20"/>
          <w:szCs w:val="20"/>
          <w:color w:val="auto"/>
        </w:rPr>
      </w:pPr>
      <w:r>
        <w:rPr>
          <w:rFonts w:ascii="Times New Roman" w:cs="Times New Roman" w:eastAsia="Times New Roman" w:hAnsi="Times New Roman"/>
          <w:sz w:val="13"/>
          <w:szCs w:val="13"/>
          <w:b w:val="1"/>
          <w:bCs w:val="1"/>
          <w:color w:val="auto"/>
        </w:rPr>
        <w:t>RECOMMENDS</w:t>
      </w:r>
    </w:p>
    <w:p>
      <w:pPr>
        <w:spacing w:after="0" w:line="46" w:lineRule="exact"/>
        <w:rPr>
          <w:sz w:val="20"/>
          <w:szCs w:val="20"/>
          <w:color w:val="auto"/>
        </w:rPr>
      </w:pPr>
    </w:p>
    <w:p>
      <w:pPr>
        <w:sectPr>
          <w:pgSz w:w="11900" w:h="16838" w:orient="portrait"/>
          <w:cols w:equalWidth="0" w:num="3">
            <w:col w:w="6280" w:space="720"/>
            <w:col w:w="1760" w:space="720"/>
            <w:col w:w="1020"/>
          </w:cols>
          <w:pgMar w:left="660" w:top="263" w:right="739" w:bottom="1440" w:gutter="0" w:footer="0" w:header="0"/>
          <w:type w:val="continuous"/>
        </w:sectPr>
      </w:pPr>
    </w:p>
    <w:p>
      <w:pPr>
        <w:ind w:left="320" w:hanging="320"/>
        <w:spacing w:after="0"/>
        <w:tabs>
          <w:tab w:leader="none" w:pos="3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6200775</wp:posOffset>
            </wp:positionH>
            <wp:positionV relativeFrom="paragraph">
              <wp:posOffset>-111760</wp:posOffset>
            </wp:positionV>
            <wp:extent cx="287655" cy="3289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87655" cy="32893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9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060" w:type="dxa"/>
            <w:vAlign w:val="bottom"/>
          </w:tcPr>
          <w:p>
            <w:pPr>
              <w:spacing w:after="0"/>
              <w:rPr>
                <w:sz w:val="13"/>
                <w:szCs w:val="13"/>
                <w:color w:val="auto"/>
              </w:rPr>
            </w:pPr>
          </w:p>
        </w:tc>
        <w:tc>
          <w:tcPr>
            <w:tcW w:w="880" w:type="dxa"/>
            <w:vAlign w:val="bottom"/>
            <w:vMerge w:val="restart"/>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w:t>
            </w: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Janet O. Estep</w:t>
            </w:r>
          </w:p>
        </w:tc>
        <w:tc>
          <w:tcPr>
            <w:tcW w:w="5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6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w:t>
            </w: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James C. Hale III</w:t>
            </w:r>
          </w:p>
        </w:tc>
        <w:tc>
          <w:tcPr>
            <w:tcW w:w="5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60" w:type="dxa"/>
            <w:vAlign w:val="bottom"/>
          </w:tcPr>
          <w:p>
            <w:pPr>
              <w:spacing w:after="0"/>
              <w:rPr>
                <w:sz w:val="24"/>
                <w:szCs w:val="24"/>
                <w:color w:val="auto"/>
              </w:rPr>
            </w:pPr>
          </w:p>
        </w:tc>
        <w:tc>
          <w:tcPr>
            <w:tcW w:w="880" w:type="dxa"/>
            <w:vAlign w:val="bottom"/>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337"/>
        </w:trPr>
        <w:tc>
          <w:tcPr>
            <w:tcW w:w="22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w:t>
            </w: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Mary P. Harman</w:t>
            </w:r>
          </w:p>
        </w:tc>
        <w:tc>
          <w:tcPr>
            <w:tcW w:w="5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60" w:type="dxa"/>
            <w:vAlign w:val="bottom"/>
          </w:tcPr>
          <w:p>
            <w:pPr>
              <w:spacing w:after="0"/>
              <w:rPr>
                <w:sz w:val="24"/>
                <w:szCs w:val="24"/>
                <w:color w:val="auto"/>
              </w:rPr>
            </w:pPr>
          </w:p>
        </w:tc>
        <w:tc>
          <w:tcPr>
            <w:tcW w:w="880" w:type="dxa"/>
            <w:vAlign w:val="bottom"/>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337"/>
        </w:trPr>
        <w:tc>
          <w:tcPr>
            <w:tcW w:w="22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1.04</w:t>
            </w: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Charles E. Peters, Jr.</w:t>
            </w:r>
          </w:p>
        </w:tc>
        <w:tc>
          <w:tcPr>
            <w:tcW w:w="5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60" w:type="dxa"/>
            <w:vAlign w:val="bottom"/>
          </w:tcPr>
          <w:p>
            <w:pPr>
              <w:spacing w:after="0"/>
              <w:rPr>
                <w:sz w:val="24"/>
                <w:szCs w:val="24"/>
                <w:color w:val="auto"/>
              </w:rPr>
            </w:pPr>
          </w:p>
        </w:tc>
        <w:tc>
          <w:tcPr>
            <w:tcW w:w="880" w:type="dxa"/>
            <w:vAlign w:val="bottom"/>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337"/>
        </w:trPr>
        <w:tc>
          <w:tcPr>
            <w:tcW w:w="22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1.05</w:t>
            </w: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Adalio T. Sanchez</w:t>
            </w:r>
          </w:p>
        </w:tc>
        <w:tc>
          <w:tcPr>
            <w:tcW w:w="5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60" w:type="dxa"/>
            <w:vAlign w:val="bottom"/>
          </w:tcPr>
          <w:p>
            <w:pPr>
              <w:spacing w:after="0"/>
              <w:rPr>
                <w:sz w:val="24"/>
                <w:szCs w:val="24"/>
                <w:color w:val="auto"/>
              </w:rPr>
            </w:pPr>
          </w:p>
        </w:tc>
        <w:tc>
          <w:tcPr>
            <w:tcW w:w="880" w:type="dxa"/>
            <w:vAlign w:val="bottom"/>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337"/>
        </w:trPr>
        <w:tc>
          <w:tcPr>
            <w:tcW w:w="22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1.06</w:t>
            </w: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W. Warsop III</w:t>
            </w:r>
          </w:p>
        </w:tc>
        <w:tc>
          <w:tcPr>
            <w:tcW w:w="5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60" w:type="dxa"/>
            <w:vAlign w:val="bottom"/>
          </w:tcPr>
          <w:p>
            <w:pPr>
              <w:spacing w:after="0"/>
              <w:rPr>
                <w:sz w:val="24"/>
                <w:szCs w:val="24"/>
                <w:color w:val="auto"/>
              </w:rPr>
            </w:pPr>
          </w:p>
        </w:tc>
        <w:tc>
          <w:tcPr>
            <w:tcW w:w="880" w:type="dxa"/>
            <w:vAlign w:val="bottom"/>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337"/>
        </w:trPr>
        <w:tc>
          <w:tcPr>
            <w:tcW w:w="22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1.07</w:t>
            </w: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Samir M. Zabaneh</w:t>
            </w:r>
          </w:p>
        </w:tc>
        <w:tc>
          <w:tcPr>
            <w:tcW w:w="5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60" w:type="dxa"/>
            <w:vAlign w:val="bottom"/>
          </w:tcPr>
          <w:p>
            <w:pPr>
              <w:spacing w:after="0"/>
              <w:rPr>
                <w:sz w:val="24"/>
                <w:szCs w:val="24"/>
                <w:color w:val="auto"/>
              </w:rPr>
            </w:pPr>
          </w:p>
        </w:tc>
        <w:tc>
          <w:tcPr>
            <w:tcW w:w="880" w:type="dxa"/>
            <w:vAlign w:val="bottom"/>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500"/>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9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060" w:type="dxa"/>
            <w:vAlign w:val="bottom"/>
          </w:tcPr>
          <w:p>
            <w:pPr>
              <w:spacing w:after="0"/>
              <w:rPr>
                <w:sz w:val="24"/>
                <w:szCs w:val="24"/>
                <w:color w:val="auto"/>
              </w:rPr>
            </w:pPr>
          </w:p>
        </w:tc>
        <w:tc>
          <w:tcPr>
            <w:tcW w:w="880" w:type="dxa"/>
            <w:vAlign w:val="bottom"/>
            <w:vMerge w:val="restart"/>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215"/>
        </w:trPr>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8"/>
              </w:rPr>
              <w:t>2.</w:t>
            </w: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To ratify the appointment of Deloitte &amp; Touche LLP as our independent</w:t>
            </w:r>
          </w:p>
        </w:tc>
        <w:tc>
          <w:tcPr>
            <w:tcW w:w="5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20" w:type="dxa"/>
            <w:vAlign w:val="bottom"/>
          </w:tcPr>
          <w:p>
            <w:pPr>
              <w:spacing w:after="0"/>
              <w:rPr>
                <w:sz w:val="19"/>
                <w:szCs w:val="19"/>
                <w:color w:val="auto"/>
              </w:rPr>
            </w:pP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registered public accounting firm for 2023;</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8"/>
              </w:rPr>
              <w:t>3.</w:t>
            </w: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To conduct an advisory vote to approve named executive officer compensation;</w:t>
            </w:r>
          </w:p>
        </w:tc>
        <w:tc>
          <w:tcPr>
            <w:tcW w:w="5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60" w:type="dxa"/>
            <w:vAlign w:val="bottom"/>
          </w:tcPr>
          <w:p>
            <w:pPr>
              <w:spacing w:after="0"/>
              <w:rPr>
                <w:sz w:val="24"/>
                <w:szCs w:val="24"/>
                <w:color w:val="auto"/>
              </w:rPr>
            </w:pPr>
          </w:p>
        </w:tc>
        <w:tc>
          <w:tcPr>
            <w:tcW w:w="880" w:type="dxa"/>
            <w:vAlign w:val="bottom"/>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1YR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2YR</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3YR</w:t>
            </w:r>
          </w:p>
        </w:tc>
        <w:tc>
          <w:tcPr>
            <w:tcW w:w="10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6"/>
              </w:rPr>
              <w:t>ABSTAIN</w:t>
            </w:r>
          </w:p>
        </w:tc>
        <w:tc>
          <w:tcPr>
            <w:tcW w:w="880" w:type="dxa"/>
            <w:vAlign w:val="bottom"/>
            <w:vMerge w:val="restart"/>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1 YEAR</w:t>
            </w:r>
          </w:p>
        </w:tc>
        <w:tc>
          <w:tcPr>
            <w:tcW w:w="0" w:type="dxa"/>
            <w:vAlign w:val="bottom"/>
          </w:tcPr>
          <w:p>
            <w:pPr>
              <w:spacing w:after="0"/>
              <w:rPr>
                <w:sz w:val="1"/>
                <w:szCs w:val="1"/>
                <w:color w:val="auto"/>
              </w:rPr>
            </w:pPr>
          </w:p>
        </w:tc>
      </w:tr>
      <w:tr>
        <w:trPr>
          <w:trHeight w:val="215"/>
        </w:trPr>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8"/>
              </w:rPr>
              <w:t>4.</w:t>
            </w: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To conduct an advisory vote on the frequency of future advisory votes on</w:t>
            </w:r>
          </w:p>
        </w:tc>
        <w:tc>
          <w:tcPr>
            <w:tcW w:w="5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60" w:type="dxa"/>
            <w:vAlign w:val="bottom"/>
          </w:tcPr>
          <w:p>
            <w:pPr>
              <w:jc w:val="center"/>
              <w:ind w:right="22"/>
              <w:spacing w:after="0" w:line="171" w:lineRule="exact"/>
              <w:rPr>
                <w:sz w:val="20"/>
                <w:szCs w:val="20"/>
                <w:color w:val="auto"/>
              </w:rPr>
            </w:pPr>
            <w:r>
              <w:rPr>
                <w:rFonts w:ascii="MS PGothic" w:cs="MS PGothic" w:eastAsia="MS PGothic" w:hAnsi="MS PGothic"/>
                <w:sz w:val="17"/>
                <w:szCs w:val="17"/>
                <w:color w:val="auto"/>
                <w:w w:val="93"/>
              </w:rPr>
              <w:t>☐</w:t>
            </w: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20" w:type="dxa"/>
            <w:vAlign w:val="bottom"/>
          </w:tcPr>
          <w:p>
            <w:pPr>
              <w:spacing w:after="0"/>
              <w:rPr>
                <w:sz w:val="19"/>
                <w:szCs w:val="19"/>
                <w:color w:val="auto"/>
              </w:rPr>
            </w:pP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executive compensation;</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9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8"/>
              </w:rPr>
              <w:t>5.</w:t>
            </w: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To approve the amendment and restatement of the ACI Worldwide, Inc. 2020</w:t>
            </w:r>
          </w:p>
        </w:tc>
        <w:tc>
          <w:tcPr>
            <w:tcW w:w="5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60" w:type="dxa"/>
            <w:vAlign w:val="bottom"/>
          </w:tcPr>
          <w:p>
            <w:pPr>
              <w:spacing w:after="0"/>
              <w:rPr>
                <w:sz w:val="20"/>
                <w:szCs w:val="20"/>
                <w:color w:val="auto"/>
              </w:rPr>
            </w:pPr>
          </w:p>
        </w:tc>
        <w:tc>
          <w:tcPr>
            <w:tcW w:w="880" w:type="dxa"/>
            <w:vAlign w:val="bottom"/>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226"/>
        </w:trPr>
        <w:tc>
          <w:tcPr>
            <w:tcW w:w="220" w:type="dxa"/>
            <w:vAlign w:val="bottom"/>
          </w:tcPr>
          <w:p>
            <w:pPr>
              <w:spacing w:after="0"/>
              <w:rPr>
                <w:sz w:val="19"/>
                <w:szCs w:val="19"/>
                <w:color w:val="auto"/>
              </w:rPr>
            </w:pP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Equity and Incentive Compensation Plan; and</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20" w:right="5160" w:hanging="320"/>
        <w:spacing w:after="0" w:line="291" w:lineRule="auto"/>
        <w:tabs>
          <w:tab w:leader="none" w:pos="3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and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40" w:right="3400"/>
        <w:spacing w:after="0" w:line="374" w:lineRule="auto"/>
        <w:rPr>
          <w:sz w:val="20"/>
          <w:szCs w:val="20"/>
          <w:color w:val="auto"/>
        </w:rPr>
      </w:pPr>
      <w:r>
        <w:rPr>
          <w:rFonts w:ascii="Times New Roman" w:cs="Times New Roman" w:eastAsia="Times New Roman" w:hAnsi="Times New Roman"/>
          <w:sz w:val="14"/>
          <w:szCs w:val="14"/>
          <w:b w:val="1"/>
          <w:bCs w:val="1"/>
          <w:color w:val="auto"/>
        </w:rPr>
        <w:t>You must register to attend the meeting online and/or participate at www.proxydocs.com/ACIW Authorized Signatures - Must be completed for your instructions to be executed.</w:t>
      </w:r>
    </w:p>
    <w:p>
      <w:pPr>
        <w:spacing w:after="0" w:line="1" w:lineRule="exact"/>
        <w:rPr>
          <w:sz w:val="20"/>
          <w:szCs w:val="20"/>
          <w:color w:val="auto"/>
        </w:rPr>
      </w:pPr>
    </w:p>
    <w:p>
      <w:pPr>
        <w:ind w:left="740" w:right="160"/>
        <w:spacing w:after="0" w:line="266" w:lineRule="auto"/>
        <w:rPr>
          <w:sz w:val="20"/>
          <w:szCs w:val="20"/>
          <w:color w:val="auto"/>
        </w:rPr>
      </w:pPr>
      <w:r>
        <w:rPr>
          <w:rFonts w:ascii="Times New Roman" w:cs="Times New Roman" w:eastAsia="Times New Roman" w:hAnsi="Times New Roman"/>
          <w:sz w:val="16"/>
          <w:szCs w:val="16"/>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19" w:lineRule="exact"/>
        <w:rPr>
          <w:sz w:val="20"/>
          <w:szCs w:val="20"/>
          <w:color w:val="auto"/>
        </w:rPr>
      </w:pPr>
    </w:p>
    <w:p>
      <w:pPr>
        <w:spacing w:after="0"/>
        <w:tabs>
          <w:tab w:leader="none" w:pos="3680" w:val="left"/>
          <w:tab w:leader="none" w:pos="5220" w:val="left"/>
          <w:tab w:leader="none" w:pos="9400" w:val="left"/>
        </w:tabs>
        <w:rPr>
          <w:sz w:val="20"/>
          <w:szCs w:val="20"/>
          <w:color w:val="auto"/>
        </w:rPr>
      </w:pPr>
      <w:r>
        <w:rPr>
          <w:rFonts w:ascii="Times New Roman" w:cs="Times New Roman" w:eastAsia="Times New Roman" w:hAnsi="Times New Roman"/>
          <w:sz w:val="16"/>
          <w:szCs w:val="16"/>
          <w:color w:val="auto"/>
        </w:rPr>
        <w:t>Signature (and Title if applicable)</w:t>
      </w:r>
      <w:r>
        <w:rPr>
          <w:sz w:val="20"/>
          <w:szCs w:val="20"/>
          <w:color w:val="auto"/>
        </w:rPr>
        <w:tab/>
      </w: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Signature (if held jointly)</w:t>
      </w:r>
      <w:r>
        <w:rPr>
          <w:sz w:val="20"/>
          <w:szCs w:val="20"/>
          <w:color w:val="auto"/>
        </w:rPr>
        <w:tab/>
      </w: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71004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sectPr>
      <w:pgSz w:w="11900" w:h="16838" w:orient="portrait"/>
      <w:cols w:equalWidth="0" w:num="1">
        <w:col w:w="10500"/>
      </w:cols>
      <w:pgMar w:left="660" w:top="263" w:right="7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1."/>
      <w:numFmt w:val="decimal"/>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1)"/>
      <w:numFmt w:val="decimal"/>
      <w:start w:val="4"/>
    </w:lvl>
  </w:abstractNum>
  <w:abstractNum w:abstractNumId="19">
    <w:nsid w:val="741226BB"/>
    <w:multiLevelType w:val="hybridMultilevel"/>
    <w:lvl w:ilvl="0">
      <w:lvlJc w:val="left"/>
      <w:lvlText w:val="(%1)"/>
      <w:numFmt w:val="decimal"/>
      <w:start w:val="3"/>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1)"/>
      <w:numFmt w:val="lowerRoman"/>
      <w:start w:val="1"/>
    </w:lvl>
  </w:abstractNum>
  <w:abstractNum w:abstractNumId="23">
    <w:nsid w:val="61574095"/>
    <w:multiLevelType w:val="hybridMultilevel"/>
    <w:lvl w:ilvl="0">
      <w:lvlJc w:val="left"/>
      <w:lvlText w:val="(%1)"/>
      <w:numFmt w:val="lowerRoman"/>
      <w:start w:val="3"/>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decimal"/>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1)"/>
      <w:numFmt w:val="decimal"/>
      <w:start w:val="1"/>
    </w:lvl>
  </w:abstractNum>
  <w:abstractNum w:abstractNumId="44">
    <w:nsid w:val="168E121F"/>
    <w:multiLevelType w:val="hybridMultilevel"/>
    <w:lvl w:ilvl="0">
      <w:lvlJc w:val="left"/>
      <w:lvlText w:val="(%1)"/>
      <w:numFmt w:val="decimal"/>
      <w:start w:val="2"/>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decimal"/>
      <w:start w:val="4"/>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1)"/>
      <w:numFmt w:val="decimal"/>
      <w:start w:val="1"/>
    </w:lvl>
  </w:abstractNum>
  <w:abstractNum w:abstractNumId="56">
    <w:nsid w:val="8F2B15E"/>
    <w:multiLevelType w:val="hybridMultilevel"/>
    <w:lvl w:ilvl="0">
      <w:lvlJc w:val="left"/>
      <w:lvlText w:val="(%1)"/>
      <w:numFmt w:val="decimal"/>
      <w:start w:val="1"/>
    </w:lvl>
  </w:abstractNum>
  <w:abstractNum w:abstractNumId="57">
    <w:nsid w:val="1A32234B"/>
    <w:multiLevelType w:val="hybridMultilevel"/>
    <w:lvl w:ilvl="0">
      <w:lvlJc w:val="left"/>
      <w:lvlText w:val="(%1)"/>
      <w:numFmt w:val="lowerRoman"/>
      <w:start w:val="5"/>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1"/>
    </w:lvl>
    <w:lvl w:ilvl="1">
      <w:lvlJc w:val="left"/>
      <w:lvlText w:val="\endash "/>
      <w:numFmt w:val="bullet"/>
      <w:start w:val="1"/>
    </w:lvl>
  </w:abstractNum>
  <w:abstractNum w:abstractNumId="60">
    <w:nsid w:val="4962813B"/>
    <w:multiLevelType w:val="hybridMultilevel"/>
    <w:lvl w:ilvl="0">
      <w:lvlJc w:val="left"/>
      <w:lvlText w:val="%1."/>
      <w:numFmt w:val="decimal"/>
      <w:start w:val="2"/>
    </w:lvl>
  </w:abstractNum>
  <w:abstractNum w:abstractNumId="61">
    <w:nsid w:val="60B6DF70"/>
    <w:multiLevelType w:val="hybridMultilevel"/>
    <w:lvl w:ilvl="0">
      <w:lvlJc w:val="left"/>
      <w:lvlText w:val="%1"/>
      <w:numFmt w:val="decimal"/>
      <w:start w:val="1"/>
    </w:lvl>
    <w:lvl w:ilvl="1">
      <w:lvlJc w:val="left"/>
      <w:lvlText w:val="%2)"/>
      <w:numFmt w:val="lowerLetter"/>
      <w:start w:val="1"/>
    </w:lvl>
  </w:abstractNum>
  <w:abstractNum w:abstractNumId="62">
    <w:nsid w:val="6A5EE64"/>
    <w:multiLevelType w:val="hybridMultilevel"/>
    <w:lvl w:ilvl="0">
      <w:lvlJc w:val="left"/>
      <w:lvlText w:val="%1."/>
      <w:numFmt w:val="decimal"/>
      <w:start w:val="4"/>
    </w:lvl>
    <w:lvl w:ilvl="1">
      <w:lvlJc w:val="left"/>
      <w:lvlText w:val="%2"/>
      <w:numFmt w:val="lowerLetter"/>
      <w:start w:val="1"/>
    </w:lvl>
  </w:abstractNum>
  <w:abstractNum w:abstractNumId="63">
    <w:nsid w:val="14330624"/>
    <w:multiLevelType w:val="hybridMultilevel"/>
    <w:lvl w:ilvl="0">
      <w:lvlJc w:val="left"/>
      <w:lvlText w:val="%1."/>
      <w:numFmt w:val="decimal"/>
      <w:start w:val="5"/>
    </w:lvl>
  </w:abstractNum>
  <w:abstractNum w:abstractNumId="64">
    <w:nsid w:val="7FFFCA11"/>
    <w:multiLevelType w:val="hybridMultilevel"/>
    <w:lvl w:ilvl="0">
      <w:lvlJc w:val="left"/>
      <w:lvlText w:val="%1."/>
      <w:numFmt w:val="decimal"/>
      <w:start w:val="1"/>
    </w:lvl>
    <w:lvl w:ilvl="1">
      <w:lvlJc w:val="left"/>
      <w:lvlText w:val="(%2)"/>
      <w:numFmt w:val="lowerLetter"/>
      <w:start w:val="1"/>
    </w:lvl>
  </w:abstractNum>
  <w:abstractNum w:abstractNumId="65">
    <w:nsid w:val="1A27709E"/>
    <w:multiLevelType w:val="hybridMultilevel"/>
    <w:lvl w:ilvl="0">
      <w:lvlJc w:val="left"/>
      <w:lvlText w:val="(%1)"/>
      <w:numFmt w:val="lowerLetter"/>
      <w:start w:val="15"/>
    </w:lvl>
  </w:abstractNum>
  <w:abstractNum w:abstractNumId="66">
    <w:nsid w:val="71EA1109"/>
    <w:multiLevelType w:val="hybridMultilevel"/>
    <w:lvl w:ilvl="0">
      <w:lvlJc w:val="left"/>
      <w:lvlText w:val="(%1)"/>
      <w:numFmt w:val="lowerLetter"/>
      <w:start w:val="25"/>
    </w:lvl>
  </w:abstractNum>
  <w:abstractNum w:abstractNumId="67">
    <w:nsid w:val="100F59DC"/>
    <w:multiLevelType w:val="hybridMultilevel"/>
    <w:lvl w:ilvl="0">
      <w:lvlJc w:val="left"/>
      <w:lvlText w:val="(%1)"/>
      <w:numFmt w:val="lowerLetter"/>
      <w:start w:val="27"/>
    </w:lvl>
  </w:abstractNum>
  <w:abstractNum w:abstractNumId="68">
    <w:nsid w:val="7FB7E0A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9"/>
    </w:lvl>
  </w:abstractNum>
  <w:abstractNum w:abstractNumId="69">
    <w:nsid w:val="6EB5BD4"/>
    <w:multiLevelType w:val="hybridMultilevel"/>
    <w:lvl w:ilvl="0">
      <w:lvlJc w:val="left"/>
      <w:lvlText w:val="%1."/>
      <w:numFmt w:val="decimal"/>
      <w:start w:val="3"/>
    </w:lvl>
    <w:lvl w:ilvl="1">
      <w:lvlJc w:val="left"/>
      <w:lvlText w:val="(%2)"/>
      <w:numFmt w:val="lowerRoman"/>
    </w:lvl>
    <w:lvl w:ilvl="2">
      <w:lvlJc w:val="left"/>
      <w:lvlText w:val="(%3)"/>
      <w:numFmt w:val="lowerLetter"/>
      <w:start w:val="1"/>
    </w:lvl>
  </w:abstractNum>
  <w:abstractNum w:abstractNumId="70">
    <w:nsid w:val="6F6DD9A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71">
    <w:nsid w:val="94211F2"/>
    <w:multiLevelType w:val="hybridMultilevel"/>
    <w:lvl w:ilvl="0">
      <w:lvlJc w:val="left"/>
      <w:lvlText w:val="(%1)"/>
      <w:numFmt w:val="lowerRoman"/>
      <w:start w:val="1"/>
    </w:lvl>
  </w:abstractNum>
  <w:abstractNum w:abstractNumId="72">
    <w:nsid w:val="885E1B"/>
    <w:multiLevelType w:val="hybridMultilevel"/>
    <w:lvl w:ilvl="0">
      <w:lvlJc w:val="left"/>
      <w:lvlText w:val="(%1)"/>
      <w:numFmt w:val="lowerRoman"/>
      <w:start w:val="4"/>
    </w:lvl>
  </w:abstractNum>
  <w:abstractNum w:abstractNumId="73">
    <w:nsid w:val="76272110"/>
    <w:multiLevelType w:val="hybridMultilevel"/>
    <w:lvl w:ilvl="0">
      <w:lvlJc w:val="left"/>
      <w:lvlText w:val="%1"/>
      <w:numFmt w:val="decimal"/>
      <w:start w:val="1"/>
    </w:lvl>
    <w:lvl w:ilvl="1">
      <w:lvlJc w:val="left"/>
      <w:lvlText w:val="(%2)"/>
      <w:numFmt w:val="lowerLetter"/>
      <w:start w:val="3"/>
    </w:lvl>
  </w:abstractNum>
  <w:abstractNum w:abstractNumId="74">
    <w:nsid w:val="4C04A8AF"/>
    <w:multiLevelType w:val="hybridMultilevel"/>
    <w:lvl w:ilvl="0">
      <w:lvlJc w:val="left"/>
      <w:lvlText w:val="%1."/>
      <w:numFmt w:val="decimal"/>
      <w:start w:val="4"/>
    </w:lvl>
    <w:lvl w:ilvl="1">
      <w:lvlJc w:val="left"/>
      <w:lvlText w:val="(%2)"/>
      <w:numFmt w:val="lowerLetter"/>
      <w:start w:val="1"/>
    </w:lvl>
  </w:abstractNum>
  <w:abstractNum w:abstractNumId="75">
    <w:nsid w:val="1716703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8"/>
    </w:lvl>
  </w:abstractNum>
  <w:abstractNum w:abstractNumId="76">
    <w:nsid w:val="14E17E33"/>
    <w:multiLevelType w:val="hybridMultilevel"/>
    <w:lvl w:ilvl="0">
      <w:lvlJc w:val="left"/>
      <w:lvlText w:val="%1."/>
      <w:numFmt w:val="decimal"/>
      <w:start w:val="5"/>
    </w:lvl>
    <w:lvl w:ilvl="1">
      <w:lvlJc w:val="left"/>
      <w:lvlText w:val="(%2)"/>
      <w:numFmt w:val="lowerRoman"/>
    </w:lvl>
    <w:lvl w:ilvl="2">
      <w:lvlJc w:val="left"/>
      <w:lvlText w:val="(%3)"/>
      <w:numFmt w:val="lowerLetter"/>
      <w:start w:val="1"/>
    </w:lvl>
  </w:abstractNum>
  <w:abstractNum w:abstractNumId="77">
    <w:nsid w:val="3222E7CD"/>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78">
    <w:nsid w:val="74DE0EE3"/>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79">
    <w:nsid w:val="68EBC550"/>
    <w:multiLevelType w:val="hybridMultilevel"/>
    <w:lvl w:ilvl="0">
      <w:lvlJc w:val="left"/>
      <w:lvlText w:val="%1."/>
      <w:numFmt w:val="decimal"/>
      <w:start w:val="6"/>
    </w:lvl>
    <w:lvl w:ilvl="1">
      <w:lvlJc w:val="left"/>
      <w:lvlText w:val="%2"/>
      <w:numFmt w:val="lowerRoman"/>
      <w:start w:val="1"/>
    </w:lvl>
    <w:lvl w:ilvl="2">
      <w:lvlJc w:val="left"/>
      <w:lvlText w:val="(%3)"/>
      <w:numFmt w:val="lowerLetter"/>
      <w:start w:val="1"/>
    </w:lvl>
  </w:abstractNum>
  <w:abstractNum w:abstractNumId="80">
    <w:nsid w:val="2DF6D648"/>
    <w:multiLevelType w:val="hybridMultilevel"/>
    <w:lvl w:ilvl="0">
      <w:lvlJc w:val="left"/>
      <w:lvlText w:val="%1"/>
      <w:numFmt w:val="decimal"/>
      <w:start w:val="1"/>
    </w:lvl>
    <w:lvl w:ilvl="1">
      <w:lvlJc w:val="left"/>
      <w:lvlText w:val="(%2)"/>
      <w:numFmt w:val="lowerLetter"/>
      <w:start w:val="3"/>
    </w:lvl>
  </w:abstractNum>
  <w:abstractNum w:abstractNumId="81">
    <w:nsid w:val="46B7D447"/>
    <w:multiLevelType w:val="hybridMultilevel"/>
    <w:lvl w:ilvl="0">
      <w:lvlJc w:val="left"/>
      <w:lvlText w:val="%1."/>
      <w:numFmt w:val="decimal"/>
      <w:start w:val="7"/>
    </w:lvl>
    <w:lvl w:ilvl="1">
      <w:lvlJc w:val="left"/>
      <w:lvlText w:val="(%2)"/>
      <w:numFmt w:val="lowerLetter"/>
      <w:start w:val="1"/>
    </w:lvl>
  </w:abstractNum>
  <w:abstractNum w:abstractNumId="82">
    <w:nsid w:val="4A2AC315"/>
    <w:multiLevelType w:val="hybridMultilevel"/>
    <w:lvl w:ilvl="0">
      <w:lvlJc w:val="left"/>
      <w:lvlText w:val="%1"/>
      <w:numFmt w:val="decimal"/>
      <w:start w:val="1"/>
    </w:lvl>
    <w:lvl w:ilvl="1">
      <w:lvlJc w:val="left"/>
      <w:lvlText w:val="(%2)"/>
      <w:numFmt w:val="lowerLetter"/>
      <w:start w:val="6"/>
    </w:lvl>
  </w:abstractNum>
  <w:abstractNum w:abstractNumId="83">
    <w:nsid w:val="39EE015C"/>
    <w:multiLevelType w:val="hybridMultilevel"/>
    <w:lvl w:ilvl="0">
      <w:lvlJc w:val="left"/>
      <w:lvlText w:val="%1."/>
      <w:numFmt w:val="decimal"/>
      <w:start w:val="8"/>
    </w:lvl>
    <w:lvl w:ilvl="1">
      <w:lvlJc w:val="left"/>
      <w:lvlText w:val="(%2)"/>
      <w:numFmt w:val="lowerLetter"/>
      <w:start w:val="1"/>
    </w:lvl>
  </w:abstractNum>
  <w:abstractNum w:abstractNumId="84">
    <w:nsid w:val="57FC4FBB"/>
    <w:multiLevelType w:val="hybridMultilevel"/>
    <w:lvl w:ilvl="0">
      <w:lvlJc w:val="left"/>
      <w:lvlText w:val="%1"/>
      <w:numFmt w:val="decimal"/>
      <w:start w:val="1"/>
    </w:lvl>
    <w:lvl w:ilvl="1">
      <w:lvlJc w:val="left"/>
      <w:lvlText w:val="(%2)"/>
      <w:numFmt w:val="lowerLetter"/>
      <w:start w:val="5"/>
    </w:lvl>
  </w:abstractNum>
  <w:abstractNum w:abstractNumId="85">
    <w:nsid w:val="CC1016F"/>
    <w:multiLevelType w:val="hybridMultilevel"/>
    <w:lvl w:ilvl="0">
      <w:lvlJc w:val="left"/>
      <w:lvlText w:val="%1."/>
      <w:numFmt w:val="decimal"/>
      <w:start w:val="10"/>
    </w:lvl>
    <w:lvl w:ilvl="1">
      <w:lvlJc w:val="left"/>
      <w:lvlText w:val="(%2)"/>
      <w:numFmt w:val="lowerLetter"/>
      <w:start w:val="1"/>
    </w:lvl>
  </w:abstractNum>
  <w:abstractNum w:abstractNumId="86">
    <w:nsid w:val="43F18422"/>
    <w:multiLevelType w:val="hybridMultilevel"/>
    <w:lvl w:ilvl="0">
      <w:lvlJc w:val="left"/>
      <w:lvlText w:val="%1."/>
      <w:numFmt w:val="decimal"/>
      <w:start w:val="12"/>
    </w:lvl>
    <w:lvl w:ilvl="1">
      <w:lvlJc w:val="left"/>
      <w:lvlText w:val="(%2)"/>
      <w:numFmt w:val="lowerLetter"/>
      <w:start w:val="1"/>
    </w:lvl>
  </w:abstractNum>
  <w:abstractNum w:abstractNumId="87">
    <w:nsid w:val="60EF0119"/>
    <w:multiLevelType w:val="hybridMultilevel"/>
    <w:lvl w:ilvl="0">
      <w:lvlJc w:val="left"/>
      <w:lvlText w:val="%1."/>
      <w:numFmt w:val="decimal"/>
      <w:start w:val="14"/>
    </w:lvl>
  </w:abstractNum>
  <w:abstractNum w:abstractNumId="88">
    <w:nsid w:val="26F324BA"/>
    <w:multiLevelType w:val="hybridMultilevel"/>
    <w:lvl w:ilvl="0">
      <w:lvlJc w:val="left"/>
      <w:lvlText w:val="%1"/>
      <w:numFmt w:val="decimal"/>
      <w:start w:val="1"/>
    </w:lvl>
    <w:lvl w:ilvl="1">
      <w:lvlJc w:val="left"/>
      <w:lvlText w:val="(%2)"/>
      <w:numFmt w:val="lowerLetter"/>
      <w:start w:val="1"/>
    </w:lvl>
  </w:abstractNum>
  <w:abstractNum w:abstractNumId="89">
    <w:nsid w:val="7F01579B"/>
    <w:multiLevelType w:val="hybridMultilevel"/>
    <w:lvl w:ilvl="0">
      <w:lvlJc w:val="left"/>
      <w:lvlText w:val="%1."/>
      <w:numFmt w:val="decimal"/>
      <w:start w:val="16"/>
    </w:lvl>
    <w:lvl w:ilvl="1">
      <w:lvlJc w:val="left"/>
      <w:lvlText w:val="%2"/>
      <w:numFmt w:val="lowerLetter"/>
      <w:start w:val="1"/>
    </w:lvl>
  </w:abstractNum>
  <w:abstractNum w:abstractNumId="90">
    <w:nsid w:val="49DA307D"/>
    <w:multiLevelType w:val="hybridMultilevel"/>
    <w:lvl w:ilvl="0">
      <w:lvlJc w:val="left"/>
      <w:lvlText w:val="%1."/>
      <w:numFmt w:val="decimal"/>
      <w:start w:val="17"/>
    </w:lvl>
  </w:abstractNum>
  <w:abstractNum w:abstractNumId="91">
    <w:nsid w:val="7055A5F5"/>
    <w:multiLevelType w:val="hybridMultilevel"/>
    <w:lvl w:ilvl="0">
      <w:lvlJc w:val="left"/>
      <w:lvlText w:val="%1"/>
      <w:numFmt w:val="decimal"/>
      <w:start w:val="1"/>
    </w:lvl>
    <w:lvl w:ilvl="1">
      <w:lvlJc w:val="left"/>
      <w:lvlText w:val="(%2)"/>
      <w:numFmt w:val="lowerLetter"/>
      <w:start w:val="2"/>
    </w:lvl>
  </w:abstractNum>
  <w:abstractNum w:abstractNumId="92">
    <w:nsid w:val="5FB8370B"/>
    <w:multiLevelType w:val="hybridMultilevel"/>
    <w:lvl w:ilvl="0">
      <w:lvlJc w:val="left"/>
      <w:lvlText w:val="%1."/>
      <w:numFmt w:val="decimal"/>
      <w:start w:val="18"/>
    </w:lvl>
    <w:lvl w:ilvl="1">
      <w:lvlJc w:val="left"/>
      <w:lvlText w:val="(%2)"/>
      <w:numFmt w:val="lowerLetter"/>
      <w:start w:val="1"/>
    </w:lvl>
  </w:abstractNum>
  <w:abstractNum w:abstractNumId="93">
    <w:nsid w:val="50801EE1"/>
    <w:multiLevelType w:val="hybridMultilevel"/>
    <w:lvl w:ilvl="0">
      <w:lvlJc w:val="left"/>
      <w:lvlText w:val="%1"/>
      <w:numFmt w:val="decimal"/>
      <w:start w:val="1"/>
    </w:lvl>
    <w:lvl w:ilvl="1">
      <w:lvlJc w:val="left"/>
      <w:lvlText w:val="(%2)"/>
      <w:numFmt w:val="lowerLetter"/>
      <w:start w:val="2"/>
    </w:lvl>
  </w:abstractNum>
  <w:abstractNum w:abstractNumId="94">
    <w:nsid w:val="488AC1A"/>
    <w:multiLevelType w:val="hybridMultilevel"/>
    <w:lvl w:ilvl="0">
      <w:lvlJc w:val="left"/>
      <w:lvlText w:val="%1."/>
      <w:numFmt w:val="decimal"/>
      <w:start w:val="19"/>
    </w:lvl>
    <w:lvl w:ilvl="1">
      <w:lvlJc w:val="left"/>
      <w:lvlText w:val="(%2)"/>
      <w:numFmt w:val="lowerLetter"/>
      <w:start w:val="1"/>
    </w:lvl>
  </w:abstractNum>
  <w:abstractNum w:abstractNumId="95">
    <w:nsid w:val="5FB8011C"/>
    <w:multiLevelType w:val="hybridMultilevel"/>
    <w:lvl w:ilvl="0">
      <w:lvlJc w:val="left"/>
      <w:lvlText w:val="%1"/>
      <w:numFmt w:val="decimal"/>
      <w:start w:val="1"/>
    </w:lvl>
    <w:lvl w:ilvl="1">
      <w:lvlJc w:val="left"/>
      <w:lvlText w:val="(%2)"/>
      <w:numFmt w:val="lowerLetter"/>
      <w:start w:val="3"/>
    </w:lvl>
  </w:abstractNum>
  <w:abstractNum w:abstractNumId="96">
    <w:nsid w:val="6AA78F7F"/>
    <w:multiLevelType w:val="hybridMultilevel"/>
    <w:lvl w:ilvl="0">
      <w:lvlJc w:val="left"/>
      <w:lvlText w:val="%1."/>
      <w:numFmt w:val="decimal"/>
      <w:start w:val="22"/>
    </w:lvl>
    <w:lvl w:ilvl="1">
      <w:lvlJc w:val="left"/>
      <w:lvlText w:val="(%2)"/>
      <w:numFmt w:val="lowerLetter"/>
      <w:start w:val="1"/>
    </w:lvl>
  </w:abstractNum>
  <w:abstractNum w:abstractNumId="97">
    <w:nsid w:val="7672BD23"/>
    <w:multiLevelType w:val="hybridMultilevel"/>
    <w:lvl w:ilvl="0">
      <w:lvlJc w:val="left"/>
      <w:lvlText w:val="(%1)"/>
      <w:numFmt w:val="lowerLetter"/>
      <w:start w:val="3"/>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2023-04-18T06:06:20Z</dcterms:created>
  <dcterms:modified xsi:type="dcterms:W3CDTF">2023-04-18T06:06:20Z</dcterms:modified>
</cp:coreProperties>
</file>