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color w:val="0000EE"/>
                </w:rPr>
                <w:t>PETERS CHARLES E JR</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8"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ACI WORLDWIDE,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ACIW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(Last)</w:t>
            </w:r>
          </w:p>
        </w:tc>
        <w:tc>
          <w:tcPr>
            <w:tcW w:w="1840" w:type="dxa"/>
            <w:vAlign w:val="bottom"/>
            <w:gridSpan w:val="3"/>
          </w:tcPr>
          <w:p>
            <w:pPr>
              <w:ind w:left="58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7"/>
            <w:vMerge w:val="continue"/>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w w:val="96"/>
              </w:rPr>
              <w:t>3520 KRAFT ROAD</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0000FF"/>
              </w:rPr>
              <w:t>06/12/2018</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SUITE 300</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9"/>
            <w:vMerge w:val="continue"/>
          </w:tcPr>
          <w:p>
            <w:pPr>
              <w:spacing w:after="0"/>
              <w:rPr>
                <w:sz w:val="6"/>
                <w:szCs w:val="6"/>
                <w:color w:val="auto"/>
              </w:rPr>
            </w:pPr>
          </w:p>
        </w:tc>
        <w:tc>
          <w:tcPr>
            <w:tcW w:w="160" w:type="dxa"/>
            <w:vAlign w:val="bottom"/>
          </w:tcPr>
          <w:p>
            <w:pPr>
              <w:spacing w:after="0"/>
              <w:rPr>
                <w:sz w:val="6"/>
                <w:szCs w:val="6"/>
                <w:color w:val="auto"/>
              </w:rPr>
            </w:pPr>
          </w:p>
        </w:tc>
        <w:tc>
          <w:tcPr>
            <w:tcW w:w="34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vMerge w:val="restart"/>
          </w:tcPr>
          <w:p>
            <w:pPr>
              <w:spacing w:after="0"/>
              <w:rPr>
                <w:sz w:val="6"/>
                <w:szCs w:val="6"/>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6"/>
                <w:szCs w:val="6"/>
                <w:color w:val="auto"/>
              </w:rPr>
            </w:pPr>
          </w:p>
        </w:tc>
        <w:tc>
          <w:tcPr>
            <w:tcW w:w="900" w:type="dxa"/>
            <w:vAlign w:val="bottom"/>
          </w:tcPr>
          <w:p>
            <w:pPr>
              <w:spacing w:after="0"/>
              <w:rPr>
                <w:sz w:val="6"/>
                <w:szCs w:val="6"/>
                <w:color w:val="auto"/>
              </w:rPr>
            </w:pPr>
          </w:p>
        </w:tc>
        <w:tc>
          <w:tcPr>
            <w:tcW w:w="9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60" w:type="dxa"/>
            <w:vAlign w:val="bottom"/>
            <w:gridSpan w:val="6"/>
          </w:tcPr>
          <w:p>
            <w:pPr>
              <w:ind w:left="100"/>
              <w:spacing w:after="0" w:line="201" w:lineRule="exact"/>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0000FF"/>
                <w:w w:val="99"/>
              </w:rPr>
              <w:t>NAPLES</w:t>
            </w: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FL</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34105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180"/>
              <w:spacing w:after="0" w:line="152"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(City)</w:t>
            </w:r>
          </w:p>
        </w:tc>
        <w:tc>
          <w:tcPr>
            <w:tcW w:w="1840" w:type="dxa"/>
            <w:vAlign w:val="bottom"/>
            <w:gridSpan w:val="3"/>
          </w:tcPr>
          <w:p>
            <w:pPr>
              <w:ind w:left="58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8060" w:type="dxa"/>
            <w:vAlign w:val="bottom"/>
            <w:tcBorders>
              <w:top w:val="single" w:sz="8" w:color="2C2C2C"/>
            </w:tcBorders>
            <w:gridSpan w:val="20"/>
          </w:tcPr>
          <w:p>
            <w:pPr>
              <w:jc w:val="center"/>
              <w:ind w:left="1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5"/>
                <w:szCs w:val="15"/>
                <w:color w:val="auto"/>
              </w:rPr>
            </w:pPr>
          </w:p>
        </w:tc>
        <w:tc>
          <w:tcPr>
            <w:tcW w:w="196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10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vMerge w:val="continue"/>
          </w:tcPr>
          <w:p>
            <w:pPr>
              <w:spacing w:after="0"/>
              <w:rPr>
                <w:sz w:val="11"/>
                <w:szCs w:val="11"/>
                <w:color w:val="auto"/>
              </w:rPr>
            </w:pPr>
          </w:p>
        </w:tc>
        <w:tc>
          <w:tcPr>
            <w:tcW w:w="620" w:type="dxa"/>
            <w:vAlign w:val="bottom"/>
            <w:gridSpan w:val="3"/>
            <w:vMerge w:val="restart"/>
          </w:tcPr>
          <w:p>
            <w:pPr>
              <w:jc w:val="right"/>
              <w:ind w:right="19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7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8"/>
                <w:szCs w:val="18"/>
                <w:color w:val="0000FF"/>
              </w:rPr>
              <w:t>06/12/2018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8"/>
                <w:szCs w:val="18"/>
                <w:color w:val="0000FF"/>
              </w:rPr>
              <w:t>9,720</w:t>
            </w:r>
            <w:r>
              <w:rPr>
                <w:rFonts w:ascii="Times New Roman" w:cs="Times New Roman" w:eastAsia="Times New Roman" w:hAnsi="Times New Roman"/>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8"/>
                <w:szCs w:val="18"/>
                <w:color w:val="0000FF"/>
              </w:rPr>
              <w:t>A</w:t>
            </w:r>
          </w:p>
        </w:tc>
        <w:tc>
          <w:tcPr>
            <w:tcW w:w="620" w:type="dxa"/>
            <w:vAlign w:val="bottom"/>
            <w:tcBorders>
              <w:bottom w:val="single" w:sz="8" w:color="2C2C2C"/>
            </w:tcBorders>
            <w:gridSpan w:val="3"/>
          </w:tcPr>
          <w:p>
            <w:pPr>
              <w:jc w:val="right"/>
              <w:ind w:right="7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8"/>
                <w:szCs w:val="18"/>
                <w:color w:val="0000FF"/>
              </w:rPr>
              <w:t>43,077</w:t>
            </w:r>
          </w:p>
        </w:tc>
        <w:tc>
          <w:tcPr>
            <w:tcW w:w="9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9"/>
          </w:tcPr>
          <w:p>
            <w:pPr>
              <w:jc w:val="center"/>
              <w:ind w:right="61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780" w:type="dxa"/>
            <w:vAlign w:val="bottom"/>
            <w:gridSpan w:val="16"/>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Price of</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vMerge w:val="continue"/>
          </w:tcPr>
          <w:p>
            <w:pPr>
              <w:spacing w:after="0"/>
              <w:rPr>
                <w:sz w:val="14"/>
                <w:szCs w:val="14"/>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60" w:firstLine="9"/>
        <w:spacing w:after="0" w:line="234"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Represents shares of restricted stock awarded on June 12, 2018 pursuant to the Company's 2016 Equity and Performance Incentive Plan. The restricted shares shall vest and the restricted period for such restricted shares shall expire on the earlier to occur of (i) the date which is one year following the date of grant and (ii) the day immediately prior to the date of the next annual meeting of the stockholders of the Company occurring following the date of grant.</w:t>
      </w:r>
    </w:p>
    <w:p>
      <w:pPr>
        <w:ind w:left="6860"/>
        <w:spacing w:after="0" w:line="183" w:lineRule="auto"/>
        <w:rPr>
          <w:sz w:val="20"/>
          <w:szCs w:val="20"/>
          <w:color w:val="auto"/>
        </w:rPr>
      </w:pPr>
      <w:r>
        <w:rPr>
          <w:rFonts w:ascii="Times New Roman" w:cs="Times New Roman" w:eastAsia="Times New Roman" w:hAnsi="Times New Roman"/>
          <w:sz w:val="17"/>
          <w:szCs w:val="17"/>
          <w:color w:val="0000FF"/>
        </w:rPr>
        <w:t xml:space="preserve">By: Dennis Byrnes, Attorney in </w:t>
      </w:r>
      <w:r>
        <w:rPr>
          <w:rFonts w:ascii="Times New Roman" w:cs="Times New Roman" w:eastAsia="Times New Roman" w:hAnsi="Times New Roman"/>
          <w:sz w:val="33"/>
          <w:szCs w:val="33"/>
          <w:color w:val="0000FF"/>
          <w:vertAlign w:val="subscript"/>
        </w:rPr>
        <w:t>06/14/2018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Fact For: Charles E Peters,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3284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842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1"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22882" TargetMode="External"/><Relationship Id="rId13" Type="http://schemas.openxmlformats.org/officeDocument/2006/relationships/hyperlink" Target="http://www.sec.gov/cgi-bin/browse-edgar?action=getcompany&amp;CIK=0000935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2019-12-24T06:42:33Z</dcterms:created>
  <dcterms:modified xsi:type="dcterms:W3CDTF">2019-12-24T06:42:33Z</dcterms:modified>
</cp:coreProperties>
</file>