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May 17, 2023 (May 11, 2023)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0-25346 </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ACI WORLDWIDE, INC. </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8860" w:type="dxa"/>
        <w:jc w:val="center"/>
        <w:tblInd w:w="0" w:type="dxa"/>
        <w:tblLayout w:type="fixed"/>
        <w:tblCellMar>
          <w:top w:w="28" w:type="dxa"/>
          <w:left w:w="28" w:type="dxa"/>
          <w:bottom w:w="28" w:type="dxa"/>
          <w:right w:w="28" w:type="dxa"/>
        </w:tblCellMar>
      </w:tblPr>
      <w:tblGrid>
        <w:gridCol w:w="822"/>
        <w:gridCol w:w="721"/>
        <w:gridCol w:w="721"/>
        <w:gridCol w:w="375"/>
        <w:gridCol w:w="375"/>
        <w:gridCol w:w="375"/>
        <w:gridCol w:w="425"/>
        <w:gridCol w:w="425"/>
        <w:gridCol w:w="425"/>
        <w:gridCol w:w="375"/>
        <w:gridCol w:w="375"/>
        <w:gridCol w:w="375"/>
        <w:gridCol w:w="109"/>
        <w:gridCol w:w="109"/>
        <w:gridCol w:w="109"/>
        <w:gridCol w:w="801"/>
        <w:gridCol w:w="801"/>
        <w:gridCol w:w="1142"/>
      </w:tblGrid>
      <w:tr>
        <w:trPr/>
        <w:tc>
          <w:tcPr>
            <w:tcW w:w="82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7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47-0772104</w:t>
            </w:r>
          </w:p>
        </w:tc>
      </w:tr>
      <w:tr>
        <w:trPr/>
        <w:tc>
          <w:tcPr>
            <w:tcW w:w="57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2811 Ponce de Leon Blvd</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Coral Gables,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0"/>
              <w:jc w:val="center"/>
              <w:rPr/>
            </w:pPr>
            <w:r>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33134</w:t>
            </w:r>
          </w:p>
        </w:tc>
      </w:tr>
      <w:tr>
        <w:trPr/>
        <w:tc>
          <w:tcPr>
            <w:tcW w:w="57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(239) 403-4660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347" w:type="dxa"/>
        <w:jc w:val="center"/>
        <w:tblInd w:w="0" w:type="dxa"/>
        <w:tblLayout w:type="fixed"/>
        <w:tblCellMar>
          <w:top w:w="28" w:type="dxa"/>
          <w:left w:w="28" w:type="dxa"/>
          <w:bottom w:w="28" w:type="dxa"/>
          <w:right w:w="28" w:type="dxa"/>
        </w:tblCellMar>
      </w:tblPr>
      <w:tblGrid>
        <w:gridCol w:w="1057"/>
        <w:gridCol w:w="927"/>
        <w:gridCol w:w="940"/>
        <w:gridCol w:w="109"/>
        <w:gridCol w:w="109"/>
        <w:gridCol w:w="109"/>
        <w:gridCol w:w="484"/>
        <w:gridCol w:w="484"/>
        <w:gridCol w:w="486"/>
        <w:gridCol w:w="109"/>
        <w:gridCol w:w="109"/>
        <w:gridCol w:w="109"/>
        <w:gridCol w:w="971"/>
        <w:gridCol w:w="971"/>
        <w:gridCol w:w="1373"/>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r>
        <w:rPr>
          <w:rFonts w:ascii="Times New Roman;sans-serif" w:hAnsi="Times New Roman;sans-serif"/>
          <w:b w:val="false"/>
          <w:color w:val="000000"/>
          <w:sz w:val="2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11, 2023, ACI Worldwide, Inc. (the "Company") notified Ram Puppala that his employment as Chief Technology Officer of the Company will cease effective June 30, 2023. Mr. Puppala will continue to receive his current salary and benefits through June 30, 2023. Mr. Puppala will be eligible for severance and medical continuation benefits under the Company's existing Severance Pay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 is filed with this report on Form 8-K:</w:t>
      </w:r>
    </w:p>
    <w:tbl>
      <w:tblPr>
        <w:tblW w:w="7679" w:type="dxa"/>
        <w:jc w:val="center"/>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w:t>
      </w:r>
    </w:p>
    <w:tbl>
      <w:tblPr>
        <w:tblW w:w="6104" w:type="dxa"/>
        <w:jc w:val="left"/>
        <w:tblInd w:w="0" w:type="dxa"/>
        <w:tblLayout w:type="fixed"/>
        <w:tblCellMar>
          <w:top w:w="28" w:type="dxa"/>
          <w:left w:w="28" w:type="dxa"/>
          <w:bottom w:w="28" w:type="dxa"/>
          <w:right w:w="28" w:type="dxa"/>
        </w:tblCellMar>
      </w:tblPr>
      <w:tblGrid>
        <w:gridCol w:w="629"/>
        <w:gridCol w:w="554"/>
        <w:gridCol w:w="557"/>
        <w:gridCol w:w="340"/>
        <w:gridCol w:w="340"/>
        <w:gridCol w:w="340"/>
        <w:gridCol w:w="973"/>
        <w:gridCol w:w="973"/>
        <w:gridCol w:w="139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ACI WORLDWIDE,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17, 2023</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HOBBS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Hobbs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Interim Chief Human Resources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463</Words>
  <Characters>2612</Characters>
  <CharactersWithSpaces>3028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