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0"/>
        <w:spacing w:after="0"/>
        <w:rPr>
          <w:sz w:val="20"/>
          <w:szCs w:val="20"/>
          <w:color w:val="auto"/>
        </w:rPr>
      </w:pPr>
      <w:r>
        <w:rPr>
          <w:rFonts w:ascii="Arial" w:cs="Arial" w:eastAsia="Arial" w:hAnsi="Arial"/>
          <w:sz w:val="31"/>
          <w:szCs w:val="31"/>
          <w:b w:val="1"/>
          <w:bCs w:val="1"/>
          <w:color w:val="auto"/>
        </w:rPr>
        <w:t>SCHEDULE 14A INFORMATION</w:t>
      </w:r>
    </w:p>
    <w:p>
      <w:pPr>
        <w:spacing w:after="0" w:line="178" w:lineRule="exact"/>
        <w:rPr>
          <w:sz w:val="24"/>
          <w:szCs w:val="24"/>
          <w:color w:val="auto"/>
        </w:rPr>
      </w:pPr>
    </w:p>
    <w:p>
      <w:pPr>
        <w:jc w:val="center"/>
        <w:ind w:right="-160"/>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12" w:lineRule="exact"/>
        <w:rPr>
          <w:sz w:val="24"/>
          <w:szCs w:val="24"/>
          <w:color w:val="auto"/>
        </w:rPr>
      </w:pPr>
    </w:p>
    <w:p>
      <w:pPr>
        <w:jc w:val="center"/>
        <w:ind w:right="-160"/>
        <w:spacing w:after="0"/>
        <w:rPr>
          <w:sz w:val="20"/>
          <w:szCs w:val="20"/>
          <w:color w:val="auto"/>
        </w:rPr>
      </w:pPr>
      <w:r>
        <w:rPr>
          <w:rFonts w:ascii="Arial" w:cs="Arial" w:eastAsia="Arial" w:hAnsi="Arial"/>
          <w:sz w:val="21"/>
          <w:szCs w:val="21"/>
          <w:b w:val="1"/>
          <w:bCs w:val="1"/>
          <w:color w:val="auto"/>
        </w:rPr>
        <w:t>Securities Exchange Act of 1934</w:t>
      </w:r>
    </w:p>
    <w:p>
      <w:pPr>
        <w:spacing w:after="0" w:line="13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rFonts w:ascii="Arial" w:cs="Arial" w:eastAsia="Arial" w:hAnsi="Arial"/>
          <w:sz w:val="16"/>
          <w:szCs w:val="16"/>
          <w:color w:val="auto"/>
        </w:rPr>
        <w:t xml:space="preserve">                        Filed by a Party other than the Registrant  </w:t>
      </w:r>
      <w:r>
        <w:rPr>
          <w:rFonts w:ascii="MS PGothic" w:cs="MS PGothic" w:eastAsia="MS PGothic" w:hAnsi="MS PGothic"/>
          <w:sz w:val="16"/>
          <w:szCs w:val="16"/>
          <w:color w:val="auto"/>
        </w:rPr>
        <w:t>☐</w:t>
      </w: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19" w:lineRule="exact"/>
        <w:rPr>
          <w:sz w:val="24"/>
          <w:szCs w:val="24"/>
          <w:color w:val="auto"/>
        </w:rPr>
      </w:pPr>
    </w:p>
    <w:p>
      <w:pPr>
        <w:ind w:left="480" w:hanging="474"/>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86" w:lineRule="exact"/>
        <w:rPr>
          <w:rFonts w:ascii="MS PGothic" w:cs="MS PGothic" w:eastAsia="MS PGothic" w:hAnsi="MS PGothic"/>
          <w:sz w:val="16"/>
          <w:szCs w:val="16"/>
          <w:color w:val="auto"/>
        </w:rPr>
      </w:pPr>
    </w:p>
    <w:p>
      <w:pPr>
        <w:ind w:left="480" w:hanging="474"/>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42" w:lineRule="exact"/>
        <w:rPr>
          <w:rFonts w:ascii="MS PGothic" w:cs="MS PGothic" w:eastAsia="MS PGothic" w:hAnsi="MS PGothic"/>
          <w:sz w:val="16"/>
          <w:szCs w:val="16"/>
          <w:color w:val="auto"/>
        </w:rPr>
      </w:pPr>
    </w:p>
    <w:p>
      <w:pPr>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4"/>
          <w:szCs w:val="14"/>
          <w:color w:val="auto"/>
        </w:rPr>
        <w:t>Definitive Proxy Statement</w:t>
      </w:r>
    </w:p>
    <w:p>
      <w:pPr>
        <w:spacing w:after="0" w:line="137" w:lineRule="exact"/>
        <w:rPr>
          <w:rFonts w:ascii="MS PGothic" w:cs="MS PGothic" w:eastAsia="MS PGothic" w:hAnsi="MS PGothic"/>
          <w:sz w:val="16"/>
          <w:szCs w:val="16"/>
          <w:color w:val="auto"/>
        </w:rPr>
      </w:pPr>
    </w:p>
    <w:p>
      <w:pPr>
        <w:ind w:left="480" w:hanging="474"/>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88" w:lineRule="exact"/>
        <w:rPr>
          <w:rFonts w:ascii="MS PGothic" w:cs="MS PGothic" w:eastAsia="MS PGothic" w:hAnsi="MS PGothic"/>
          <w:sz w:val="16"/>
          <w:szCs w:val="16"/>
          <w:color w:val="auto"/>
        </w:rPr>
      </w:pPr>
    </w:p>
    <w:p>
      <w:pPr>
        <w:ind w:left="480" w:hanging="474"/>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223" w:lineRule="exact"/>
        <w:rPr>
          <w:sz w:val="24"/>
          <w:szCs w:val="24"/>
          <w:color w:val="auto"/>
        </w:rPr>
      </w:pPr>
    </w:p>
    <w:p>
      <w:pPr>
        <w:jc w:val="center"/>
        <w:ind w:right="-160"/>
        <w:spacing w:after="0"/>
        <w:rPr>
          <w:sz w:val="20"/>
          <w:szCs w:val="20"/>
          <w:color w:val="auto"/>
        </w:rPr>
      </w:pPr>
      <w:r>
        <w:rPr>
          <w:rFonts w:ascii="Arial" w:cs="Arial" w:eastAsia="Arial" w:hAnsi="Arial"/>
          <w:sz w:val="38"/>
          <w:szCs w:val="38"/>
          <w:b w:val="1"/>
          <w:bCs w:val="1"/>
          <w:color w:val="auto"/>
        </w:rPr>
        <w:t>ACI WORLDWIDE, INC.</w:t>
      </w:r>
    </w:p>
    <w:p>
      <w:pPr>
        <w:spacing w:after="0" w:line="38" w:lineRule="exact"/>
        <w:rPr>
          <w:sz w:val="24"/>
          <w:szCs w:val="24"/>
          <w:color w:val="auto"/>
        </w:rPr>
      </w:pPr>
    </w:p>
    <w:p>
      <w:pPr>
        <w:jc w:val="center"/>
        <w:ind w:right="-160"/>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95" w:lineRule="exact"/>
        <w:rPr>
          <w:sz w:val="24"/>
          <w:szCs w:val="24"/>
          <w:color w:val="auto"/>
        </w:rPr>
      </w:pPr>
    </w:p>
    <w:p>
      <w:pPr>
        <w:jc w:val="center"/>
        <w:ind w:right="-1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all boxes that apply):</w:t>
      </w:r>
    </w:p>
    <w:p>
      <w:pPr>
        <w:spacing w:after="0" w:line="141" w:lineRule="exact"/>
        <w:rPr>
          <w:sz w:val="24"/>
          <w:szCs w:val="24"/>
          <w:color w:val="auto"/>
        </w:rPr>
      </w:pPr>
    </w:p>
    <w:p>
      <w:pPr>
        <w:ind w:left="480" w:hanging="474"/>
        <w:spacing w:after="0"/>
        <w:tabs>
          <w:tab w:leader="none" w:pos="4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41" w:lineRule="exact"/>
        <w:rPr>
          <w:sz w:val="24"/>
          <w:szCs w:val="24"/>
          <w:color w:val="auto"/>
        </w:rPr>
      </w:pPr>
    </w:p>
    <w:p>
      <w:pPr>
        <w:ind w:left="480" w:hanging="474"/>
        <w:spacing w:after="0"/>
        <w:tabs>
          <w:tab w:leader="none" w:pos="4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40" w:lineRule="exact"/>
        <w:rPr>
          <w:rFonts w:ascii="MS PGothic" w:cs="MS PGothic" w:eastAsia="MS PGothic" w:hAnsi="MS PGothic"/>
          <w:sz w:val="16"/>
          <w:szCs w:val="16"/>
          <w:color w:val="auto"/>
        </w:rPr>
      </w:pPr>
    </w:p>
    <w:p>
      <w:pPr>
        <w:ind w:left="480" w:hanging="474"/>
        <w:spacing w:after="0"/>
        <w:tabs>
          <w:tab w:leader="none" w:pos="4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25(b) per Exchange Act Rules 14a-6(i)(1) and 0-11</w:t>
      </w:r>
    </w:p>
    <w:p>
      <w:pPr>
        <w:sectPr>
          <w:pgSz w:w="11900" w:h="16838" w:orient="portrait"/>
          <w:cols w:equalWidth="0" w:num="1">
            <w:col w:w="9199"/>
          </w:cols>
          <w:pgMar w:left="1260" w:top="215" w:right="1440" w:bottom="1440" w:gutter="0" w:footer="0" w:header="0"/>
        </w:sectPr>
      </w:pPr>
    </w:p>
    <w:bookmarkStart w:id="1" w:name="page2"/>
    <w:bookmarkEnd w:id="1"/>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7368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9310" cy="7368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9310" cy="53975"/>
                    </a:xfrm>
                    <a:prstGeom prst="rect">
                      <a:avLst/>
                    </a:prstGeom>
                    <a:noFill/>
                  </pic:spPr>
                </pic:pic>
              </a:graphicData>
            </a:graphic>
          </wp:anchor>
        </w:drawing>
        <w:drawing>
          <wp:anchor simplePos="0" relativeHeight="251657728" behindDoc="1" locked="0" layoutInCell="0" allowOverlap="1">
            <wp:simplePos x="0" y="0"/>
            <wp:positionH relativeFrom="page">
              <wp:posOffset>808355</wp:posOffset>
            </wp:positionH>
            <wp:positionV relativeFrom="page">
              <wp:posOffset>196215</wp:posOffset>
            </wp:positionV>
            <wp:extent cx="2153920" cy="4127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53920" cy="412750"/>
                    </a:xfrm>
                    <a:prstGeom prst="rect">
                      <a:avLst/>
                    </a:prstGeom>
                    <a:noFill/>
                  </pic:spPr>
                </pic:pic>
              </a:graphicData>
            </a:graphic>
          </wp:anchor>
        </w:drawing>
      </w:r>
    </w:p>
    <w:p>
      <w:pPr>
        <w:spacing w:after="0"/>
        <w:rPr>
          <w:sz w:val="20"/>
          <w:szCs w:val="20"/>
          <w:color w:val="auto"/>
        </w:rPr>
      </w:pPr>
      <w:r>
        <w:rPr>
          <w:rFonts w:ascii="Arial" w:cs="Arial" w:eastAsia="Arial" w:hAnsi="Arial"/>
          <w:sz w:val="31"/>
          <w:szCs w:val="31"/>
          <w:color w:val="284993"/>
        </w:rPr>
        <w:t>Notice of 2024 Annual Meeting of Stockholders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2024 Annual General Meeting of Stockholders Details</w:t>
      </w:r>
    </w:p>
    <w:p>
      <w:pPr>
        <w:sectPr>
          <w:pgSz w:w="11900" w:h="16838" w:orient="portrait"/>
          <w:cols w:equalWidth="0" w:num="1">
            <w:col w:w="9360"/>
          </w:cols>
          <w:pgMar w:left="1260" w:top="1440" w:right="127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284993"/>
        </w:rPr>
        <w:t>Date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June 4, 2024</w:t>
      </w:r>
    </w:p>
    <w:p>
      <w:pPr>
        <w:spacing w:after="0" w:line="101" w:lineRule="exact"/>
        <w:rPr>
          <w:sz w:val="20"/>
          <w:szCs w:val="20"/>
          <w:color w:val="auto"/>
        </w:rPr>
      </w:pPr>
    </w:p>
    <w:p>
      <w:pPr>
        <w:sectPr>
          <w:pgSz w:w="11900" w:h="16838" w:orient="portrait"/>
          <w:cols w:equalWidth="0" w:num="2">
            <w:col w:w="1260" w:space="720"/>
            <w:col w:w="7380"/>
          </w:cols>
          <w:pgMar w:left="1260" w:top="1440" w:right="1279" w:bottom="1440" w:gutter="0" w:footer="0" w:header="0"/>
          <w:type w:val="continuous"/>
        </w:sectPr>
      </w:pPr>
    </w:p>
    <w:p>
      <w:pPr>
        <w:spacing w:after="0"/>
        <w:rPr>
          <w:sz w:val="20"/>
          <w:szCs w:val="20"/>
          <w:color w:val="auto"/>
        </w:rPr>
      </w:pPr>
      <w:r>
        <w:rPr>
          <w:rFonts w:ascii="Arial" w:cs="Arial" w:eastAsia="Arial" w:hAnsi="Arial"/>
          <w:sz w:val="17"/>
          <w:szCs w:val="17"/>
          <w:b w:val="1"/>
          <w:bCs w:val="1"/>
          <w:color w:val="284993"/>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11:00 a.m. Eastern Time</w:t>
      </w:r>
    </w:p>
    <w:p>
      <w:pPr>
        <w:spacing w:after="0" w:line="101" w:lineRule="exact"/>
        <w:rPr>
          <w:sz w:val="20"/>
          <w:szCs w:val="20"/>
          <w:color w:val="auto"/>
        </w:rPr>
      </w:pPr>
    </w:p>
    <w:p>
      <w:pPr>
        <w:sectPr>
          <w:pgSz w:w="11900" w:h="16838" w:orient="portrait"/>
          <w:cols w:equalWidth="0" w:num="2">
            <w:col w:w="1260" w:space="720"/>
            <w:col w:w="7380"/>
          </w:cols>
          <w:pgMar w:left="1260" w:top="1440" w:right="1279" w:bottom="1440" w:gutter="0" w:footer="0" w:header="0"/>
          <w:type w:val="continuous"/>
        </w:sectPr>
      </w:pPr>
    </w:p>
    <w:p>
      <w:pPr>
        <w:spacing w:after="0"/>
        <w:rPr>
          <w:sz w:val="20"/>
          <w:szCs w:val="20"/>
          <w:color w:val="auto"/>
        </w:rPr>
      </w:pPr>
      <w:r>
        <w:rPr>
          <w:rFonts w:ascii="Arial" w:cs="Arial" w:eastAsia="Arial" w:hAnsi="Arial"/>
          <w:sz w:val="17"/>
          <w:szCs w:val="17"/>
          <w:b w:val="1"/>
          <w:bCs w:val="1"/>
          <w:color w:val="284993"/>
        </w:rPr>
        <w:t>Place</w:t>
      </w:r>
    </w:p>
    <w:p>
      <w:pPr>
        <w:spacing w:after="0" w:line="20" w:lineRule="exact"/>
        <w:rPr>
          <w:sz w:val="20"/>
          <w:szCs w:val="20"/>
          <w:color w:val="auto"/>
        </w:rPr>
      </w:pPr>
      <w:r>
        <w:rPr>
          <w:sz w:val="20"/>
          <w:szCs w:val="20"/>
          <w:color w:val="auto"/>
        </w:rPr>
        <w:br w:type="column"/>
      </w:r>
    </w:p>
    <w:p>
      <w:pPr>
        <w:ind w:right="2820"/>
        <w:spacing w:after="0" w:line="280" w:lineRule="auto"/>
        <w:rPr>
          <w:sz w:val="20"/>
          <w:szCs w:val="20"/>
          <w:color w:val="auto"/>
        </w:rPr>
      </w:pPr>
      <w:r>
        <w:rPr>
          <w:rFonts w:ascii="Arial" w:cs="Arial" w:eastAsia="Arial" w:hAnsi="Arial"/>
          <w:sz w:val="17"/>
          <w:szCs w:val="17"/>
          <w:color w:val="auto"/>
        </w:rPr>
        <w:t>Via a live audio-only webcast at www.proxydocs.com/ACIW There is no physical location for the 2024 Annual Meeting.</w:t>
      </w:r>
    </w:p>
    <w:p>
      <w:pPr>
        <w:spacing w:after="0" w:line="49" w:lineRule="exact"/>
        <w:rPr>
          <w:sz w:val="20"/>
          <w:szCs w:val="20"/>
          <w:color w:val="auto"/>
        </w:rPr>
      </w:pPr>
    </w:p>
    <w:p>
      <w:pPr>
        <w:sectPr>
          <w:pgSz w:w="11900" w:h="16838" w:orient="portrait"/>
          <w:cols w:equalWidth="0" w:num="2">
            <w:col w:w="1260" w:space="720"/>
            <w:col w:w="7380"/>
          </w:cols>
          <w:pgMar w:left="1260" w:top="1440" w:right="1279" w:bottom="1440" w:gutter="0" w:footer="0" w:header="0"/>
          <w:type w:val="continuous"/>
        </w:sectPr>
      </w:pPr>
    </w:p>
    <w:p>
      <w:pPr>
        <w:spacing w:after="0"/>
        <w:rPr>
          <w:sz w:val="20"/>
          <w:szCs w:val="20"/>
          <w:color w:val="auto"/>
        </w:rPr>
      </w:pPr>
      <w:r>
        <w:rPr>
          <w:rFonts w:ascii="Arial" w:cs="Arial" w:eastAsia="Arial" w:hAnsi="Arial"/>
          <w:sz w:val="17"/>
          <w:szCs w:val="17"/>
          <w:b w:val="1"/>
          <w:bCs w:val="1"/>
          <w:color w:val="284993"/>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Close of business on April 9, 2024</w:t>
      </w:r>
    </w:p>
    <w:p>
      <w:pPr>
        <w:spacing w:after="0" w:line="101" w:lineRule="exact"/>
        <w:rPr>
          <w:sz w:val="20"/>
          <w:szCs w:val="20"/>
          <w:color w:val="auto"/>
        </w:rPr>
      </w:pPr>
    </w:p>
    <w:p>
      <w:pPr>
        <w:sectPr>
          <w:pgSz w:w="11900" w:h="16838" w:orient="portrait"/>
          <w:cols w:equalWidth="0" w:num="2">
            <w:col w:w="1260" w:space="720"/>
            <w:col w:w="7380"/>
          </w:cols>
          <w:pgMar w:left="1260" w:top="1440" w:right="1279" w:bottom="1440" w:gutter="0" w:footer="0" w:header="0"/>
          <w:type w:val="continuous"/>
        </w:sectPr>
      </w:pPr>
    </w:p>
    <w:p>
      <w:pPr>
        <w:spacing w:after="0"/>
        <w:rPr>
          <w:sz w:val="20"/>
          <w:szCs w:val="20"/>
          <w:color w:val="auto"/>
        </w:rPr>
      </w:pPr>
      <w:r>
        <w:rPr>
          <w:rFonts w:ascii="Arial" w:cs="Arial" w:eastAsia="Arial" w:hAnsi="Arial"/>
          <w:sz w:val="17"/>
          <w:szCs w:val="17"/>
          <w:b w:val="1"/>
          <w:bCs w:val="1"/>
          <w:color w:val="284993"/>
        </w:rPr>
        <w:t>Items of 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 To elect the eight directors named in the accompanying proxy statement to our Board of</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Directors to hold office until the 2025 Annual Meeting of Stockholders;</w:t>
      </w:r>
    </w:p>
    <w:p>
      <w:pPr>
        <w:spacing w:after="0"/>
        <w:rPr>
          <w:sz w:val="20"/>
          <w:szCs w:val="20"/>
          <w:color w:val="auto"/>
        </w:rPr>
      </w:pPr>
      <w:r>
        <w:rPr>
          <w:rFonts w:ascii="Arial" w:cs="Arial" w:eastAsia="Arial" w:hAnsi="Arial"/>
          <w:sz w:val="17"/>
          <w:szCs w:val="17"/>
          <w:color w:val="auto"/>
        </w:rPr>
        <w:t>•   To ratify the appointment of Deloitte &amp; Touche LLP as our independent registered public</w:t>
      </w:r>
    </w:p>
    <w:p>
      <w:pPr>
        <w:ind w:left="160"/>
        <w:spacing w:after="0"/>
        <w:rPr>
          <w:sz w:val="20"/>
          <w:szCs w:val="20"/>
          <w:color w:val="auto"/>
        </w:rPr>
      </w:pPr>
      <w:r>
        <w:rPr>
          <w:rFonts w:ascii="Arial" w:cs="Arial" w:eastAsia="Arial" w:hAnsi="Arial"/>
          <w:sz w:val="17"/>
          <w:szCs w:val="17"/>
          <w:color w:val="auto"/>
        </w:rPr>
        <w:t>accounting firm for 2024;</w:t>
      </w:r>
    </w:p>
    <w:p>
      <w:pPr>
        <w:spacing w:after="0"/>
        <w:rPr>
          <w:sz w:val="20"/>
          <w:szCs w:val="20"/>
          <w:color w:val="auto"/>
        </w:rPr>
      </w:pPr>
      <w:r>
        <w:rPr>
          <w:rFonts w:ascii="Arial" w:cs="Arial" w:eastAsia="Arial" w:hAnsi="Arial"/>
          <w:sz w:val="17"/>
          <w:szCs w:val="17"/>
          <w:color w:val="auto"/>
        </w:rPr>
        <w:t>•   To conduct an advisory vote to approve named executive officer compensation; and</w:t>
      </w:r>
    </w:p>
    <w:p>
      <w:pPr>
        <w:spacing w:after="0"/>
        <w:rPr>
          <w:sz w:val="20"/>
          <w:szCs w:val="20"/>
          <w:color w:val="auto"/>
        </w:rPr>
      </w:pPr>
      <w:r>
        <w:rPr>
          <w:rFonts w:ascii="Arial" w:cs="Arial" w:eastAsia="Arial" w:hAnsi="Arial"/>
          <w:sz w:val="17"/>
          <w:szCs w:val="17"/>
          <w:color w:val="auto"/>
        </w:rPr>
        <w:t>•   To transact such other business as may properly come before the Annual Meeting and any</w:t>
      </w:r>
    </w:p>
    <w:p>
      <w:pPr>
        <w:ind w:left="160"/>
        <w:spacing w:after="0"/>
        <w:rPr>
          <w:sz w:val="20"/>
          <w:szCs w:val="20"/>
          <w:color w:val="auto"/>
        </w:rPr>
      </w:pPr>
      <w:r>
        <w:rPr>
          <w:rFonts w:ascii="Arial" w:cs="Arial" w:eastAsia="Arial" w:hAnsi="Arial"/>
          <w:sz w:val="17"/>
          <w:szCs w:val="17"/>
          <w:color w:val="auto"/>
        </w:rPr>
        <w:t>adjournment or postponement thereof.</w:t>
      </w:r>
    </w:p>
    <w:p>
      <w:pPr>
        <w:spacing w:after="0" w:line="200" w:lineRule="exact"/>
        <w:rPr>
          <w:sz w:val="20"/>
          <w:szCs w:val="20"/>
          <w:color w:val="auto"/>
        </w:rPr>
      </w:pPr>
    </w:p>
    <w:p>
      <w:pPr>
        <w:sectPr>
          <w:pgSz w:w="11900" w:h="16838" w:orient="portrait"/>
          <w:cols w:equalWidth="0" w:num="2">
            <w:col w:w="1480" w:space="520"/>
            <w:col w:w="7360"/>
          </w:cols>
          <w:pgMar w:left="1260" w:top="1440" w:right="1279" w:bottom="1440" w:gutter="0" w:footer="0" w:header="0"/>
          <w:type w:val="continuous"/>
        </w:sectPr>
      </w:pPr>
    </w:p>
    <w:p>
      <w:pPr>
        <w:spacing w:after="0" w:line="2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 xml:space="preserve">We have adopted a virtual format for our 2024 Annual Meeting. In order to attend the Annual Meeting, you must register in advance at </w:t>
      </w:r>
      <w:r>
        <w:rPr>
          <w:rFonts w:ascii="Arial" w:cs="Arial" w:eastAsia="Arial" w:hAnsi="Arial"/>
          <w:sz w:val="16"/>
          <w:szCs w:val="16"/>
          <w:u w:val="single" w:color="auto"/>
          <w:color w:val="auto"/>
        </w:rPr>
        <w:t>www.proxydocs.com/ACIW</w:t>
      </w:r>
      <w:r>
        <w:rPr>
          <w:rFonts w:ascii="Arial" w:cs="Arial" w:eastAsia="Arial" w:hAnsi="Arial"/>
          <w:sz w:val="16"/>
          <w:szCs w:val="16"/>
          <w:color w:val="auto"/>
        </w:rPr>
        <w:t>. Upon completing your registration, you will receive further instructions via email, including your unique links that will allow you access to the meeting and will also permit you to submit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958205" cy="998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58205" cy="998855"/>
                    </a:xfrm>
                    <a:prstGeom prst="rect">
                      <a:avLst/>
                    </a:prstGeom>
                    <a:noFill/>
                  </pic:spPr>
                </pic:pic>
              </a:graphicData>
            </a:graphic>
          </wp:anchor>
        </w:drawing>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84993"/>
        </w:rPr>
        <w:t>YOUR VOTE IS VERY IMPORTANT</w:t>
      </w:r>
    </w:p>
    <w:p>
      <w:pPr>
        <w:spacing w:after="0" w:line="108" w:lineRule="exact"/>
        <w:rPr>
          <w:sz w:val="20"/>
          <w:szCs w:val="20"/>
          <w:color w:val="auto"/>
        </w:rPr>
      </w:pPr>
    </w:p>
    <w:p>
      <w:pPr>
        <w:ind w:left="200" w:right="320"/>
        <w:spacing w:after="0" w:line="291" w:lineRule="auto"/>
        <w:rPr>
          <w:sz w:val="20"/>
          <w:szCs w:val="20"/>
          <w:color w:val="auto"/>
        </w:rPr>
      </w:pPr>
      <w:r>
        <w:rPr>
          <w:rFonts w:ascii="Arial" w:cs="Arial" w:eastAsia="Arial" w:hAnsi="Arial"/>
          <w:sz w:val="14"/>
          <w:szCs w:val="14"/>
          <w:b w:val="1"/>
          <w:bCs w:val="1"/>
          <w:color w:val="284993"/>
        </w:rPr>
        <w:t>Whether or not you plan to attend the Annual Meeting, please vote as soon as possible. You may vote over the Internet, by telephone or, if you requested printed proxy materials, by mailing a completed proxy card. For more detailed information regarding how to vote your shares, please refer to the Notice of Internet Availability of Proxy Materials you received in the mail, the section entitled Questions and Answers About this Proxy Material and Voting beginning on page 2 of the Proxy Statement, or, if you requested to receive printed proxy materials, your enclosed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1280" w:right="960"/>
        <w:spacing w:after="0" w:line="268" w:lineRule="auto"/>
        <w:rPr>
          <w:sz w:val="20"/>
          <w:szCs w:val="20"/>
          <w:color w:val="auto"/>
        </w:rPr>
      </w:pPr>
      <w:r>
        <w:rPr>
          <w:rFonts w:ascii="Arial" w:cs="Arial" w:eastAsia="Arial" w:hAnsi="Arial"/>
          <w:sz w:val="24"/>
          <w:szCs w:val="24"/>
          <w:color w:val="auto"/>
        </w:rPr>
        <w:t>IMPORTANT NOTICE REGARDING THE AVAILABILITY OF PROXY MATERIALS FOR THE STOCKHOLDER MEETING TO BE HELD ON JUNE 4, 2024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Our Proxy Statement and Annual Report are also available online at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www.proxydocs.com/ACIW</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p>
    <w:p>
      <w:pPr>
        <w:sectPr>
          <w:pgSz w:w="11900" w:h="16838" w:orient="portrait"/>
          <w:cols w:equalWidth="0" w:num="1">
            <w:col w:w="9360"/>
          </w:cols>
          <w:pgMar w:left="1260" w:top="1440" w:right="12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31"/>
          <w:szCs w:val="3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Proxy Statement Table of Contents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320" w:type="dxa"/>
            <w:vAlign w:val="bottom"/>
            <w:tcBorders>
              <w:top w:val="single" w:sz="8" w:color="284993"/>
            </w:tcBorders>
            <w:gridSpan w:val="5"/>
          </w:tcPr>
          <w:p>
            <w:pPr>
              <w:spacing w:after="0" w:line="247" w:lineRule="exact"/>
              <w:rPr>
                <w:sz w:val="20"/>
                <w:szCs w:val="20"/>
                <w:color w:val="auto"/>
              </w:rPr>
            </w:pPr>
            <w:r>
              <w:rPr>
                <w:rFonts w:ascii="Arial" w:cs="Arial" w:eastAsia="Arial" w:hAnsi="Arial"/>
                <w:sz w:val="23"/>
                <w:szCs w:val="23"/>
                <w:color w:val="0000EE"/>
              </w:rPr>
              <w:t>About ACI</w:t>
            </w:r>
          </w:p>
        </w:tc>
        <w:tc>
          <w:tcPr>
            <w:tcW w:w="320" w:type="dxa"/>
            <w:vAlign w:val="bottom"/>
            <w:tcBorders>
              <w:top w:val="single" w:sz="8" w:color="284993"/>
            </w:tcBorders>
          </w:tcPr>
          <w:p>
            <w:pPr>
              <w:spacing w:after="0"/>
              <w:rPr>
                <w:sz w:val="21"/>
                <w:szCs w:val="21"/>
                <w:color w:val="auto"/>
              </w:rPr>
            </w:pPr>
          </w:p>
        </w:tc>
        <w:tc>
          <w:tcPr>
            <w:tcW w:w="560" w:type="dxa"/>
            <w:vAlign w:val="bottom"/>
            <w:tcBorders>
              <w:top w:val="single" w:sz="8" w:color="284993"/>
            </w:tcBorders>
          </w:tcPr>
          <w:p>
            <w:pPr>
              <w:spacing w:after="0"/>
              <w:rPr>
                <w:sz w:val="21"/>
                <w:szCs w:val="21"/>
                <w:color w:val="auto"/>
              </w:rPr>
            </w:pPr>
          </w:p>
        </w:tc>
        <w:tc>
          <w:tcPr>
            <w:tcW w:w="420" w:type="dxa"/>
            <w:vAlign w:val="bottom"/>
            <w:tcBorders>
              <w:top w:val="single" w:sz="8" w:color="284993"/>
            </w:tcBorders>
          </w:tcPr>
          <w:p>
            <w:pPr>
              <w:spacing w:after="0"/>
              <w:rPr>
                <w:sz w:val="21"/>
                <w:szCs w:val="21"/>
                <w:color w:val="auto"/>
              </w:rPr>
            </w:pPr>
          </w:p>
        </w:tc>
        <w:tc>
          <w:tcPr>
            <w:tcW w:w="80" w:type="dxa"/>
            <w:vAlign w:val="bottom"/>
            <w:tcBorders>
              <w:top w:val="single" w:sz="8" w:color="284993"/>
            </w:tcBorders>
          </w:tcPr>
          <w:p>
            <w:pPr>
              <w:spacing w:after="0"/>
              <w:rPr>
                <w:sz w:val="21"/>
                <w:szCs w:val="21"/>
                <w:color w:val="auto"/>
              </w:rPr>
            </w:pPr>
          </w:p>
        </w:tc>
        <w:tc>
          <w:tcPr>
            <w:tcW w:w="160" w:type="dxa"/>
            <w:vAlign w:val="bottom"/>
            <w:tcBorders>
              <w:top w:val="single" w:sz="8" w:color="284993"/>
            </w:tcBorders>
          </w:tcPr>
          <w:p>
            <w:pPr>
              <w:spacing w:after="0"/>
              <w:rPr>
                <w:sz w:val="21"/>
                <w:szCs w:val="21"/>
                <w:color w:val="auto"/>
              </w:rPr>
            </w:pPr>
          </w:p>
        </w:tc>
        <w:tc>
          <w:tcPr>
            <w:tcW w:w="40" w:type="dxa"/>
            <w:vAlign w:val="bottom"/>
            <w:tcBorders>
              <w:top w:val="single" w:sz="8" w:color="284993"/>
            </w:tcBorders>
          </w:tcPr>
          <w:p>
            <w:pPr>
              <w:spacing w:after="0"/>
              <w:rPr>
                <w:sz w:val="21"/>
                <w:szCs w:val="21"/>
                <w:color w:val="auto"/>
              </w:rPr>
            </w:pPr>
          </w:p>
        </w:tc>
        <w:tc>
          <w:tcPr>
            <w:tcW w:w="20" w:type="dxa"/>
            <w:vAlign w:val="bottom"/>
            <w:tcBorders>
              <w:top w:val="single" w:sz="8" w:color="284993"/>
            </w:tcBorders>
          </w:tcPr>
          <w:p>
            <w:pPr>
              <w:spacing w:after="0"/>
              <w:rPr>
                <w:sz w:val="21"/>
                <w:szCs w:val="21"/>
                <w:color w:val="auto"/>
              </w:rPr>
            </w:pPr>
          </w:p>
        </w:tc>
        <w:tc>
          <w:tcPr>
            <w:tcW w:w="20" w:type="dxa"/>
            <w:vAlign w:val="bottom"/>
            <w:tcBorders>
              <w:top w:val="single" w:sz="8" w:color="284993"/>
            </w:tcBorders>
          </w:tcPr>
          <w:p>
            <w:pPr>
              <w:spacing w:after="0"/>
              <w:rPr>
                <w:sz w:val="21"/>
                <w:szCs w:val="21"/>
                <w:color w:val="auto"/>
              </w:rPr>
            </w:pPr>
          </w:p>
        </w:tc>
        <w:tc>
          <w:tcPr>
            <w:tcW w:w="80" w:type="dxa"/>
            <w:vAlign w:val="bottom"/>
            <w:tcBorders>
              <w:top w:val="single" w:sz="8" w:color="284993"/>
            </w:tcBorders>
          </w:tcPr>
          <w:p>
            <w:pPr>
              <w:spacing w:after="0"/>
              <w:rPr>
                <w:sz w:val="21"/>
                <w:szCs w:val="21"/>
                <w:color w:val="auto"/>
              </w:rPr>
            </w:pPr>
          </w:p>
        </w:tc>
        <w:tc>
          <w:tcPr>
            <w:tcW w:w="120" w:type="dxa"/>
            <w:vAlign w:val="bottom"/>
            <w:tcBorders>
              <w:top w:val="single" w:sz="8" w:color="284993"/>
            </w:tcBorders>
          </w:tcPr>
          <w:p>
            <w:pPr>
              <w:spacing w:after="0"/>
              <w:rPr>
                <w:sz w:val="21"/>
                <w:szCs w:val="21"/>
                <w:color w:val="auto"/>
              </w:rPr>
            </w:pPr>
          </w:p>
        </w:tc>
        <w:tc>
          <w:tcPr>
            <w:tcW w:w="80" w:type="dxa"/>
            <w:vAlign w:val="bottom"/>
            <w:tcBorders>
              <w:top w:val="single" w:sz="8" w:color="284993"/>
            </w:tcBorders>
          </w:tcPr>
          <w:p>
            <w:pPr>
              <w:spacing w:after="0"/>
              <w:rPr>
                <w:sz w:val="21"/>
                <w:szCs w:val="21"/>
                <w:color w:val="auto"/>
              </w:rPr>
            </w:pPr>
          </w:p>
        </w:tc>
        <w:tc>
          <w:tcPr>
            <w:tcW w:w="200" w:type="dxa"/>
            <w:vAlign w:val="bottom"/>
            <w:tcBorders>
              <w:top w:val="single" w:sz="8" w:color="284993"/>
            </w:tcBorders>
          </w:tcPr>
          <w:p>
            <w:pPr>
              <w:spacing w:after="0"/>
              <w:rPr>
                <w:sz w:val="21"/>
                <w:szCs w:val="21"/>
                <w:color w:val="auto"/>
              </w:rPr>
            </w:pPr>
          </w:p>
        </w:tc>
        <w:tc>
          <w:tcPr>
            <w:tcW w:w="120" w:type="dxa"/>
            <w:vAlign w:val="bottom"/>
            <w:tcBorders>
              <w:top w:val="single" w:sz="8" w:color="284993"/>
            </w:tcBorders>
          </w:tcPr>
          <w:p>
            <w:pPr>
              <w:spacing w:after="0"/>
              <w:rPr>
                <w:sz w:val="21"/>
                <w:szCs w:val="21"/>
                <w:color w:val="auto"/>
              </w:rPr>
            </w:pPr>
          </w:p>
        </w:tc>
        <w:tc>
          <w:tcPr>
            <w:tcW w:w="80" w:type="dxa"/>
            <w:vAlign w:val="bottom"/>
            <w:tcBorders>
              <w:top w:val="single" w:sz="8" w:color="284993"/>
            </w:tcBorders>
          </w:tcPr>
          <w:p>
            <w:pPr>
              <w:spacing w:after="0"/>
              <w:rPr>
                <w:sz w:val="21"/>
                <w:szCs w:val="21"/>
                <w:color w:val="auto"/>
              </w:rPr>
            </w:pPr>
          </w:p>
        </w:tc>
        <w:tc>
          <w:tcPr>
            <w:tcW w:w="120" w:type="dxa"/>
            <w:vAlign w:val="bottom"/>
            <w:tcBorders>
              <w:top w:val="single" w:sz="8" w:color="284993"/>
            </w:tcBorders>
          </w:tcPr>
          <w:p>
            <w:pPr>
              <w:spacing w:after="0"/>
              <w:rPr>
                <w:sz w:val="21"/>
                <w:szCs w:val="21"/>
                <w:color w:val="auto"/>
              </w:rPr>
            </w:pPr>
          </w:p>
        </w:tc>
        <w:tc>
          <w:tcPr>
            <w:tcW w:w="340" w:type="dxa"/>
            <w:vAlign w:val="bottom"/>
            <w:tcBorders>
              <w:top w:val="single" w:sz="8" w:color="284993"/>
            </w:tcBorders>
          </w:tcPr>
          <w:p>
            <w:pPr>
              <w:spacing w:after="0"/>
              <w:rPr>
                <w:sz w:val="21"/>
                <w:szCs w:val="21"/>
                <w:color w:val="auto"/>
              </w:rPr>
            </w:pPr>
          </w:p>
        </w:tc>
        <w:tc>
          <w:tcPr>
            <w:tcW w:w="100" w:type="dxa"/>
            <w:vAlign w:val="bottom"/>
            <w:tcBorders>
              <w:top w:val="single" w:sz="8" w:color="284993"/>
            </w:tcBorders>
          </w:tcPr>
          <w:p>
            <w:pPr>
              <w:spacing w:after="0"/>
              <w:rPr>
                <w:sz w:val="21"/>
                <w:szCs w:val="21"/>
                <w:color w:val="auto"/>
              </w:rPr>
            </w:pPr>
          </w:p>
        </w:tc>
        <w:tc>
          <w:tcPr>
            <w:tcW w:w="80" w:type="dxa"/>
            <w:vAlign w:val="bottom"/>
            <w:tcBorders>
              <w:top w:val="single" w:sz="8" w:color="284993"/>
            </w:tcBorders>
          </w:tcPr>
          <w:p>
            <w:pPr>
              <w:spacing w:after="0"/>
              <w:rPr>
                <w:sz w:val="21"/>
                <w:szCs w:val="21"/>
                <w:color w:val="auto"/>
              </w:rPr>
            </w:pPr>
          </w:p>
        </w:tc>
        <w:tc>
          <w:tcPr>
            <w:tcW w:w="300" w:type="dxa"/>
            <w:vAlign w:val="bottom"/>
            <w:tcBorders>
              <w:top w:val="single" w:sz="8" w:color="284993"/>
            </w:tcBorders>
          </w:tcPr>
          <w:p>
            <w:pPr>
              <w:spacing w:after="0"/>
              <w:rPr>
                <w:sz w:val="21"/>
                <w:szCs w:val="21"/>
                <w:color w:val="auto"/>
              </w:rPr>
            </w:pPr>
          </w:p>
        </w:tc>
        <w:tc>
          <w:tcPr>
            <w:tcW w:w="40" w:type="dxa"/>
            <w:vAlign w:val="bottom"/>
            <w:tcBorders>
              <w:top w:val="single" w:sz="8" w:color="284993"/>
            </w:tcBorders>
          </w:tcPr>
          <w:p>
            <w:pPr>
              <w:spacing w:after="0"/>
              <w:rPr>
                <w:sz w:val="21"/>
                <w:szCs w:val="21"/>
                <w:color w:val="auto"/>
              </w:rPr>
            </w:pPr>
          </w:p>
        </w:tc>
        <w:tc>
          <w:tcPr>
            <w:tcW w:w="1260" w:type="dxa"/>
            <w:vAlign w:val="bottom"/>
            <w:tcBorders>
              <w:top w:val="single" w:sz="8" w:color="284993"/>
            </w:tcBorders>
          </w:tcPr>
          <w:p>
            <w:pPr>
              <w:spacing w:after="0"/>
              <w:rPr>
                <w:sz w:val="21"/>
                <w:szCs w:val="21"/>
                <w:color w:val="auto"/>
              </w:rPr>
            </w:pPr>
          </w:p>
        </w:tc>
        <w:tc>
          <w:tcPr>
            <w:tcW w:w="500" w:type="dxa"/>
            <w:vAlign w:val="bottom"/>
            <w:tcBorders>
              <w:top w:val="single" w:sz="8" w:color="284993"/>
            </w:tcBorders>
          </w:tcPr>
          <w:p>
            <w:pPr>
              <w:jc w:val="right"/>
              <w:spacing w:after="0" w:line="247" w:lineRule="exact"/>
              <w:rPr>
                <w:sz w:val="20"/>
                <w:szCs w:val="20"/>
                <w:color w:val="auto"/>
              </w:rPr>
            </w:pPr>
            <w:r>
              <w:rPr>
                <w:rFonts w:ascii="Arial" w:cs="Arial" w:eastAsia="Arial" w:hAnsi="Arial"/>
                <w:sz w:val="23"/>
                <w:szCs w:val="23"/>
                <w:b w:val="1"/>
                <w:bCs w:val="1"/>
                <w:color w:val="284993"/>
              </w:rPr>
              <w:t>1</w:t>
            </w:r>
          </w:p>
        </w:tc>
        <w:tc>
          <w:tcPr>
            <w:tcW w:w="0" w:type="dxa"/>
            <w:vAlign w:val="bottom"/>
          </w:tcPr>
          <w:p>
            <w:pPr>
              <w:spacing w:after="0"/>
              <w:rPr>
                <w:sz w:val="1"/>
                <w:szCs w:val="1"/>
                <w:color w:val="auto"/>
              </w:rPr>
            </w:pPr>
          </w:p>
        </w:tc>
      </w:tr>
      <w:tr>
        <w:trPr>
          <w:trHeight w:val="32"/>
        </w:trPr>
        <w:tc>
          <w:tcPr>
            <w:tcW w:w="20" w:type="dxa"/>
            <w:vAlign w:val="bottom"/>
            <w:tcBorders>
              <w:top w:val="single" w:sz="8" w:color="0000EE"/>
              <w:bottom w:val="single" w:sz="8" w:color="284993"/>
            </w:tcBorders>
          </w:tcPr>
          <w:p>
            <w:pPr>
              <w:spacing w:after="0"/>
              <w:rPr>
                <w:sz w:val="2"/>
                <w:szCs w:val="2"/>
                <w:color w:val="auto"/>
              </w:rPr>
            </w:pPr>
          </w:p>
        </w:tc>
        <w:tc>
          <w:tcPr>
            <w:tcW w:w="880" w:type="dxa"/>
            <w:vAlign w:val="bottom"/>
            <w:tcBorders>
              <w:top w:val="single" w:sz="8" w:color="0000EE"/>
              <w:bottom w:val="single" w:sz="8" w:color="284993"/>
            </w:tcBorders>
          </w:tcPr>
          <w:p>
            <w:pPr>
              <w:spacing w:after="0"/>
              <w:rPr>
                <w:sz w:val="2"/>
                <w:szCs w:val="2"/>
                <w:color w:val="auto"/>
              </w:rPr>
            </w:pPr>
          </w:p>
        </w:tc>
        <w:tc>
          <w:tcPr>
            <w:tcW w:w="140" w:type="dxa"/>
            <w:vAlign w:val="bottom"/>
            <w:tcBorders>
              <w:top w:val="single" w:sz="8" w:color="0000EE"/>
              <w:bottom w:val="single" w:sz="8" w:color="284993"/>
            </w:tcBorders>
          </w:tcPr>
          <w:p>
            <w:pPr>
              <w:spacing w:after="0"/>
              <w:rPr>
                <w:sz w:val="2"/>
                <w:szCs w:val="2"/>
                <w:color w:val="auto"/>
              </w:rPr>
            </w:pPr>
          </w:p>
        </w:tc>
        <w:tc>
          <w:tcPr>
            <w:tcW w:w="1600" w:type="dxa"/>
            <w:vAlign w:val="bottom"/>
            <w:tcBorders>
              <w:bottom w:val="single" w:sz="8" w:color="284993"/>
            </w:tcBorders>
          </w:tcPr>
          <w:p>
            <w:pPr>
              <w:spacing w:after="0"/>
              <w:rPr>
                <w:sz w:val="2"/>
                <w:szCs w:val="2"/>
                <w:color w:val="auto"/>
              </w:rPr>
            </w:pPr>
          </w:p>
        </w:tc>
        <w:tc>
          <w:tcPr>
            <w:tcW w:w="1680" w:type="dxa"/>
            <w:vAlign w:val="bottom"/>
            <w:tcBorders>
              <w:bottom w:val="single" w:sz="8" w:color="284993"/>
            </w:tcBorders>
          </w:tcPr>
          <w:p>
            <w:pPr>
              <w:spacing w:after="0"/>
              <w:rPr>
                <w:sz w:val="2"/>
                <w:szCs w:val="2"/>
                <w:color w:val="auto"/>
              </w:rPr>
            </w:pPr>
          </w:p>
        </w:tc>
        <w:tc>
          <w:tcPr>
            <w:tcW w:w="320" w:type="dxa"/>
            <w:vAlign w:val="bottom"/>
            <w:tcBorders>
              <w:bottom w:val="single" w:sz="8" w:color="284993"/>
            </w:tcBorders>
          </w:tcPr>
          <w:p>
            <w:pPr>
              <w:spacing w:after="0"/>
              <w:rPr>
                <w:sz w:val="2"/>
                <w:szCs w:val="2"/>
                <w:color w:val="auto"/>
              </w:rPr>
            </w:pPr>
          </w:p>
        </w:tc>
        <w:tc>
          <w:tcPr>
            <w:tcW w:w="560" w:type="dxa"/>
            <w:vAlign w:val="bottom"/>
            <w:tcBorders>
              <w:bottom w:val="single" w:sz="8" w:color="284993"/>
            </w:tcBorders>
          </w:tcPr>
          <w:p>
            <w:pPr>
              <w:spacing w:after="0"/>
              <w:rPr>
                <w:sz w:val="2"/>
                <w:szCs w:val="2"/>
                <w:color w:val="auto"/>
              </w:rPr>
            </w:pPr>
          </w:p>
        </w:tc>
        <w:tc>
          <w:tcPr>
            <w:tcW w:w="420" w:type="dxa"/>
            <w:vAlign w:val="bottom"/>
            <w:tcBorders>
              <w:bottom w:val="single" w:sz="8" w:color="284993"/>
            </w:tcBorders>
          </w:tcPr>
          <w:p>
            <w:pPr>
              <w:spacing w:after="0"/>
              <w:rPr>
                <w:sz w:val="2"/>
                <w:szCs w:val="2"/>
                <w:color w:val="auto"/>
              </w:rPr>
            </w:pPr>
          </w:p>
        </w:tc>
        <w:tc>
          <w:tcPr>
            <w:tcW w:w="80" w:type="dxa"/>
            <w:vAlign w:val="bottom"/>
            <w:tcBorders>
              <w:bottom w:val="single" w:sz="8" w:color="284993"/>
            </w:tcBorders>
          </w:tcPr>
          <w:p>
            <w:pPr>
              <w:spacing w:after="0"/>
              <w:rPr>
                <w:sz w:val="2"/>
                <w:szCs w:val="2"/>
                <w:color w:val="auto"/>
              </w:rPr>
            </w:pPr>
          </w:p>
        </w:tc>
        <w:tc>
          <w:tcPr>
            <w:tcW w:w="160" w:type="dxa"/>
            <w:vAlign w:val="bottom"/>
            <w:tcBorders>
              <w:bottom w:val="single" w:sz="8" w:color="284993"/>
            </w:tcBorders>
          </w:tcPr>
          <w:p>
            <w:pPr>
              <w:spacing w:after="0"/>
              <w:rPr>
                <w:sz w:val="2"/>
                <w:szCs w:val="2"/>
                <w:color w:val="auto"/>
              </w:rPr>
            </w:pPr>
          </w:p>
        </w:tc>
        <w:tc>
          <w:tcPr>
            <w:tcW w:w="40" w:type="dxa"/>
            <w:vAlign w:val="bottom"/>
            <w:tcBorders>
              <w:bottom w:val="single" w:sz="8" w:color="284993"/>
            </w:tcBorders>
          </w:tcPr>
          <w:p>
            <w:pPr>
              <w:spacing w:after="0"/>
              <w:rPr>
                <w:sz w:val="2"/>
                <w:szCs w:val="2"/>
                <w:color w:val="auto"/>
              </w:rPr>
            </w:pPr>
          </w:p>
        </w:tc>
        <w:tc>
          <w:tcPr>
            <w:tcW w:w="20" w:type="dxa"/>
            <w:vAlign w:val="bottom"/>
            <w:tcBorders>
              <w:bottom w:val="single" w:sz="8" w:color="284993"/>
            </w:tcBorders>
          </w:tcPr>
          <w:p>
            <w:pPr>
              <w:spacing w:after="0"/>
              <w:rPr>
                <w:sz w:val="2"/>
                <w:szCs w:val="2"/>
                <w:color w:val="auto"/>
              </w:rPr>
            </w:pPr>
          </w:p>
        </w:tc>
        <w:tc>
          <w:tcPr>
            <w:tcW w:w="20" w:type="dxa"/>
            <w:vAlign w:val="bottom"/>
            <w:tcBorders>
              <w:bottom w:val="single" w:sz="8" w:color="284993"/>
            </w:tcBorders>
          </w:tcPr>
          <w:p>
            <w:pPr>
              <w:spacing w:after="0"/>
              <w:rPr>
                <w:sz w:val="2"/>
                <w:szCs w:val="2"/>
                <w:color w:val="auto"/>
              </w:rPr>
            </w:pPr>
          </w:p>
        </w:tc>
        <w:tc>
          <w:tcPr>
            <w:tcW w:w="80" w:type="dxa"/>
            <w:vAlign w:val="bottom"/>
            <w:tcBorders>
              <w:bottom w:val="single" w:sz="8" w:color="284993"/>
            </w:tcBorders>
          </w:tcPr>
          <w:p>
            <w:pPr>
              <w:spacing w:after="0"/>
              <w:rPr>
                <w:sz w:val="2"/>
                <w:szCs w:val="2"/>
                <w:color w:val="auto"/>
              </w:rPr>
            </w:pPr>
          </w:p>
        </w:tc>
        <w:tc>
          <w:tcPr>
            <w:tcW w:w="120" w:type="dxa"/>
            <w:vAlign w:val="bottom"/>
            <w:tcBorders>
              <w:bottom w:val="single" w:sz="8" w:color="284993"/>
            </w:tcBorders>
          </w:tcPr>
          <w:p>
            <w:pPr>
              <w:spacing w:after="0"/>
              <w:rPr>
                <w:sz w:val="2"/>
                <w:szCs w:val="2"/>
                <w:color w:val="auto"/>
              </w:rPr>
            </w:pPr>
          </w:p>
        </w:tc>
        <w:tc>
          <w:tcPr>
            <w:tcW w:w="80" w:type="dxa"/>
            <w:vAlign w:val="bottom"/>
            <w:tcBorders>
              <w:bottom w:val="single" w:sz="8" w:color="284993"/>
            </w:tcBorders>
          </w:tcPr>
          <w:p>
            <w:pPr>
              <w:spacing w:after="0"/>
              <w:rPr>
                <w:sz w:val="2"/>
                <w:szCs w:val="2"/>
                <w:color w:val="auto"/>
              </w:rPr>
            </w:pPr>
          </w:p>
        </w:tc>
        <w:tc>
          <w:tcPr>
            <w:tcW w:w="200" w:type="dxa"/>
            <w:vAlign w:val="bottom"/>
            <w:tcBorders>
              <w:bottom w:val="single" w:sz="8" w:color="284993"/>
            </w:tcBorders>
          </w:tcPr>
          <w:p>
            <w:pPr>
              <w:spacing w:after="0"/>
              <w:rPr>
                <w:sz w:val="2"/>
                <w:szCs w:val="2"/>
                <w:color w:val="auto"/>
              </w:rPr>
            </w:pPr>
          </w:p>
        </w:tc>
        <w:tc>
          <w:tcPr>
            <w:tcW w:w="120" w:type="dxa"/>
            <w:vAlign w:val="bottom"/>
            <w:tcBorders>
              <w:bottom w:val="single" w:sz="8" w:color="284993"/>
            </w:tcBorders>
          </w:tcPr>
          <w:p>
            <w:pPr>
              <w:spacing w:after="0"/>
              <w:rPr>
                <w:sz w:val="2"/>
                <w:szCs w:val="2"/>
                <w:color w:val="auto"/>
              </w:rPr>
            </w:pPr>
          </w:p>
        </w:tc>
        <w:tc>
          <w:tcPr>
            <w:tcW w:w="80" w:type="dxa"/>
            <w:vAlign w:val="bottom"/>
            <w:tcBorders>
              <w:bottom w:val="single" w:sz="8" w:color="284993"/>
            </w:tcBorders>
          </w:tcPr>
          <w:p>
            <w:pPr>
              <w:spacing w:after="0"/>
              <w:rPr>
                <w:sz w:val="2"/>
                <w:szCs w:val="2"/>
                <w:color w:val="auto"/>
              </w:rPr>
            </w:pPr>
          </w:p>
        </w:tc>
        <w:tc>
          <w:tcPr>
            <w:tcW w:w="120" w:type="dxa"/>
            <w:vAlign w:val="bottom"/>
            <w:tcBorders>
              <w:bottom w:val="single" w:sz="8" w:color="284993"/>
            </w:tcBorders>
          </w:tcPr>
          <w:p>
            <w:pPr>
              <w:spacing w:after="0"/>
              <w:rPr>
                <w:sz w:val="2"/>
                <w:szCs w:val="2"/>
                <w:color w:val="auto"/>
              </w:rPr>
            </w:pPr>
          </w:p>
        </w:tc>
        <w:tc>
          <w:tcPr>
            <w:tcW w:w="340" w:type="dxa"/>
            <w:vAlign w:val="bottom"/>
            <w:tcBorders>
              <w:bottom w:val="single" w:sz="8" w:color="284993"/>
            </w:tcBorders>
          </w:tcPr>
          <w:p>
            <w:pPr>
              <w:spacing w:after="0"/>
              <w:rPr>
                <w:sz w:val="2"/>
                <w:szCs w:val="2"/>
                <w:color w:val="auto"/>
              </w:rPr>
            </w:pPr>
          </w:p>
        </w:tc>
        <w:tc>
          <w:tcPr>
            <w:tcW w:w="100" w:type="dxa"/>
            <w:vAlign w:val="bottom"/>
            <w:tcBorders>
              <w:bottom w:val="single" w:sz="8" w:color="284993"/>
            </w:tcBorders>
          </w:tcPr>
          <w:p>
            <w:pPr>
              <w:spacing w:after="0"/>
              <w:rPr>
                <w:sz w:val="2"/>
                <w:szCs w:val="2"/>
                <w:color w:val="auto"/>
              </w:rPr>
            </w:pPr>
          </w:p>
        </w:tc>
        <w:tc>
          <w:tcPr>
            <w:tcW w:w="80" w:type="dxa"/>
            <w:vAlign w:val="bottom"/>
            <w:tcBorders>
              <w:bottom w:val="single" w:sz="8" w:color="284993"/>
            </w:tcBorders>
          </w:tcPr>
          <w:p>
            <w:pPr>
              <w:spacing w:after="0"/>
              <w:rPr>
                <w:sz w:val="2"/>
                <w:szCs w:val="2"/>
                <w:color w:val="auto"/>
              </w:rPr>
            </w:pPr>
          </w:p>
        </w:tc>
        <w:tc>
          <w:tcPr>
            <w:tcW w:w="300" w:type="dxa"/>
            <w:vAlign w:val="bottom"/>
            <w:tcBorders>
              <w:bottom w:val="single" w:sz="8" w:color="284993"/>
            </w:tcBorders>
          </w:tcPr>
          <w:p>
            <w:pPr>
              <w:spacing w:after="0"/>
              <w:rPr>
                <w:sz w:val="2"/>
                <w:szCs w:val="2"/>
                <w:color w:val="auto"/>
              </w:rPr>
            </w:pPr>
          </w:p>
        </w:tc>
        <w:tc>
          <w:tcPr>
            <w:tcW w:w="40" w:type="dxa"/>
            <w:vAlign w:val="bottom"/>
            <w:tcBorders>
              <w:bottom w:val="single" w:sz="8" w:color="284993"/>
            </w:tcBorders>
          </w:tcPr>
          <w:p>
            <w:pPr>
              <w:spacing w:after="0"/>
              <w:rPr>
                <w:sz w:val="2"/>
                <w:szCs w:val="2"/>
                <w:color w:val="auto"/>
              </w:rPr>
            </w:pPr>
          </w:p>
        </w:tc>
        <w:tc>
          <w:tcPr>
            <w:tcW w:w="1260" w:type="dxa"/>
            <w:vAlign w:val="bottom"/>
            <w:tcBorders>
              <w:bottom w:val="single" w:sz="8" w:color="284993"/>
            </w:tcBorders>
          </w:tcPr>
          <w:p>
            <w:pPr>
              <w:spacing w:after="0"/>
              <w:rPr>
                <w:sz w:val="2"/>
                <w:szCs w:val="2"/>
                <w:color w:val="auto"/>
              </w:rPr>
            </w:pPr>
          </w:p>
        </w:tc>
        <w:tc>
          <w:tcPr>
            <w:tcW w:w="500" w:type="dxa"/>
            <w:vAlign w:val="bottom"/>
            <w:tcBorders>
              <w:bottom w:val="single" w:sz="8" w:color="284993"/>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320" w:type="dxa"/>
            <w:vAlign w:val="bottom"/>
            <w:gridSpan w:val="5"/>
          </w:tcPr>
          <w:p>
            <w:pPr>
              <w:spacing w:after="0" w:line="226" w:lineRule="exact"/>
              <w:rPr>
                <w:sz w:val="20"/>
                <w:szCs w:val="20"/>
                <w:color w:val="auto"/>
              </w:rPr>
            </w:pPr>
            <w:r>
              <w:rPr>
                <w:rFonts w:ascii="Arial" w:cs="Arial" w:eastAsia="Arial" w:hAnsi="Arial"/>
                <w:sz w:val="23"/>
                <w:szCs w:val="23"/>
                <w:color w:val="0000EE"/>
              </w:rPr>
              <w:t>Annual Meeting Proposals</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jc w:val="right"/>
              <w:spacing w:after="0" w:line="226" w:lineRule="exact"/>
              <w:rPr>
                <w:sz w:val="20"/>
                <w:szCs w:val="20"/>
                <w:color w:val="auto"/>
              </w:rPr>
            </w:pPr>
            <w:r>
              <w:rPr>
                <w:rFonts w:ascii="Arial" w:cs="Arial" w:eastAsia="Arial" w:hAnsi="Arial"/>
                <w:sz w:val="23"/>
                <w:szCs w:val="23"/>
                <w:b w:val="1"/>
                <w:bCs w:val="1"/>
                <w:color w:val="284993"/>
              </w:rPr>
              <w:t>2</w:t>
            </w:r>
          </w:p>
        </w:tc>
        <w:tc>
          <w:tcPr>
            <w:tcW w:w="0" w:type="dxa"/>
            <w:vAlign w:val="bottom"/>
          </w:tcPr>
          <w:p>
            <w:pPr>
              <w:spacing w:after="0"/>
              <w:rPr>
                <w:sz w:val="1"/>
                <w:szCs w:val="1"/>
                <w:color w:val="auto"/>
              </w:rPr>
            </w:pPr>
          </w:p>
        </w:tc>
      </w:tr>
      <w:tr>
        <w:trPr>
          <w:trHeight w:val="32"/>
        </w:trPr>
        <w:tc>
          <w:tcPr>
            <w:tcW w:w="20" w:type="dxa"/>
            <w:vAlign w:val="bottom"/>
            <w:tcBorders>
              <w:top w:val="single" w:sz="8" w:color="0000EE"/>
              <w:bottom w:val="single" w:sz="8" w:color="284993"/>
            </w:tcBorders>
          </w:tcPr>
          <w:p>
            <w:pPr>
              <w:spacing w:after="0"/>
              <w:rPr>
                <w:sz w:val="2"/>
                <w:szCs w:val="2"/>
                <w:color w:val="auto"/>
              </w:rPr>
            </w:pPr>
          </w:p>
        </w:tc>
        <w:tc>
          <w:tcPr>
            <w:tcW w:w="880" w:type="dxa"/>
            <w:vAlign w:val="bottom"/>
            <w:tcBorders>
              <w:top w:val="single" w:sz="8" w:color="0000EE"/>
              <w:bottom w:val="single" w:sz="8" w:color="284993"/>
            </w:tcBorders>
          </w:tcPr>
          <w:p>
            <w:pPr>
              <w:spacing w:after="0"/>
              <w:rPr>
                <w:sz w:val="2"/>
                <w:szCs w:val="2"/>
                <w:color w:val="auto"/>
              </w:rPr>
            </w:pPr>
          </w:p>
        </w:tc>
        <w:tc>
          <w:tcPr>
            <w:tcW w:w="140" w:type="dxa"/>
            <w:vAlign w:val="bottom"/>
            <w:tcBorders>
              <w:top w:val="single" w:sz="8" w:color="0000EE"/>
              <w:bottom w:val="single" w:sz="8" w:color="284993"/>
            </w:tcBorders>
          </w:tcPr>
          <w:p>
            <w:pPr>
              <w:spacing w:after="0"/>
              <w:rPr>
                <w:sz w:val="2"/>
                <w:szCs w:val="2"/>
                <w:color w:val="auto"/>
              </w:rPr>
            </w:pPr>
          </w:p>
        </w:tc>
        <w:tc>
          <w:tcPr>
            <w:tcW w:w="1600" w:type="dxa"/>
            <w:vAlign w:val="bottom"/>
            <w:tcBorders>
              <w:top w:val="single" w:sz="8" w:color="0000EE"/>
              <w:bottom w:val="single" w:sz="8" w:color="284993"/>
            </w:tcBorders>
          </w:tcPr>
          <w:p>
            <w:pPr>
              <w:spacing w:after="0"/>
              <w:rPr>
                <w:sz w:val="2"/>
                <w:szCs w:val="2"/>
                <w:color w:val="auto"/>
              </w:rPr>
            </w:pPr>
          </w:p>
        </w:tc>
        <w:tc>
          <w:tcPr>
            <w:tcW w:w="1680" w:type="dxa"/>
            <w:vAlign w:val="bottom"/>
            <w:tcBorders>
              <w:bottom w:val="single" w:sz="8" w:color="284993"/>
            </w:tcBorders>
          </w:tcPr>
          <w:p>
            <w:pPr>
              <w:spacing w:after="0"/>
              <w:rPr>
                <w:sz w:val="2"/>
                <w:szCs w:val="2"/>
                <w:color w:val="auto"/>
              </w:rPr>
            </w:pPr>
          </w:p>
        </w:tc>
        <w:tc>
          <w:tcPr>
            <w:tcW w:w="320" w:type="dxa"/>
            <w:vAlign w:val="bottom"/>
            <w:tcBorders>
              <w:bottom w:val="single" w:sz="8" w:color="284993"/>
            </w:tcBorders>
          </w:tcPr>
          <w:p>
            <w:pPr>
              <w:spacing w:after="0"/>
              <w:rPr>
                <w:sz w:val="2"/>
                <w:szCs w:val="2"/>
                <w:color w:val="auto"/>
              </w:rPr>
            </w:pPr>
          </w:p>
        </w:tc>
        <w:tc>
          <w:tcPr>
            <w:tcW w:w="560" w:type="dxa"/>
            <w:vAlign w:val="bottom"/>
            <w:tcBorders>
              <w:bottom w:val="single" w:sz="8" w:color="284993"/>
            </w:tcBorders>
          </w:tcPr>
          <w:p>
            <w:pPr>
              <w:spacing w:after="0"/>
              <w:rPr>
                <w:sz w:val="2"/>
                <w:szCs w:val="2"/>
                <w:color w:val="auto"/>
              </w:rPr>
            </w:pPr>
          </w:p>
        </w:tc>
        <w:tc>
          <w:tcPr>
            <w:tcW w:w="420" w:type="dxa"/>
            <w:vAlign w:val="bottom"/>
            <w:tcBorders>
              <w:bottom w:val="single" w:sz="8" w:color="284993"/>
            </w:tcBorders>
          </w:tcPr>
          <w:p>
            <w:pPr>
              <w:spacing w:after="0"/>
              <w:rPr>
                <w:sz w:val="2"/>
                <w:szCs w:val="2"/>
                <w:color w:val="auto"/>
              </w:rPr>
            </w:pPr>
          </w:p>
        </w:tc>
        <w:tc>
          <w:tcPr>
            <w:tcW w:w="80" w:type="dxa"/>
            <w:vAlign w:val="bottom"/>
            <w:tcBorders>
              <w:bottom w:val="single" w:sz="8" w:color="284993"/>
            </w:tcBorders>
          </w:tcPr>
          <w:p>
            <w:pPr>
              <w:spacing w:after="0"/>
              <w:rPr>
                <w:sz w:val="2"/>
                <w:szCs w:val="2"/>
                <w:color w:val="auto"/>
              </w:rPr>
            </w:pPr>
          </w:p>
        </w:tc>
        <w:tc>
          <w:tcPr>
            <w:tcW w:w="160" w:type="dxa"/>
            <w:vAlign w:val="bottom"/>
            <w:tcBorders>
              <w:bottom w:val="single" w:sz="8" w:color="284993"/>
            </w:tcBorders>
          </w:tcPr>
          <w:p>
            <w:pPr>
              <w:spacing w:after="0"/>
              <w:rPr>
                <w:sz w:val="2"/>
                <w:szCs w:val="2"/>
                <w:color w:val="auto"/>
              </w:rPr>
            </w:pPr>
          </w:p>
        </w:tc>
        <w:tc>
          <w:tcPr>
            <w:tcW w:w="40" w:type="dxa"/>
            <w:vAlign w:val="bottom"/>
            <w:tcBorders>
              <w:bottom w:val="single" w:sz="8" w:color="284993"/>
            </w:tcBorders>
          </w:tcPr>
          <w:p>
            <w:pPr>
              <w:spacing w:after="0"/>
              <w:rPr>
                <w:sz w:val="2"/>
                <w:szCs w:val="2"/>
                <w:color w:val="auto"/>
              </w:rPr>
            </w:pPr>
          </w:p>
        </w:tc>
        <w:tc>
          <w:tcPr>
            <w:tcW w:w="20" w:type="dxa"/>
            <w:vAlign w:val="bottom"/>
            <w:tcBorders>
              <w:bottom w:val="single" w:sz="8" w:color="284993"/>
            </w:tcBorders>
          </w:tcPr>
          <w:p>
            <w:pPr>
              <w:spacing w:after="0"/>
              <w:rPr>
                <w:sz w:val="2"/>
                <w:szCs w:val="2"/>
                <w:color w:val="auto"/>
              </w:rPr>
            </w:pPr>
          </w:p>
        </w:tc>
        <w:tc>
          <w:tcPr>
            <w:tcW w:w="20" w:type="dxa"/>
            <w:vAlign w:val="bottom"/>
            <w:tcBorders>
              <w:bottom w:val="single" w:sz="8" w:color="284993"/>
            </w:tcBorders>
          </w:tcPr>
          <w:p>
            <w:pPr>
              <w:spacing w:after="0"/>
              <w:rPr>
                <w:sz w:val="2"/>
                <w:szCs w:val="2"/>
                <w:color w:val="auto"/>
              </w:rPr>
            </w:pPr>
          </w:p>
        </w:tc>
        <w:tc>
          <w:tcPr>
            <w:tcW w:w="80" w:type="dxa"/>
            <w:vAlign w:val="bottom"/>
            <w:tcBorders>
              <w:bottom w:val="single" w:sz="8" w:color="284993"/>
            </w:tcBorders>
          </w:tcPr>
          <w:p>
            <w:pPr>
              <w:spacing w:after="0"/>
              <w:rPr>
                <w:sz w:val="2"/>
                <w:szCs w:val="2"/>
                <w:color w:val="auto"/>
              </w:rPr>
            </w:pPr>
          </w:p>
        </w:tc>
        <w:tc>
          <w:tcPr>
            <w:tcW w:w="120" w:type="dxa"/>
            <w:vAlign w:val="bottom"/>
            <w:tcBorders>
              <w:bottom w:val="single" w:sz="8" w:color="284993"/>
            </w:tcBorders>
          </w:tcPr>
          <w:p>
            <w:pPr>
              <w:spacing w:after="0"/>
              <w:rPr>
                <w:sz w:val="2"/>
                <w:szCs w:val="2"/>
                <w:color w:val="auto"/>
              </w:rPr>
            </w:pPr>
          </w:p>
        </w:tc>
        <w:tc>
          <w:tcPr>
            <w:tcW w:w="80" w:type="dxa"/>
            <w:vAlign w:val="bottom"/>
            <w:tcBorders>
              <w:bottom w:val="single" w:sz="8" w:color="284993"/>
            </w:tcBorders>
          </w:tcPr>
          <w:p>
            <w:pPr>
              <w:spacing w:after="0"/>
              <w:rPr>
                <w:sz w:val="2"/>
                <w:szCs w:val="2"/>
                <w:color w:val="auto"/>
              </w:rPr>
            </w:pPr>
          </w:p>
        </w:tc>
        <w:tc>
          <w:tcPr>
            <w:tcW w:w="200" w:type="dxa"/>
            <w:vAlign w:val="bottom"/>
            <w:tcBorders>
              <w:bottom w:val="single" w:sz="8" w:color="284993"/>
            </w:tcBorders>
          </w:tcPr>
          <w:p>
            <w:pPr>
              <w:spacing w:after="0"/>
              <w:rPr>
                <w:sz w:val="2"/>
                <w:szCs w:val="2"/>
                <w:color w:val="auto"/>
              </w:rPr>
            </w:pPr>
          </w:p>
        </w:tc>
        <w:tc>
          <w:tcPr>
            <w:tcW w:w="120" w:type="dxa"/>
            <w:vAlign w:val="bottom"/>
            <w:tcBorders>
              <w:bottom w:val="single" w:sz="8" w:color="284993"/>
            </w:tcBorders>
          </w:tcPr>
          <w:p>
            <w:pPr>
              <w:spacing w:after="0"/>
              <w:rPr>
                <w:sz w:val="2"/>
                <w:szCs w:val="2"/>
                <w:color w:val="auto"/>
              </w:rPr>
            </w:pPr>
          </w:p>
        </w:tc>
        <w:tc>
          <w:tcPr>
            <w:tcW w:w="80" w:type="dxa"/>
            <w:vAlign w:val="bottom"/>
            <w:tcBorders>
              <w:bottom w:val="single" w:sz="8" w:color="284993"/>
            </w:tcBorders>
          </w:tcPr>
          <w:p>
            <w:pPr>
              <w:spacing w:after="0"/>
              <w:rPr>
                <w:sz w:val="2"/>
                <w:szCs w:val="2"/>
                <w:color w:val="auto"/>
              </w:rPr>
            </w:pPr>
          </w:p>
        </w:tc>
        <w:tc>
          <w:tcPr>
            <w:tcW w:w="120" w:type="dxa"/>
            <w:vAlign w:val="bottom"/>
            <w:tcBorders>
              <w:bottom w:val="single" w:sz="8" w:color="284993"/>
            </w:tcBorders>
          </w:tcPr>
          <w:p>
            <w:pPr>
              <w:spacing w:after="0"/>
              <w:rPr>
                <w:sz w:val="2"/>
                <w:szCs w:val="2"/>
                <w:color w:val="auto"/>
              </w:rPr>
            </w:pPr>
          </w:p>
        </w:tc>
        <w:tc>
          <w:tcPr>
            <w:tcW w:w="340" w:type="dxa"/>
            <w:vAlign w:val="bottom"/>
            <w:tcBorders>
              <w:bottom w:val="single" w:sz="8" w:color="284993"/>
            </w:tcBorders>
          </w:tcPr>
          <w:p>
            <w:pPr>
              <w:spacing w:after="0"/>
              <w:rPr>
                <w:sz w:val="2"/>
                <w:szCs w:val="2"/>
                <w:color w:val="auto"/>
              </w:rPr>
            </w:pPr>
          </w:p>
        </w:tc>
        <w:tc>
          <w:tcPr>
            <w:tcW w:w="100" w:type="dxa"/>
            <w:vAlign w:val="bottom"/>
            <w:tcBorders>
              <w:bottom w:val="single" w:sz="8" w:color="284993"/>
            </w:tcBorders>
          </w:tcPr>
          <w:p>
            <w:pPr>
              <w:spacing w:after="0"/>
              <w:rPr>
                <w:sz w:val="2"/>
                <w:szCs w:val="2"/>
                <w:color w:val="auto"/>
              </w:rPr>
            </w:pPr>
          </w:p>
        </w:tc>
        <w:tc>
          <w:tcPr>
            <w:tcW w:w="80" w:type="dxa"/>
            <w:vAlign w:val="bottom"/>
            <w:tcBorders>
              <w:bottom w:val="single" w:sz="8" w:color="284993"/>
            </w:tcBorders>
          </w:tcPr>
          <w:p>
            <w:pPr>
              <w:spacing w:after="0"/>
              <w:rPr>
                <w:sz w:val="2"/>
                <w:szCs w:val="2"/>
                <w:color w:val="auto"/>
              </w:rPr>
            </w:pPr>
          </w:p>
        </w:tc>
        <w:tc>
          <w:tcPr>
            <w:tcW w:w="300" w:type="dxa"/>
            <w:vAlign w:val="bottom"/>
            <w:tcBorders>
              <w:bottom w:val="single" w:sz="8" w:color="284993"/>
            </w:tcBorders>
          </w:tcPr>
          <w:p>
            <w:pPr>
              <w:spacing w:after="0"/>
              <w:rPr>
                <w:sz w:val="2"/>
                <w:szCs w:val="2"/>
                <w:color w:val="auto"/>
              </w:rPr>
            </w:pPr>
          </w:p>
        </w:tc>
        <w:tc>
          <w:tcPr>
            <w:tcW w:w="40" w:type="dxa"/>
            <w:vAlign w:val="bottom"/>
            <w:tcBorders>
              <w:bottom w:val="single" w:sz="8" w:color="284993"/>
            </w:tcBorders>
          </w:tcPr>
          <w:p>
            <w:pPr>
              <w:spacing w:after="0"/>
              <w:rPr>
                <w:sz w:val="2"/>
                <w:szCs w:val="2"/>
                <w:color w:val="auto"/>
              </w:rPr>
            </w:pPr>
          </w:p>
        </w:tc>
        <w:tc>
          <w:tcPr>
            <w:tcW w:w="1260" w:type="dxa"/>
            <w:vAlign w:val="bottom"/>
            <w:tcBorders>
              <w:bottom w:val="single" w:sz="8" w:color="284993"/>
            </w:tcBorders>
          </w:tcPr>
          <w:p>
            <w:pPr>
              <w:spacing w:after="0"/>
              <w:rPr>
                <w:sz w:val="2"/>
                <w:szCs w:val="2"/>
                <w:color w:val="auto"/>
              </w:rPr>
            </w:pPr>
          </w:p>
        </w:tc>
        <w:tc>
          <w:tcPr>
            <w:tcW w:w="500" w:type="dxa"/>
            <w:vAlign w:val="bottom"/>
            <w:tcBorders>
              <w:bottom w:val="single" w:sz="8" w:color="284993"/>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320" w:type="dxa"/>
            <w:vAlign w:val="bottom"/>
            <w:gridSpan w:val="5"/>
          </w:tcPr>
          <w:p>
            <w:pPr>
              <w:spacing w:after="0" w:line="226" w:lineRule="exact"/>
              <w:rPr>
                <w:sz w:val="20"/>
                <w:szCs w:val="20"/>
                <w:color w:val="auto"/>
              </w:rPr>
            </w:pPr>
            <w:r>
              <w:rPr>
                <w:rFonts w:ascii="Arial" w:cs="Arial" w:eastAsia="Arial" w:hAnsi="Arial"/>
                <w:sz w:val="23"/>
                <w:szCs w:val="23"/>
                <w:color w:val="0000EE"/>
              </w:rPr>
              <w:t>Proposal</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jc w:val="right"/>
              <w:spacing w:after="0" w:line="226" w:lineRule="exact"/>
              <w:rPr>
                <w:sz w:val="20"/>
                <w:szCs w:val="20"/>
                <w:color w:val="auto"/>
              </w:rPr>
            </w:pPr>
            <w:r>
              <w:rPr>
                <w:rFonts w:ascii="Arial" w:cs="Arial" w:eastAsia="Arial" w:hAnsi="Arial"/>
                <w:sz w:val="23"/>
                <w:szCs w:val="23"/>
                <w:b w:val="1"/>
                <w:bCs w:val="1"/>
                <w:color w:val="284993"/>
              </w:rPr>
              <w:t>2</w:t>
            </w:r>
          </w:p>
        </w:tc>
        <w:tc>
          <w:tcPr>
            <w:tcW w:w="0" w:type="dxa"/>
            <w:vAlign w:val="bottom"/>
          </w:tcPr>
          <w:p>
            <w:pPr>
              <w:spacing w:after="0"/>
              <w:rPr>
                <w:sz w:val="1"/>
                <w:szCs w:val="1"/>
                <w:color w:val="auto"/>
              </w:rPr>
            </w:pPr>
          </w:p>
        </w:tc>
      </w:tr>
      <w:tr>
        <w:trPr>
          <w:trHeight w:val="32"/>
        </w:trPr>
        <w:tc>
          <w:tcPr>
            <w:tcW w:w="20" w:type="dxa"/>
            <w:vAlign w:val="bottom"/>
            <w:tcBorders>
              <w:top w:val="single" w:sz="8" w:color="0000EE"/>
            </w:tcBorders>
          </w:tcPr>
          <w:p>
            <w:pPr>
              <w:spacing w:after="0"/>
              <w:rPr>
                <w:sz w:val="2"/>
                <w:szCs w:val="2"/>
                <w:color w:val="auto"/>
              </w:rPr>
            </w:pPr>
          </w:p>
        </w:tc>
        <w:tc>
          <w:tcPr>
            <w:tcW w:w="880" w:type="dxa"/>
            <w:vAlign w:val="bottom"/>
            <w:tcBorders>
              <w:top w:val="single" w:sz="8" w:color="0000EE"/>
              <w:bottom w:val="single" w:sz="8" w:color="284993"/>
            </w:tcBorders>
          </w:tcPr>
          <w:p>
            <w:pPr>
              <w:spacing w:after="0"/>
              <w:rPr>
                <w:sz w:val="2"/>
                <w:szCs w:val="2"/>
                <w:color w:val="auto"/>
              </w:rPr>
            </w:pPr>
          </w:p>
        </w:tc>
        <w:tc>
          <w:tcPr>
            <w:tcW w:w="140" w:type="dxa"/>
            <w:vAlign w:val="bottom"/>
            <w:tcBorders>
              <w:bottom w:val="single" w:sz="8" w:color="284993"/>
            </w:tcBorders>
          </w:tcPr>
          <w:p>
            <w:pPr>
              <w:spacing w:after="0"/>
              <w:rPr>
                <w:sz w:val="2"/>
                <w:szCs w:val="2"/>
                <w:color w:val="auto"/>
              </w:rPr>
            </w:pPr>
          </w:p>
        </w:tc>
        <w:tc>
          <w:tcPr>
            <w:tcW w:w="1600" w:type="dxa"/>
            <w:vAlign w:val="bottom"/>
            <w:tcBorders>
              <w:bottom w:val="single" w:sz="8" w:color="284993"/>
            </w:tcBorders>
          </w:tcPr>
          <w:p>
            <w:pPr>
              <w:spacing w:after="0"/>
              <w:rPr>
                <w:sz w:val="2"/>
                <w:szCs w:val="2"/>
                <w:color w:val="auto"/>
              </w:rPr>
            </w:pPr>
          </w:p>
        </w:tc>
        <w:tc>
          <w:tcPr>
            <w:tcW w:w="1680" w:type="dxa"/>
            <w:vAlign w:val="bottom"/>
            <w:tcBorders>
              <w:bottom w:val="single" w:sz="8" w:color="284993"/>
            </w:tcBorders>
          </w:tcPr>
          <w:p>
            <w:pPr>
              <w:spacing w:after="0"/>
              <w:rPr>
                <w:sz w:val="2"/>
                <w:szCs w:val="2"/>
                <w:color w:val="auto"/>
              </w:rPr>
            </w:pPr>
          </w:p>
        </w:tc>
        <w:tc>
          <w:tcPr>
            <w:tcW w:w="320" w:type="dxa"/>
            <w:vAlign w:val="bottom"/>
            <w:tcBorders>
              <w:bottom w:val="single" w:sz="8" w:color="284993"/>
            </w:tcBorders>
          </w:tcPr>
          <w:p>
            <w:pPr>
              <w:spacing w:after="0"/>
              <w:rPr>
                <w:sz w:val="2"/>
                <w:szCs w:val="2"/>
                <w:color w:val="auto"/>
              </w:rPr>
            </w:pPr>
          </w:p>
        </w:tc>
        <w:tc>
          <w:tcPr>
            <w:tcW w:w="560" w:type="dxa"/>
            <w:vAlign w:val="bottom"/>
            <w:tcBorders>
              <w:bottom w:val="single" w:sz="8" w:color="284993"/>
            </w:tcBorders>
          </w:tcPr>
          <w:p>
            <w:pPr>
              <w:spacing w:after="0"/>
              <w:rPr>
                <w:sz w:val="2"/>
                <w:szCs w:val="2"/>
                <w:color w:val="auto"/>
              </w:rPr>
            </w:pPr>
          </w:p>
        </w:tc>
        <w:tc>
          <w:tcPr>
            <w:tcW w:w="420" w:type="dxa"/>
            <w:vAlign w:val="bottom"/>
            <w:tcBorders>
              <w:bottom w:val="single" w:sz="8" w:color="284993"/>
            </w:tcBorders>
          </w:tcPr>
          <w:p>
            <w:pPr>
              <w:spacing w:after="0"/>
              <w:rPr>
                <w:sz w:val="2"/>
                <w:szCs w:val="2"/>
                <w:color w:val="auto"/>
              </w:rPr>
            </w:pPr>
          </w:p>
        </w:tc>
        <w:tc>
          <w:tcPr>
            <w:tcW w:w="80" w:type="dxa"/>
            <w:vAlign w:val="bottom"/>
            <w:tcBorders>
              <w:bottom w:val="single" w:sz="8" w:color="284993"/>
            </w:tcBorders>
          </w:tcPr>
          <w:p>
            <w:pPr>
              <w:spacing w:after="0"/>
              <w:rPr>
                <w:sz w:val="2"/>
                <w:szCs w:val="2"/>
                <w:color w:val="auto"/>
              </w:rPr>
            </w:pPr>
          </w:p>
        </w:tc>
        <w:tc>
          <w:tcPr>
            <w:tcW w:w="160" w:type="dxa"/>
            <w:vAlign w:val="bottom"/>
            <w:tcBorders>
              <w:bottom w:val="single" w:sz="8" w:color="284993"/>
            </w:tcBorders>
          </w:tcPr>
          <w:p>
            <w:pPr>
              <w:spacing w:after="0"/>
              <w:rPr>
                <w:sz w:val="2"/>
                <w:szCs w:val="2"/>
                <w:color w:val="auto"/>
              </w:rPr>
            </w:pPr>
          </w:p>
        </w:tc>
        <w:tc>
          <w:tcPr>
            <w:tcW w:w="40" w:type="dxa"/>
            <w:vAlign w:val="bottom"/>
            <w:tcBorders>
              <w:bottom w:val="single" w:sz="8" w:color="284993"/>
            </w:tcBorders>
          </w:tcPr>
          <w:p>
            <w:pPr>
              <w:spacing w:after="0"/>
              <w:rPr>
                <w:sz w:val="2"/>
                <w:szCs w:val="2"/>
                <w:color w:val="auto"/>
              </w:rPr>
            </w:pPr>
          </w:p>
        </w:tc>
        <w:tc>
          <w:tcPr>
            <w:tcW w:w="20" w:type="dxa"/>
            <w:vAlign w:val="bottom"/>
            <w:tcBorders>
              <w:bottom w:val="single" w:sz="8" w:color="284993"/>
            </w:tcBorders>
          </w:tcPr>
          <w:p>
            <w:pPr>
              <w:spacing w:after="0"/>
              <w:rPr>
                <w:sz w:val="2"/>
                <w:szCs w:val="2"/>
                <w:color w:val="auto"/>
              </w:rPr>
            </w:pPr>
          </w:p>
        </w:tc>
        <w:tc>
          <w:tcPr>
            <w:tcW w:w="20" w:type="dxa"/>
            <w:vAlign w:val="bottom"/>
            <w:tcBorders>
              <w:bottom w:val="single" w:sz="8" w:color="284993"/>
            </w:tcBorders>
          </w:tcPr>
          <w:p>
            <w:pPr>
              <w:spacing w:after="0"/>
              <w:rPr>
                <w:sz w:val="2"/>
                <w:szCs w:val="2"/>
                <w:color w:val="auto"/>
              </w:rPr>
            </w:pPr>
          </w:p>
        </w:tc>
        <w:tc>
          <w:tcPr>
            <w:tcW w:w="80" w:type="dxa"/>
            <w:vAlign w:val="bottom"/>
            <w:tcBorders>
              <w:bottom w:val="single" w:sz="8" w:color="284993"/>
            </w:tcBorders>
          </w:tcPr>
          <w:p>
            <w:pPr>
              <w:spacing w:after="0"/>
              <w:rPr>
                <w:sz w:val="2"/>
                <w:szCs w:val="2"/>
                <w:color w:val="auto"/>
              </w:rPr>
            </w:pPr>
          </w:p>
        </w:tc>
        <w:tc>
          <w:tcPr>
            <w:tcW w:w="120" w:type="dxa"/>
            <w:vAlign w:val="bottom"/>
            <w:tcBorders>
              <w:bottom w:val="single" w:sz="8" w:color="284993"/>
            </w:tcBorders>
          </w:tcPr>
          <w:p>
            <w:pPr>
              <w:spacing w:after="0"/>
              <w:rPr>
                <w:sz w:val="2"/>
                <w:szCs w:val="2"/>
                <w:color w:val="auto"/>
              </w:rPr>
            </w:pPr>
          </w:p>
        </w:tc>
        <w:tc>
          <w:tcPr>
            <w:tcW w:w="80" w:type="dxa"/>
            <w:vAlign w:val="bottom"/>
            <w:tcBorders>
              <w:bottom w:val="single" w:sz="8" w:color="284993"/>
            </w:tcBorders>
          </w:tcPr>
          <w:p>
            <w:pPr>
              <w:spacing w:after="0"/>
              <w:rPr>
                <w:sz w:val="2"/>
                <w:szCs w:val="2"/>
                <w:color w:val="auto"/>
              </w:rPr>
            </w:pPr>
          </w:p>
        </w:tc>
        <w:tc>
          <w:tcPr>
            <w:tcW w:w="200" w:type="dxa"/>
            <w:vAlign w:val="bottom"/>
            <w:tcBorders>
              <w:bottom w:val="single" w:sz="8" w:color="284993"/>
            </w:tcBorders>
          </w:tcPr>
          <w:p>
            <w:pPr>
              <w:spacing w:after="0"/>
              <w:rPr>
                <w:sz w:val="2"/>
                <w:szCs w:val="2"/>
                <w:color w:val="auto"/>
              </w:rPr>
            </w:pPr>
          </w:p>
        </w:tc>
        <w:tc>
          <w:tcPr>
            <w:tcW w:w="120" w:type="dxa"/>
            <w:vAlign w:val="bottom"/>
            <w:tcBorders>
              <w:bottom w:val="single" w:sz="8" w:color="284993"/>
            </w:tcBorders>
          </w:tcPr>
          <w:p>
            <w:pPr>
              <w:spacing w:after="0"/>
              <w:rPr>
                <w:sz w:val="2"/>
                <w:szCs w:val="2"/>
                <w:color w:val="auto"/>
              </w:rPr>
            </w:pPr>
          </w:p>
        </w:tc>
        <w:tc>
          <w:tcPr>
            <w:tcW w:w="80" w:type="dxa"/>
            <w:vAlign w:val="bottom"/>
            <w:tcBorders>
              <w:bottom w:val="single" w:sz="8" w:color="284993"/>
            </w:tcBorders>
          </w:tcPr>
          <w:p>
            <w:pPr>
              <w:spacing w:after="0"/>
              <w:rPr>
                <w:sz w:val="2"/>
                <w:szCs w:val="2"/>
                <w:color w:val="auto"/>
              </w:rPr>
            </w:pPr>
          </w:p>
        </w:tc>
        <w:tc>
          <w:tcPr>
            <w:tcW w:w="120" w:type="dxa"/>
            <w:vAlign w:val="bottom"/>
            <w:tcBorders>
              <w:bottom w:val="single" w:sz="8" w:color="284993"/>
            </w:tcBorders>
          </w:tcPr>
          <w:p>
            <w:pPr>
              <w:spacing w:after="0"/>
              <w:rPr>
                <w:sz w:val="2"/>
                <w:szCs w:val="2"/>
                <w:color w:val="auto"/>
              </w:rPr>
            </w:pPr>
          </w:p>
        </w:tc>
        <w:tc>
          <w:tcPr>
            <w:tcW w:w="340" w:type="dxa"/>
            <w:vAlign w:val="bottom"/>
            <w:tcBorders>
              <w:bottom w:val="single" w:sz="8" w:color="284993"/>
            </w:tcBorders>
          </w:tcPr>
          <w:p>
            <w:pPr>
              <w:spacing w:after="0"/>
              <w:rPr>
                <w:sz w:val="2"/>
                <w:szCs w:val="2"/>
                <w:color w:val="auto"/>
              </w:rPr>
            </w:pPr>
          </w:p>
        </w:tc>
        <w:tc>
          <w:tcPr>
            <w:tcW w:w="100" w:type="dxa"/>
            <w:vAlign w:val="bottom"/>
            <w:tcBorders>
              <w:bottom w:val="single" w:sz="8" w:color="284993"/>
            </w:tcBorders>
          </w:tcPr>
          <w:p>
            <w:pPr>
              <w:spacing w:after="0"/>
              <w:rPr>
                <w:sz w:val="2"/>
                <w:szCs w:val="2"/>
                <w:color w:val="auto"/>
              </w:rPr>
            </w:pPr>
          </w:p>
        </w:tc>
        <w:tc>
          <w:tcPr>
            <w:tcW w:w="80" w:type="dxa"/>
            <w:vAlign w:val="bottom"/>
            <w:tcBorders>
              <w:bottom w:val="single" w:sz="8" w:color="284993"/>
            </w:tcBorders>
          </w:tcPr>
          <w:p>
            <w:pPr>
              <w:spacing w:after="0"/>
              <w:rPr>
                <w:sz w:val="2"/>
                <w:szCs w:val="2"/>
                <w:color w:val="auto"/>
              </w:rPr>
            </w:pPr>
          </w:p>
        </w:tc>
        <w:tc>
          <w:tcPr>
            <w:tcW w:w="300" w:type="dxa"/>
            <w:vAlign w:val="bottom"/>
            <w:tcBorders>
              <w:bottom w:val="single" w:sz="8" w:color="284993"/>
            </w:tcBorders>
          </w:tcPr>
          <w:p>
            <w:pPr>
              <w:spacing w:after="0"/>
              <w:rPr>
                <w:sz w:val="2"/>
                <w:szCs w:val="2"/>
                <w:color w:val="auto"/>
              </w:rPr>
            </w:pPr>
          </w:p>
        </w:tc>
        <w:tc>
          <w:tcPr>
            <w:tcW w:w="40" w:type="dxa"/>
            <w:vAlign w:val="bottom"/>
            <w:tcBorders>
              <w:bottom w:val="single" w:sz="8" w:color="284993"/>
            </w:tcBorders>
          </w:tcPr>
          <w:p>
            <w:pPr>
              <w:spacing w:after="0"/>
              <w:rPr>
                <w:sz w:val="2"/>
                <w:szCs w:val="2"/>
                <w:color w:val="auto"/>
              </w:rPr>
            </w:pPr>
          </w:p>
        </w:tc>
        <w:tc>
          <w:tcPr>
            <w:tcW w:w="1260" w:type="dxa"/>
            <w:vAlign w:val="bottom"/>
            <w:tcBorders>
              <w:bottom w:val="single" w:sz="8" w:color="284993"/>
            </w:tcBorders>
          </w:tcPr>
          <w:p>
            <w:pPr>
              <w:spacing w:after="0"/>
              <w:rPr>
                <w:sz w:val="2"/>
                <w:szCs w:val="2"/>
                <w:color w:val="auto"/>
              </w:rPr>
            </w:pPr>
          </w:p>
        </w:tc>
        <w:tc>
          <w:tcPr>
            <w:tcW w:w="500" w:type="dxa"/>
            <w:vAlign w:val="bottom"/>
            <w:tcBorders>
              <w:bottom w:val="single" w:sz="8" w:color="284993"/>
            </w:tcBorders>
          </w:tcPr>
          <w:p>
            <w:pPr>
              <w:spacing w:after="0"/>
              <w:rPr>
                <w:sz w:val="2"/>
                <w:szCs w:val="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4300" w:type="dxa"/>
            <w:vAlign w:val="bottom"/>
            <w:gridSpan w:val="4"/>
          </w:tcPr>
          <w:p>
            <w:pPr>
              <w:ind w:left="240"/>
              <w:spacing w:after="0" w:line="47" w:lineRule="exact"/>
              <w:rPr>
                <w:sz w:val="20"/>
                <w:szCs w:val="20"/>
                <w:color w:val="auto"/>
              </w:rPr>
            </w:pPr>
            <w:r>
              <w:rPr>
                <w:rFonts w:ascii="Arial" w:cs="Arial" w:eastAsia="Arial" w:hAnsi="Arial"/>
                <w:sz w:val="5"/>
                <w:szCs w:val="5"/>
                <w:color w:val="284993"/>
              </w:rPr>
              <w:t>Corporate Governance</w:t>
            </w:r>
          </w:p>
        </w:tc>
        <w:tc>
          <w:tcPr>
            <w:tcW w:w="320" w:type="dxa"/>
            <w:vAlign w:val="bottom"/>
          </w:tcPr>
          <w:p>
            <w:pPr>
              <w:spacing w:after="0"/>
              <w:rPr>
                <w:sz w:val="4"/>
                <w:szCs w:val="4"/>
                <w:color w:val="auto"/>
              </w:rPr>
            </w:pPr>
          </w:p>
        </w:tc>
        <w:tc>
          <w:tcPr>
            <w:tcW w:w="4220" w:type="dxa"/>
            <w:vAlign w:val="bottom"/>
            <w:gridSpan w:val="20"/>
          </w:tcPr>
          <w:p>
            <w:pPr>
              <w:spacing w:after="0"/>
              <w:rPr>
                <w:sz w:val="20"/>
                <w:szCs w:val="20"/>
                <w:color w:val="auto"/>
              </w:rPr>
            </w:pPr>
            <w:r>
              <w:rPr>
                <w:rFonts w:ascii="Arial" w:cs="Arial" w:eastAsia="Arial" w:hAnsi="Arial"/>
                <w:sz w:val="4"/>
                <w:szCs w:val="4"/>
                <w:color w:val="0000EE"/>
              </w:rPr>
              <w:t>Board of Directors and Committees</w:t>
            </w:r>
          </w:p>
        </w:tc>
        <w:tc>
          <w:tcPr>
            <w:tcW w:w="500" w:type="dxa"/>
            <w:vAlign w:val="bottom"/>
          </w:tcPr>
          <w:p>
            <w:pPr>
              <w:jc w:val="right"/>
              <w:spacing w:after="0"/>
              <w:rPr>
                <w:sz w:val="20"/>
                <w:szCs w:val="20"/>
                <w:color w:val="auto"/>
              </w:rPr>
            </w:pPr>
            <w:r>
              <w:rPr>
                <w:rFonts w:ascii="Arial" w:cs="Arial" w:eastAsia="Arial" w:hAnsi="Arial"/>
                <w:sz w:val="4"/>
                <w:szCs w:val="4"/>
                <w:color w:val="auto"/>
              </w:rPr>
              <w:t>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540" w:type="dxa"/>
            <w:vAlign w:val="bottom"/>
            <w:gridSpan w:val="21"/>
          </w:tcPr>
          <w:p>
            <w:pPr>
              <w:spacing w:after="0" w:line="155" w:lineRule="exact"/>
              <w:rPr>
                <w:sz w:val="20"/>
                <w:szCs w:val="20"/>
                <w:color w:val="auto"/>
              </w:rPr>
            </w:pPr>
            <w:r>
              <w:rPr>
                <w:rFonts w:ascii="Arial" w:cs="Arial" w:eastAsia="Arial" w:hAnsi="Arial"/>
                <w:sz w:val="16"/>
                <w:szCs w:val="16"/>
                <w:color w:val="0000EE"/>
              </w:rPr>
              <w:t>Corporate Governance</w:t>
            </w:r>
          </w:p>
        </w:tc>
        <w:tc>
          <w:tcPr>
            <w:tcW w:w="500" w:type="dxa"/>
            <w:vAlign w:val="bottom"/>
          </w:tcPr>
          <w:p>
            <w:pPr>
              <w:jc w:val="right"/>
              <w:spacing w:after="0" w:line="155"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560" w:type="dxa"/>
            <w:vAlign w:val="bottom"/>
            <w:tcBorders>
              <w:top w:val="single" w:sz="8" w:color="0000EE"/>
              <w:bottom w:val="single" w:sz="8" w:color="0000EE"/>
            </w:tcBorders>
          </w:tcPr>
          <w:p>
            <w:pPr>
              <w:spacing w:after="0"/>
              <w:rPr>
                <w:sz w:val="14"/>
                <w:szCs w:val="14"/>
                <w:color w:val="auto"/>
              </w:rPr>
            </w:pPr>
          </w:p>
        </w:tc>
        <w:tc>
          <w:tcPr>
            <w:tcW w:w="420" w:type="dxa"/>
            <w:vAlign w:val="bottom"/>
            <w:tcBorders>
              <w:top w:val="single" w:sz="8" w:color="0000EE"/>
              <w:bottom w:val="single" w:sz="8" w:color="0000EE"/>
            </w:tcBorders>
          </w:tcPr>
          <w:p>
            <w:pPr>
              <w:spacing w:after="0"/>
              <w:rPr>
                <w:sz w:val="14"/>
                <w:szCs w:val="14"/>
                <w:color w:val="auto"/>
              </w:rPr>
            </w:pPr>
          </w:p>
        </w:tc>
        <w:tc>
          <w:tcPr>
            <w:tcW w:w="80" w:type="dxa"/>
            <w:vAlign w:val="bottom"/>
            <w:tcBorders>
              <w:top w:val="single" w:sz="8" w:color="0000EE"/>
              <w:bottom w:val="single" w:sz="8" w:color="0000EE"/>
            </w:tcBorders>
          </w:tcPr>
          <w:p>
            <w:pPr>
              <w:spacing w:after="0"/>
              <w:rPr>
                <w:sz w:val="14"/>
                <w:szCs w:val="14"/>
                <w:color w:val="auto"/>
              </w:rPr>
            </w:pPr>
          </w:p>
        </w:tc>
        <w:tc>
          <w:tcPr>
            <w:tcW w:w="160" w:type="dxa"/>
            <w:vAlign w:val="bottom"/>
            <w:tcBorders>
              <w:top w:val="single" w:sz="8" w:color="0000EE"/>
              <w:bottom w:val="single" w:sz="8" w:color="0000EE"/>
            </w:tcBorders>
          </w:tcPr>
          <w:p>
            <w:pPr>
              <w:spacing w:after="0"/>
              <w:rPr>
                <w:sz w:val="14"/>
                <w:szCs w:val="14"/>
                <w:color w:val="auto"/>
              </w:rPr>
            </w:pPr>
          </w:p>
        </w:tc>
        <w:tc>
          <w:tcPr>
            <w:tcW w:w="40" w:type="dxa"/>
            <w:vAlign w:val="bottom"/>
            <w:tcBorders>
              <w:top w:val="single" w:sz="8" w:color="0000EE"/>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0" w:type="dxa"/>
            <w:vAlign w:val="bottom"/>
            <w:tcBorders>
              <w:bottom w:val="single" w:sz="8" w:color="0000EE"/>
            </w:tcBorders>
          </w:tcPr>
          <w:p>
            <w:pPr>
              <w:spacing w:after="0"/>
              <w:rPr>
                <w:sz w:val="14"/>
                <w:szCs w:val="14"/>
                <w:color w:val="auto"/>
              </w:rPr>
            </w:pPr>
          </w:p>
        </w:tc>
        <w:tc>
          <w:tcPr>
            <w:tcW w:w="120" w:type="dxa"/>
            <w:vAlign w:val="bottom"/>
            <w:tcBorders>
              <w:bottom w:val="single" w:sz="8" w:color="0000EE"/>
            </w:tcBorders>
          </w:tcPr>
          <w:p>
            <w:pPr>
              <w:spacing w:after="0"/>
              <w:rPr>
                <w:sz w:val="14"/>
                <w:szCs w:val="14"/>
                <w:color w:val="auto"/>
              </w:rPr>
            </w:pPr>
          </w:p>
        </w:tc>
        <w:tc>
          <w:tcPr>
            <w:tcW w:w="80" w:type="dxa"/>
            <w:vAlign w:val="bottom"/>
            <w:tcBorders>
              <w:bottom w:val="single" w:sz="8" w:color="0000EE"/>
            </w:tcBorders>
          </w:tcPr>
          <w:p>
            <w:pPr>
              <w:spacing w:after="0"/>
              <w:rPr>
                <w:sz w:val="14"/>
                <w:szCs w:val="14"/>
                <w:color w:val="auto"/>
              </w:rPr>
            </w:pPr>
          </w:p>
        </w:tc>
        <w:tc>
          <w:tcPr>
            <w:tcW w:w="200" w:type="dxa"/>
            <w:vAlign w:val="bottom"/>
            <w:tcBorders>
              <w:bottom w:val="single" w:sz="8" w:color="0000EE"/>
            </w:tcBorders>
          </w:tcPr>
          <w:p>
            <w:pPr>
              <w:spacing w:after="0"/>
              <w:rPr>
                <w:sz w:val="14"/>
                <w:szCs w:val="14"/>
                <w:color w:val="auto"/>
              </w:rPr>
            </w:pPr>
          </w:p>
        </w:tc>
        <w:tc>
          <w:tcPr>
            <w:tcW w:w="120" w:type="dxa"/>
            <w:vAlign w:val="bottom"/>
            <w:tcBorders>
              <w:bottom w:val="single" w:sz="8" w:color="0000EE"/>
            </w:tcBorders>
          </w:tcPr>
          <w:p>
            <w:pPr>
              <w:spacing w:after="0"/>
              <w:rPr>
                <w:sz w:val="14"/>
                <w:szCs w:val="14"/>
                <w:color w:val="auto"/>
              </w:rPr>
            </w:pPr>
          </w:p>
        </w:tc>
        <w:tc>
          <w:tcPr>
            <w:tcW w:w="80" w:type="dxa"/>
            <w:vAlign w:val="bottom"/>
            <w:tcBorders>
              <w:bottom w:val="single" w:sz="8" w:color="0000EE"/>
            </w:tcBorders>
          </w:tcPr>
          <w:p>
            <w:pPr>
              <w:spacing w:after="0"/>
              <w:rPr>
                <w:sz w:val="14"/>
                <w:szCs w:val="14"/>
                <w:color w:val="auto"/>
              </w:rPr>
            </w:pPr>
          </w:p>
        </w:tc>
        <w:tc>
          <w:tcPr>
            <w:tcW w:w="120" w:type="dxa"/>
            <w:vAlign w:val="bottom"/>
            <w:tcBorders>
              <w:bottom w:val="single" w:sz="8" w:color="0000EE"/>
            </w:tcBorders>
          </w:tcPr>
          <w:p>
            <w:pPr>
              <w:spacing w:after="0"/>
              <w:rPr>
                <w:sz w:val="14"/>
                <w:szCs w:val="14"/>
                <w:color w:val="auto"/>
              </w:rPr>
            </w:pPr>
          </w:p>
        </w:tc>
        <w:tc>
          <w:tcPr>
            <w:tcW w:w="340" w:type="dxa"/>
            <w:vAlign w:val="bottom"/>
            <w:tcBorders>
              <w:bottom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tcBorders>
              <w:bottom w:val="single" w:sz="8" w:color="0000EE"/>
            </w:tcBorders>
            <w:gridSpan w:val="10"/>
          </w:tcPr>
          <w:p>
            <w:pPr>
              <w:spacing w:after="0" w:line="162" w:lineRule="exact"/>
              <w:rPr>
                <w:sz w:val="20"/>
                <w:szCs w:val="20"/>
                <w:color w:val="auto"/>
              </w:rPr>
            </w:pPr>
            <w:r>
              <w:rPr>
                <w:rFonts w:ascii="Arial" w:cs="Arial" w:eastAsia="Arial" w:hAnsi="Arial"/>
                <w:sz w:val="16"/>
                <w:szCs w:val="16"/>
                <w:color w:val="0000EE"/>
                <w:w w:val="96"/>
              </w:rPr>
              <w:t>Director Independence</w:t>
            </w:r>
          </w:p>
        </w:tc>
        <w:tc>
          <w:tcPr>
            <w:tcW w:w="2640" w:type="dxa"/>
            <w:vAlign w:val="bottom"/>
            <w:gridSpan w:val="10"/>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Borders>
              <w:bottom w:val="single" w:sz="8" w:color="0000EE"/>
            </w:tcBorders>
            <w:gridSpan w:val="7"/>
          </w:tcPr>
          <w:p>
            <w:pPr>
              <w:spacing w:after="0" w:line="162" w:lineRule="exact"/>
              <w:rPr>
                <w:sz w:val="20"/>
                <w:szCs w:val="20"/>
                <w:color w:val="auto"/>
              </w:rPr>
            </w:pPr>
            <w:r>
              <w:rPr>
                <w:rFonts w:ascii="Arial" w:cs="Arial" w:eastAsia="Arial" w:hAnsi="Arial"/>
                <w:sz w:val="16"/>
                <w:szCs w:val="16"/>
                <w:color w:val="0000EE"/>
                <w:w w:val="96"/>
              </w:rPr>
              <w:t>Board Committees</w:t>
            </w:r>
          </w:p>
        </w:tc>
        <w:tc>
          <w:tcPr>
            <w:tcW w:w="2920" w:type="dxa"/>
            <w:vAlign w:val="bottom"/>
            <w:gridSpan w:val="13"/>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20" w:type="dxa"/>
            <w:vAlign w:val="bottom"/>
            <w:gridSpan w:val="20"/>
          </w:tcPr>
          <w:p>
            <w:pPr>
              <w:spacing w:after="0" w:line="162" w:lineRule="exact"/>
              <w:rPr>
                <w:sz w:val="20"/>
                <w:szCs w:val="20"/>
                <w:color w:val="auto"/>
              </w:rPr>
            </w:pPr>
            <w:r>
              <w:rPr>
                <w:rFonts w:ascii="Arial" w:cs="Arial" w:eastAsia="Arial" w:hAnsi="Arial"/>
                <w:sz w:val="16"/>
                <w:szCs w:val="16"/>
                <w:color w:val="0000EE"/>
              </w:rPr>
              <w:t>Meeting Attendance</w:t>
            </w:r>
          </w:p>
        </w:tc>
        <w:tc>
          <w:tcPr>
            <w:tcW w:w="500" w:type="dxa"/>
            <w:vAlign w:val="bottom"/>
          </w:tcPr>
          <w:p>
            <w:pPr>
              <w:jc w:val="right"/>
              <w:spacing w:after="0" w:line="162"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vMerge w:val="restart"/>
          </w:tcPr>
          <w:p>
            <w:pPr>
              <w:jc w:val="right"/>
              <w:spacing w:after="0" w:line="182" w:lineRule="exact"/>
              <w:rPr>
                <w:sz w:val="20"/>
                <w:szCs w:val="20"/>
                <w:color w:val="auto"/>
              </w:rPr>
            </w:pPr>
            <w:r>
              <w:rPr>
                <w:rFonts w:ascii="Arial" w:cs="Arial" w:eastAsia="Arial" w:hAnsi="Arial"/>
                <w:sz w:val="16"/>
                <w:szCs w:val="16"/>
                <w:color w:val="auto"/>
              </w:rPr>
              <w:t>10</w:t>
            </w: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20" w:type="dxa"/>
            <w:vAlign w:val="bottom"/>
            <w:gridSpan w:val="20"/>
          </w:tcPr>
          <w:p>
            <w:pPr>
              <w:spacing w:after="0" w:line="162" w:lineRule="exact"/>
              <w:rPr>
                <w:sz w:val="20"/>
                <w:szCs w:val="20"/>
                <w:color w:val="auto"/>
              </w:rPr>
            </w:pPr>
            <w:r>
              <w:rPr>
                <w:rFonts w:ascii="Arial" w:cs="Arial" w:eastAsia="Arial" w:hAnsi="Arial"/>
                <w:sz w:val="16"/>
                <w:szCs w:val="16"/>
                <w:color w:val="0000EE"/>
              </w:rPr>
              <w:t>Board Leadership Structure</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vMerge w:val="restart"/>
          </w:tcPr>
          <w:p>
            <w:pPr>
              <w:jc w:val="right"/>
              <w:spacing w:after="0" w:line="182" w:lineRule="exact"/>
              <w:rPr>
                <w:sz w:val="20"/>
                <w:szCs w:val="20"/>
                <w:color w:val="auto"/>
              </w:rPr>
            </w:pPr>
            <w:r>
              <w:rPr>
                <w:rFonts w:ascii="Arial" w:cs="Arial" w:eastAsia="Arial" w:hAnsi="Arial"/>
                <w:sz w:val="16"/>
                <w:szCs w:val="16"/>
                <w:color w:val="auto"/>
              </w:rPr>
              <w:t>10</w:t>
            </w: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20" w:type="dxa"/>
            <w:vAlign w:val="bottom"/>
            <w:gridSpan w:val="20"/>
          </w:tcPr>
          <w:p>
            <w:pPr>
              <w:spacing w:after="0" w:line="162" w:lineRule="exact"/>
              <w:rPr>
                <w:sz w:val="20"/>
                <w:szCs w:val="20"/>
                <w:color w:val="auto"/>
              </w:rPr>
            </w:pPr>
            <w:r>
              <w:rPr>
                <w:rFonts w:ascii="Arial" w:cs="Arial" w:eastAsia="Arial" w:hAnsi="Arial"/>
                <w:sz w:val="16"/>
                <w:szCs w:val="16"/>
                <w:color w:val="0000EE"/>
              </w:rPr>
              <w:t>Board Evaluation and Nomination Process</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vMerge w:val="restart"/>
          </w:tcPr>
          <w:p>
            <w:pPr>
              <w:jc w:val="right"/>
              <w:spacing w:after="0" w:line="182" w:lineRule="exact"/>
              <w:rPr>
                <w:sz w:val="20"/>
                <w:szCs w:val="20"/>
                <w:color w:val="auto"/>
              </w:rPr>
            </w:pPr>
            <w:r>
              <w:rPr>
                <w:rFonts w:ascii="Arial" w:cs="Arial" w:eastAsia="Arial" w:hAnsi="Arial"/>
                <w:sz w:val="16"/>
                <w:szCs w:val="16"/>
                <w:color w:val="auto"/>
              </w:rPr>
              <w:t>11</w:t>
            </w: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60" w:type="dxa"/>
            <w:vAlign w:val="bottom"/>
            <w:tcBorders>
              <w:bottom w:val="single" w:sz="8" w:color="0000EE"/>
            </w:tcBorders>
            <w:gridSpan w:val="19"/>
          </w:tcPr>
          <w:p>
            <w:pPr>
              <w:spacing w:after="0" w:line="162" w:lineRule="exact"/>
              <w:rPr>
                <w:sz w:val="20"/>
                <w:szCs w:val="20"/>
                <w:color w:val="auto"/>
              </w:rPr>
            </w:pPr>
            <w:r>
              <w:rPr>
                <w:rFonts w:ascii="Arial" w:cs="Arial" w:eastAsia="Arial" w:hAnsi="Arial"/>
                <w:sz w:val="16"/>
                <w:szCs w:val="16"/>
                <w:color w:val="0000EE"/>
                <w:w w:val="96"/>
              </w:rPr>
              <w:t>Corporate Responsibility and Sustainability</w:t>
            </w:r>
          </w:p>
        </w:tc>
        <w:tc>
          <w:tcPr>
            <w:tcW w:w="12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Borders>
              <w:bottom w:val="single" w:sz="8" w:color="0000EE"/>
            </w:tcBorders>
            <w:gridSpan w:val="4"/>
          </w:tcPr>
          <w:p>
            <w:pPr>
              <w:spacing w:after="0" w:line="162" w:lineRule="exact"/>
              <w:rPr>
                <w:sz w:val="20"/>
                <w:szCs w:val="20"/>
                <w:color w:val="auto"/>
              </w:rPr>
            </w:pPr>
            <w:r>
              <w:rPr>
                <w:rFonts w:ascii="Arial" w:cs="Arial" w:eastAsia="Arial" w:hAnsi="Arial"/>
                <w:sz w:val="16"/>
                <w:szCs w:val="16"/>
                <w:color w:val="0000EE"/>
                <w:w w:val="95"/>
              </w:rPr>
              <w:t>ESG Governance</w:t>
            </w:r>
          </w:p>
        </w:tc>
        <w:tc>
          <w:tcPr>
            <w:tcW w:w="3000" w:type="dxa"/>
            <w:vAlign w:val="bottom"/>
            <w:gridSpan w:val="16"/>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Borders>
              <w:bottom w:val="single" w:sz="8" w:color="0000EE"/>
            </w:tcBorders>
            <w:gridSpan w:val="9"/>
          </w:tcPr>
          <w:p>
            <w:pPr>
              <w:spacing w:after="0" w:line="162" w:lineRule="exact"/>
              <w:rPr>
                <w:sz w:val="20"/>
                <w:szCs w:val="20"/>
                <w:color w:val="auto"/>
              </w:rPr>
            </w:pPr>
            <w:r>
              <w:rPr>
                <w:rFonts w:ascii="Arial" w:cs="Arial" w:eastAsia="Arial" w:hAnsi="Arial"/>
                <w:sz w:val="16"/>
                <w:szCs w:val="16"/>
                <w:color w:val="0000EE"/>
                <w:w w:val="96"/>
              </w:rPr>
              <w:t>Sustainable Solutions</w:t>
            </w:r>
          </w:p>
        </w:tc>
        <w:tc>
          <w:tcPr>
            <w:tcW w:w="2720" w:type="dxa"/>
            <w:vAlign w:val="bottom"/>
            <w:gridSpan w:val="11"/>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20" w:type="dxa"/>
            <w:vAlign w:val="bottom"/>
            <w:tcBorders>
              <w:bottom w:val="single" w:sz="8" w:color="0000EE"/>
            </w:tcBorders>
            <w:gridSpan w:val="18"/>
          </w:tcPr>
          <w:p>
            <w:pPr>
              <w:spacing w:after="0" w:line="162" w:lineRule="exact"/>
              <w:rPr>
                <w:sz w:val="20"/>
                <w:szCs w:val="20"/>
                <w:color w:val="auto"/>
              </w:rPr>
            </w:pPr>
            <w:r>
              <w:rPr>
                <w:rFonts w:ascii="Arial" w:cs="Arial" w:eastAsia="Arial" w:hAnsi="Arial"/>
                <w:sz w:val="16"/>
                <w:szCs w:val="16"/>
                <w:color w:val="0000EE"/>
                <w:w w:val="98"/>
              </w:rPr>
              <w:t>Corporate Social Responsibility Initiatives</w:t>
            </w:r>
          </w:p>
        </w:tc>
        <w:tc>
          <w:tcPr>
            <w:tcW w:w="1300" w:type="dxa"/>
            <w:vAlign w:val="bottom"/>
            <w:gridSpan w:val="2"/>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Borders>
              <w:bottom w:val="single" w:sz="8" w:color="0000EE"/>
            </w:tcBorders>
            <w:gridSpan w:val="3"/>
          </w:tcPr>
          <w:p>
            <w:pPr>
              <w:spacing w:after="0" w:line="162" w:lineRule="exact"/>
              <w:rPr>
                <w:sz w:val="20"/>
                <w:szCs w:val="20"/>
                <w:color w:val="auto"/>
              </w:rPr>
            </w:pPr>
            <w:r>
              <w:rPr>
                <w:rFonts w:ascii="Arial" w:cs="Arial" w:eastAsia="Arial" w:hAnsi="Arial"/>
                <w:sz w:val="16"/>
                <w:szCs w:val="16"/>
                <w:color w:val="0000EE"/>
                <w:w w:val="95"/>
              </w:rPr>
              <w:t>Board Diversity</w:t>
            </w:r>
          </w:p>
        </w:tc>
        <w:tc>
          <w:tcPr>
            <w:tcW w:w="3160" w:type="dxa"/>
            <w:vAlign w:val="bottom"/>
            <w:gridSpan w:val="17"/>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20" w:type="dxa"/>
            <w:vAlign w:val="bottom"/>
            <w:gridSpan w:val="20"/>
          </w:tcPr>
          <w:p>
            <w:pPr>
              <w:spacing w:after="0" w:line="162" w:lineRule="exact"/>
              <w:rPr>
                <w:sz w:val="20"/>
                <w:szCs w:val="20"/>
                <w:color w:val="auto"/>
              </w:rPr>
            </w:pPr>
            <w:r>
              <w:rPr>
                <w:rFonts w:ascii="Arial" w:cs="Arial" w:eastAsia="Arial" w:hAnsi="Arial"/>
                <w:sz w:val="16"/>
                <w:szCs w:val="16"/>
                <w:color w:val="0000EE"/>
              </w:rPr>
              <w:t>Board’s Role in Risk Oversight</w:t>
            </w:r>
          </w:p>
        </w:tc>
        <w:tc>
          <w:tcPr>
            <w:tcW w:w="500" w:type="dxa"/>
            <w:vAlign w:val="bottom"/>
          </w:tcPr>
          <w:p>
            <w:pPr>
              <w:jc w:val="right"/>
              <w:spacing w:after="0" w:line="162"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500" w:type="dxa"/>
            <w:vAlign w:val="bottom"/>
            <w:vMerge w:val="restart"/>
          </w:tcPr>
          <w:p>
            <w:pPr>
              <w:jc w:val="right"/>
              <w:spacing w:after="0" w:line="182" w:lineRule="exact"/>
              <w:rPr>
                <w:sz w:val="20"/>
                <w:szCs w:val="20"/>
                <w:color w:val="auto"/>
              </w:rPr>
            </w:pPr>
            <w:r>
              <w:rPr>
                <w:rFonts w:ascii="Arial" w:cs="Arial" w:eastAsia="Arial" w:hAnsi="Arial"/>
                <w:sz w:val="16"/>
                <w:szCs w:val="16"/>
                <w:color w:val="auto"/>
              </w:rPr>
              <w:t>13</w:t>
            </w: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tcBorders>
              <w:bottom w:val="single" w:sz="8" w:color="0000EE"/>
            </w:tcBorders>
            <w:gridSpan w:val="17"/>
          </w:tcPr>
          <w:p>
            <w:pPr>
              <w:spacing w:after="0" w:line="162" w:lineRule="exact"/>
              <w:rPr>
                <w:sz w:val="20"/>
                <w:szCs w:val="20"/>
                <w:color w:val="auto"/>
              </w:rPr>
            </w:pPr>
            <w:r>
              <w:rPr>
                <w:rFonts w:ascii="Arial" w:cs="Arial" w:eastAsia="Arial" w:hAnsi="Arial"/>
                <w:sz w:val="16"/>
                <w:szCs w:val="16"/>
                <w:color w:val="0000EE"/>
                <w:w w:val="96"/>
              </w:rPr>
              <w:t>Code of Business Conduct and Ethics</w:t>
            </w:r>
          </w:p>
        </w:tc>
        <w:tc>
          <w:tcPr>
            <w:tcW w:w="1600" w:type="dxa"/>
            <w:vAlign w:val="bottom"/>
            <w:gridSpan w:val="3"/>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20" w:type="dxa"/>
            <w:vAlign w:val="bottom"/>
            <w:gridSpan w:val="20"/>
          </w:tcPr>
          <w:p>
            <w:pPr>
              <w:spacing w:after="0" w:line="162" w:lineRule="exact"/>
              <w:rPr>
                <w:sz w:val="20"/>
                <w:szCs w:val="20"/>
                <w:color w:val="auto"/>
              </w:rPr>
            </w:pPr>
            <w:r>
              <w:rPr>
                <w:rFonts w:ascii="Arial" w:cs="Arial" w:eastAsia="Arial" w:hAnsi="Arial"/>
                <w:sz w:val="16"/>
                <w:szCs w:val="16"/>
                <w:color w:val="0000EE"/>
              </w:rPr>
              <w:t>Compensation Risk Analysis</w:t>
            </w:r>
          </w:p>
        </w:tc>
        <w:tc>
          <w:tcPr>
            <w:tcW w:w="500" w:type="dxa"/>
            <w:vAlign w:val="bottom"/>
          </w:tcPr>
          <w:p>
            <w:pPr>
              <w:jc w:val="right"/>
              <w:spacing w:after="0" w:line="162"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80" w:type="dxa"/>
            <w:vAlign w:val="bottom"/>
            <w:tcBorders>
              <w:bottom w:val="single" w:sz="8" w:color="284993"/>
            </w:tcBorders>
          </w:tcPr>
          <w:p>
            <w:pPr>
              <w:spacing w:after="0"/>
              <w:rPr>
                <w:sz w:val="11"/>
                <w:szCs w:val="11"/>
                <w:color w:val="auto"/>
              </w:rPr>
            </w:pPr>
          </w:p>
        </w:tc>
        <w:tc>
          <w:tcPr>
            <w:tcW w:w="140" w:type="dxa"/>
            <w:vAlign w:val="bottom"/>
            <w:tcBorders>
              <w:bottom w:val="single" w:sz="8" w:color="284993"/>
            </w:tcBorders>
          </w:tcPr>
          <w:p>
            <w:pPr>
              <w:spacing w:after="0"/>
              <w:rPr>
                <w:sz w:val="11"/>
                <w:szCs w:val="11"/>
                <w:color w:val="auto"/>
              </w:rPr>
            </w:pPr>
          </w:p>
        </w:tc>
        <w:tc>
          <w:tcPr>
            <w:tcW w:w="1600" w:type="dxa"/>
            <w:vAlign w:val="bottom"/>
            <w:tcBorders>
              <w:bottom w:val="single" w:sz="8" w:color="284993"/>
            </w:tcBorders>
          </w:tcPr>
          <w:p>
            <w:pPr>
              <w:spacing w:after="0"/>
              <w:rPr>
                <w:sz w:val="11"/>
                <w:szCs w:val="11"/>
                <w:color w:val="auto"/>
              </w:rPr>
            </w:pPr>
          </w:p>
        </w:tc>
        <w:tc>
          <w:tcPr>
            <w:tcW w:w="1680" w:type="dxa"/>
            <w:vAlign w:val="bottom"/>
            <w:tcBorders>
              <w:bottom w:val="single" w:sz="8" w:color="284993"/>
            </w:tcBorders>
          </w:tcPr>
          <w:p>
            <w:pPr>
              <w:spacing w:after="0"/>
              <w:rPr>
                <w:sz w:val="11"/>
                <w:szCs w:val="11"/>
                <w:color w:val="auto"/>
              </w:rPr>
            </w:pPr>
          </w:p>
        </w:tc>
        <w:tc>
          <w:tcPr>
            <w:tcW w:w="320" w:type="dxa"/>
            <w:vAlign w:val="bottom"/>
            <w:tcBorders>
              <w:bottom w:val="single" w:sz="8" w:color="284993"/>
            </w:tcBorders>
          </w:tcPr>
          <w:p>
            <w:pPr>
              <w:spacing w:after="0"/>
              <w:rPr>
                <w:sz w:val="11"/>
                <w:szCs w:val="11"/>
                <w:color w:val="auto"/>
              </w:rPr>
            </w:pPr>
          </w:p>
        </w:tc>
        <w:tc>
          <w:tcPr>
            <w:tcW w:w="560" w:type="dxa"/>
            <w:vAlign w:val="bottom"/>
            <w:tcBorders>
              <w:top w:val="single" w:sz="8" w:color="0000EE"/>
              <w:bottom w:val="single" w:sz="8" w:color="284993"/>
            </w:tcBorders>
          </w:tcPr>
          <w:p>
            <w:pPr>
              <w:spacing w:after="0"/>
              <w:rPr>
                <w:sz w:val="11"/>
                <w:szCs w:val="11"/>
                <w:color w:val="auto"/>
              </w:rPr>
            </w:pPr>
          </w:p>
        </w:tc>
        <w:tc>
          <w:tcPr>
            <w:tcW w:w="420" w:type="dxa"/>
            <w:vAlign w:val="bottom"/>
            <w:tcBorders>
              <w:top w:val="single" w:sz="8" w:color="0000EE"/>
              <w:bottom w:val="single" w:sz="8" w:color="284993"/>
            </w:tcBorders>
          </w:tcPr>
          <w:p>
            <w:pPr>
              <w:spacing w:after="0"/>
              <w:rPr>
                <w:sz w:val="11"/>
                <w:szCs w:val="11"/>
                <w:color w:val="auto"/>
              </w:rPr>
            </w:pPr>
          </w:p>
        </w:tc>
        <w:tc>
          <w:tcPr>
            <w:tcW w:w="80" w:type="dxa"/>
            <w:vAlign w:val="bottom"/>
            <w:tcBorders>
              <w:top w:val="single" w:sz="8" w:color="0000EE"/>
              <w:bottom w:val="single" w:sz="8" w:color="284993"/>
            </w:tcBorders>
          </w:tcPr>
          <w:p>
            <w:pPr>
              <w:spacing w:after="0"/>
              <w:rPr>
                <w:sz w:val="11"/>
                <w:szCs w:val="11"/>
                <w:color w:val="auto"/>
              </w:rPr>
            </w:pPr>
          </w:p>
        </w:tc>
        <w:tc>
          <w:tcPr>
            <w:tcW w:w="160" w:type="dxa"/>
            <w:vAlign w:val="bottom"/>
            <w:tcBorders>
              <w:top w:val="single" w:sz="8" w:color="0000EE"/>
              <w:bottom w:val="single" w:sz="8" w:color="284993"/>
            </w:tcBorders>
          </w:tcPr>
          <w:p>
            <w:pPr>
              <w:spacing w:after="0"/>
              <w:rPr>
                <w:sz w:val="11"/>
                <w:szCs w:val="11"/>
                <w:color w:val="auto"/>
              </w:rPr>
            </w:pPr>
          </w:p>
        </w:tc>
        <w:tc>
          <w:tcPr>
            <w:tcW w:w="40" w:type="dxa"/>
            <w:vAlign w:val="bottom"/>
            <w:tcBorders>
              <w:top w:val="single" w:sz="8" w:color="0000EE"/>
              <w:bottom w:val="single" w:sz="8" w:color="284993"/>
            </w:tcBorders>
          </w:tcPr>
          <w:p>
            <w:pPr>
              <w:spacing w:after="0"/>
              <w:rPr>
                <w:sz w:val="11"/>
                <w:szCs w:val="11"/>
                <w:color w:val="auto"/>
              </w:rPr>
            </w:pPr>
          </w:p>
        </w:tc>
        <w:tc>
          <w:tcPr>
            <w:tcW w:w="20" w:type="dxa"/>
            <w:vAlign w:val="bottom"/>
            <w:tcBorders>
              <w:top w:val="single" w:sz="8" w:color="0000EE"/>
              <w:bottom w:val="single" w:sz="8" w:color="284993"/>
            </w:tcBorders>
          </w:tcPr>
          <w:p>
            <w:pPr>
              <w:spacing w:after="0"/>
              <w:rPr>
                <w:sz w:val="11"/>
                <w:szCs w:val="11"/>
                <w:color w:val="auto"/>
              </w:rPr>
            </w:pPr>
          </w:p>
        </w:tc>
        <w:tc>
          <w:tcPr>
            <w:tcW w:w="20" w:type="dxa"/>
            <w:vAlign w:val="bottom"/>
            <w:tcBorders>
              <w:top w:val="single" w:sz="8" w:color="0000EE"/>
              <w:bottom w:val="single" w:sz="8" w:color="284993"/>
            </w:tcBorders>
          </w:tcPr>
          <w:p>
            <w:pPr>
              <w:spacing w:after="0"/>
              <w:rPr>
                <w:sz w:val="11"/>
                <w:szCs w:val="11"/>
                <w:color w:val="auto"/>
              </w:rPr>
            </w:pPr>
          </w:p>
        </w:tc>
        <w:tc>
          <w:tcPr>
            <w:tcW w:w="80" w:type="dxa"/>
            <w:vAlign w:val="bottom"/>
            <w:tcBorders>
              <w:top w:val="single" w:sz="8" w:color="0000EE"/>
              <w:bottom w:val="single" w:sz="8" w:color="284993"/>
            </w:tcBorders>
          </w:tcPr>
          <w:p>
            <w:pPr>
              <w:spacing w:after="0"/>
              <w:rPr>
                <w:sz w:val="11"/>
                <w:szCs w:val="11"/>
                <w:color w:val="auto"/>
              </w:rPr>
            </w:pPr>
          </w:p>
        </w:tc>
        <w:tc>
          <w:tcPr>
            <w:tcW w:w="120" w:type="dxa"/>
            <w:vAlign w:val="bottom"/>
            <w:tcBorders>
              <w:top w:val="single" w:sz="8" w:color="0000EE"/>
              <w:bottom w:val="single" w:sz="8" w:color="284993"/>
            </w:tcBorders>
          </w:tcPr>
          <w:p>
            <w:pPr>
              <w:spacing w:after="0"/>
              <w:rPr>
                <w:sz w:val="11"/>
                <w:szCs w:val="11"/>
                <w:color w:val="auto"/>
              </w:rPr>
            </w:pPr>
          </w:p>
        </w:tc>
        <w:tc>
          <w:tcPr>
            <w:tcW w:w="80" w:type="dxa"/>
            <w:vAlign w:val="bottom"/>
            <w:tcBorders>
              <w:top w:val="single" w:sz="8" w:color="0000EE"/>
              <w:bottom w:val="single" w:sz="8" w:color="284993"/>
            </w:tcBorders>
          </w:tcPr>
          <w:p>
            <w:pPr>
              <w:spacing w:after="0"/>
              <w:rPr>
                <w:sz w:val="11"/>
                <w:szCs w:val="11"/>
                <w:color w:val="auto"/>
              </w:rPr>
            </w:pPr>
          </w:p>
        </w:tc>
        <w:tc>
          <w:tcPr>
            <w:tcW w:w="200" w:type="dxa"/>
            <w:vAlign w:val="bottom"/>
            <w:tcBorders>
              <w:top w:val="single" w:sz="8" w:color="0000EE"/>
              <w:bottom w:val="single" w:sz="8" w:color="284993"/>
            </w:tcBorders>
          </w:tcPr>
          <w:p>
            <w:pPr>
              <w:spacing w:after="0"/>
              <w:rPr>
                <w:sz w:val="11"/>
                <w:szCs w:val="11"/>
                <w:color w:val="auto"/>
              </w:rPr>
            </w:pPr>
          </w:p>
        </w:tc>
        <w:tc>
          <w:tcPr>
            <w:tcW w:w="120" w:type="dxa"/>
            <w:vAlign w:val="bottom"/>
            <w:tcBorders>
              <w:top w:val="single" w:sz="8" w:color="0000EE"/>
              <w:bottom w:val="single" w:sz="8" w:color="284993"/>
            </w:tcBorders>
          </w:tcPr>
          <w:p>
            <w:pPr>
              <w:spacing w:after="0"/>
              <w:rPr>
                <w:sz w:val="11"/>
                <w:szCs w:val="11"/>
                <w:color w:val="auto"/>
              </w:rPr>
            </w:pPr>
          </w:p>
        </w:tc>
        <w:tc>
          <w:tcPr>
            <w:tcW w:w="80" w:type="dxa"/>
            <w:vAlign w:val="bottom"/>
            <w:tcBorders>
              <w:top w:val="single" w:sz="8" w:color="0000EE"/>
              <w:bottom w:val="single" w:sz="8" w:color="284993"/>
            </w:tcBorders>
          </w:tcPr>
          <w:p>
            <w:pPr>
              <w:spacing w:after="0"/>
              <w:rPr>
                <w:sz w:val="11"/>
                <w:szCs w:val="11"/>
                <w:color w:val="auto"/>
              </w:rPr>
            </w:pPr>
          </w:p>
        </w:tc>
        <w:tc>
          <w:tcPr>
            <w:tcW w:w="120" w:type="dxa"/>
            <w:vAlign w:val="bottom"/>
            <w:tcBorders>
              <w:bottom w:val="single" w:sz="8" w:color="284993"/>
            </w:tcBorders>
          </w:tcPr>
          <w:p>
            <w:pPr>
              <w:spacing w:after="0"/>
              <w:rPr>
                <w:sz w:val="11"/>
                <w:szCs w:val="11"/>
                <w:color w:val="auto"/>
              </w:rPr>
            </w:pPr>
          </w:p>
        </w:tc>
        <w:tc>
          <w:tcPr>
            <w:tcW w:w="340" w:type="dxa"/>
            <w:vAlign w:val="bottom"/>
            <w:tcBorders>
              <w:bottom w:val="single" w:sz="8" w:color="284993"/>
            </w:tcBorders>
          </w:tcPr>
          <w:p>
            <w:pPr>
              <w:spacing w:after="0"/>
              <w:rPr>
                <w:sz w:val="11"/>
                <w:szCs w:val="11"/>
                <w:color w:val="auto"/>
              </w:rPr>
            </w:pPr>
          </w:p>
        </w:tc>
        <w:tc>
          <w:tcPr>
            <w:tcW w:w="100" w:type="dxa"/>
            <w:vAlign w:val="bottom"/>
            <w:tcBorders>
              <w:bottom w:val="single" w:sz="8" w:color="284993"/>
            </w:tcBorders>
          </w:tcPr>
          <w:p>
            <w:pPr>
              <w:spacing w:after="0"/>
              <w:rPr>
                <w:sz w:val="11"/>
                <w:szCs w:val="11"/>
                <w:color w:val="auto"/>
              </w:rPr>
            </w:pPr>
          </w:p>
        </w:tc>
        <w:tc>
          <w:tcPr>
            <w:tcW w:w="80" w:type="dxa"/>
            <w:vAlign w:val="bottom"/>
            <w:tcBorders>
              <w:bottom w:val="single" w:sz="8" w:color="284993"/>
            </w:tcBorders>
          </w:tcPr>
          <w:p>
            <w:pPr>
              <w:spacing w:after="0"/>
              <w:rPr>
                <w:sz w:val="11"/>
                <w:szCs w:val="11"/>
                <w:color w:val="auto"/>
              </w:rPr>
            </w:pPr>
          </w:p>
        </w:tc>
        <w:tc>
          <w:tcPr>
            <w:tcW w:w="300" w:type="dxa"/>
            <w:vAlign w:val="bottom"/>
            <w:tcBorders>
              <w:bottom w:val="single" w:sz="8" w:color="284993"/>
            </w:tcBorders>
          </w:tcPr>
          <w:p>
            <w:pPr>
              <w:spacing w:after="0"/>
              <w:rPr>
                <w:sz w:val="11"/>
                <w:szCs w:val="11"/>
                <w:color w:val="auto"/>
              </w:rPr>
            </w:pPr>
          </w:p>
        </w:tc>
        <w:tc>
          <w:tcPr>
            <w:tcW w:w="40" w:type="dxa"/>
            <w:vAlign w:val="bottom"/>
            <w:tcBorders>
              <w:bottom w:val="single" w:sz="8" w:color="284993"/>
            </w:tcBorders>
          </w:tcPr>
          <w:p>
            <w:pPr>
              <w:spacing w:after="0"/>
              <w:rPr>
                <w:sz w:val="11"/>
                <w:szCs w:val="11"/>
                <w:color w:val="auto"/>
              </w:rPr>
            </w:pPr>
          </w:p>
        </w:tc>
        <w:tc>
          <w:tcPr>
            <w:tcW w:w="1260" w:type="dxa"/>
            <w:vAlign w:val="bottom"/>
            <w:tcBorders>
              <w:bottom w:val="single" w:sz="8" w:color="284993"/>
            </w:tcBorders>
          </w:tcPr>
          <w:p>
            <w:pPr>
              <w:spacing w:after="0"/>
              <w:rPr>
                <w:sz w:val="11"/>
                <w:szCs w:val="11"/>
                <w:color w:val="auto"/>
              </w:rPr>
            </w:pPr>
          </w:p>
        </w:tc>
        <w:tc>
          <w:tcPr>
            <w:tcW w:w="500" w:type="dxa"/>
            <w:vAlign w:val="bottom"/>
            <w:tcBorders>
              <w:bottom w:val="single" w:sz="8" w:color="284993"/>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00" w:type="dxa"/>
            <w:vAlign w:val="bottom"/>
            <w:gridSpan w:val="4"/>
          </w:tcPr>
          <w:p>
            <w:pPr>
              <w:ind w:left="240"/>
              <w:spacing w:after="0" w:line="182" w:lineRule="exact"/>
              <w:rPr>
                <w:sz w:val="20"/>
                <w:szCs w:val="20"/>
                <w:color w:val="auto"/>
              </w:rPr>
            </w:pPr>
            <w:r>
              <w:rPr>
                <w:rFonts w:ascii="Arial" w:cs="Arial" w:eastAsia="Arial" w:hAnsi="Arial"/>
                <w:sz w:val="21"/>
                <w:szCs w:val="21"/>
                <w:color w:val="284993"/>
              </w:rPr>
              <w:t>Proposal 1 — Election of</w:t>
            </w:r>
          </w:p>
        </w:tc>
        <w:tc>
          <w:tcPr>
            <w:tcW w:w="4540" w:type="dxa"/>
            <w:vAlign w:val="bottom"/>
            <w:gridSpan w:val="21"/>
          </w:tcPr>
          <w:p>
            <w:pPr>
              <w:spacing w:after="0"/>
              <w:rPr>
                <w:sz w:val="20"/>
                <w:szCs w:val="20"/>
                <w:color w:val="auto"/>
              </w:rPr>
            </w:pPr>
            <w:r>
              <w:rPr>
                <w:rFonts w:ascii="Arial" w:cs="Arial" w:eastAsia="Arial" w:hAnsi="Arial"/>
                <w:sz w:val="16"/>
                <w:szCs w:val="16"/>
                <w:color w:val="0000EE"/>
              </w:rPr>
              <w:t>Proposal 1 — Election of Directors</w:t>
            </w:r>
          </w:p>
        </w:tc>
        <w:tc>
          <w:tcPr>
            <w:tcW w:w="5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gridSpan w:val="4"/>
            <w:vMerge w:val="restart"/>
          </w:tcPr>
          <w:p>
            <w:pPr>
              <w:ind w:left="240"/>
              <w:spacing w:after="0"/>
              <w:rPr>
                <w:sz w:val="20"/>
                <w:szCs w:val="20"/>
                <w:color w:val="auto"/>
              </w:rPr>
            </w:pPr>
            <w:r>
              <w:rPr>
                <w:rFonts w:ascii="Arial" w:cs="Arial" w:eastAsia="Arial" w:hAnsi="Arial"/>
                <w:sz w:val="24"/>
                <w:szCs w:val="24"/>
                <w:color w:val="284993"/>
              </w:rPr>
              <w:t>Directors</w:t>
            </w:r>
          </w:p>
        </w:tc>
        <w:tc>
          <w:tcPr>
            <w:tcW w:w="320" w:type="dxa"/>
            <w:vAlign w:val="bottom"/>
            <w:tcBorders>
              <w:top w:val="single" w:sz="8" w:color="0000EE"/>
            </w:tcBorders>
          </w:tcPr>
          <w:p>
            <w:pPr>
              <w:spacing w:after="0"/>
              <w:rPr>
                <w:sz w:val="14"/>
                <w:szCs w:val="14"/>
                <w:color w:val="auto"/>
              </w:rPr>
            </w:pPr>
          </w:p>
        </w:tc>
        <w:tc>
          <w:tcPr>
            <w:tcW w:w="560" w:type="dxa"/>
            <w:vAlign w:val="bottom"/>
            <w:tcBorders>
              <w:top w:val="single" w:sz="8" w:color="0000EE"/>
              <w:bottom w:val="single" w:sz="8" w:color="0000EE"/>
            </w:tcBorders>
          </w:tcPr>
          <w:p>
            <w:pPr>
              <w:spacing w:after="0" w:line="162" w:lineRule="exact"/>
              <w:rPr>
                <w:sz w:val="20"/>
                <w:szCs w:val="20"/>
                <w:color w:val="auto"/>
              </w:rPr>
            </w:pPr>
            <w:r>
              <w:rPr>
                <w:rFonts w:ascii="Arial" w:cs="Arial" w:eastAsia="Arial" w:hAnsi="Arial"/>
                <w:sz w:val="16"/>
                <w:szCs w:val="16"/>
                <w:color w:val="0000EE"/>
                <w:w w:val="94"/>
              </w:rPr>
              <w:t>General</w:t>
            </w:r>
          </w:p>
        </w:tc>
        <w:tc>
          <w:tcPr>
            <w:tcW w:w="1540" w:type="dxa"/>
            <w:vAlign w:val="bottom"/>
            <w:tcBorders>
              <w:top w:val="single" w:sz="8" w:color="0000EE"/>
            </w:tcBorders>
            <w:gridSpan w:val="13"/>
          </w:tcPr>
          <w:p>
            <w:pPr>
              <w:spacing w:after="0"/>
              <w:rPr>
                <w:sz w:val="14"/>
                <w:szCs w:val="14"/>
                <w:color w:val="auto"/>
              </w:rPr>
            </w:pPr>
          </w:p>
        </w:tc>
        <w:tc>
          <w:tcPr>
            <w:tcW w:w="2120" w:type="dxa"/>
            <w:vAlign w:val="bottom"/>
            <w:gridSpan w:val="6"/>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4220" w:type="dxa"/>
            <w:vAlign w:val="bottom"/>
            <w:tcBorders>
              <w:bottom w:val="single" w:sz="8" w:color="0000EE"/>
            </w:tcBorders>
            <w:gridSpan w:val="20"/>
          </w:tcPr>
          <w:p>
            <w:pPr>
              <w:spacing w:after="0" w:line="162" w:lineRule="exact"/>
              <w:rPr>
                <w:sz w:val="20"/>
                <w:szCs w:val="20"/>
                <w:color w:val="auto"/>
              </w:rPr>
            </w:pPr>
            <w:r>
              <w:rPr>
                <w:rFonts w:ascii="Arial" w:cs="Arial" w:eastAsia="Arial" w:hAnsi="Arial"/>
                <w:sz w:val="16"/>
                <w:szCs w:val="16"/>
                <w:color w:val="0000EE"/>
                <w:w w:val="96"/>
              </w:rPr>
              <w:t>Specific Skills and Attributes to be Represented on the Board</w:t>
            </w:r>
          </w:p>
        </w:tc>
        <w:tc>
          <w:tcPr>
            <w:tcW w:w="500" w:type="dxa"/>
            <w:vAlign w:val="bottom"/>
          </w:tcPr>
          <w:p>
            <w:pPr>
              <w:jc w:val="right"/>
              <w:spacing w:after="0" w:line="162"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20" w:type="dxa"/>
            <w:vAlign w:val="bottom"/>
            <w:gridSpan w:val="20"/>
          </w:tcPr>
          <w:p>
            <w:pPr>
              <w:spacing w:after="0" w:line="162" w:lineRule="exact"/>
              <w:rPr>
                <w:sz w:val="20"/>
                <w:szCs w:val="20"/>
                <w:color w:val="auto"/>
              </w:rPr>
            </w:pPr>
            <w:r>
              <w:rPr>
                <w:rFonts w:ascii="Arial" w:cs="Arial" w:eastAsia="Arial" w:hAnsi="Arial"/>
                <w:sz w:val="16"/>
                <w:szCs w:val="16"/>
                <w:color w:val="0000EE"/>
              </w:rPr>
              <w:t>Director Nominees</w:t>
            </w:r>
          </w:p>
        </w:tc>
        <w:tc>
          <w:tcPr>
            <w:tcW w:w="500" w:type="dxa"/>
            <w:vAlign w:val="bottom"/>
          </w:tcPr>
          <w:p>
            <w:pPr>
              <w:jc w:val="right"/>
              <w:spacing w:after="0" w:line="162"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80" w:type="dxa"/>
            <w:vAlign w:val="bottom"/>
            <w:tcBorders>
              <w:bottom w:val="single" w:sz="8" w:color="284993"/>
            </w:tcBorders>
          </w:tcPr>
          <w:p>
            <w:pPr>
              <w:spacing w:after="0"/>
              <w:rPr>
                <w:sz w:val="8"/>
                <w:szCs w:val="8"/>
                <w:color w:val="auto"/>
              </w:rPr>
            </w:pPr>
          </w:p>
        </w:tc>
        <w:tc>
          <w:tcPr>
            <w:tcW w:w="140" w:type="dxa"/>
            <w:vAlign w:val="bottom"/>
            <w:tcBorders>
              <w:bottom w:val="single" w:sz="8" w:color="284993"/>
            </w:tcBorders>
          </w:tcPr>
          <w:p>
            <w:pPr>
              <w:spacing w:after="0"/>
              <w:rPr>
                <w:sz w:val="8"/>
                <w:szCs w:val="8"/>
                <w:color w:val="auto"/>
              </w:rPr>
            </w:pPr>
          </w:p>
        </w:tc>
        <w:tc>
          <w:tcPr>
            <w:tcW w:w="1600" w:type="dxa"/>
            <w:vAlign w:val="bottom"/>
            <w:tcBorders>
              <w:bottom w:val="single" w:sz="8" w:color="284993"/>
            </w:tcBorders>
          </w:tcPr>
          <w:p>
            <w:pPr>
              <w:spacing w:after="0"/>
              <w:rPr>
                <w:sz w:val="8"/>
                <w:szCs w:val="8"/>
                <w:color w:val="auto"/>
              </w:rPr>
            </w:pPr>
          </w:p>
        </w:tc>
        <w:tc>
          <w:tcPr>
            <w:tcW w:w="1680" w:type="dxa"/>
            <w:vAlign w:val="bottom"/>
            <w:tcBorders>
              <w:bottom w:val="single" w:sz="8" w:color="284993"/>
            </w:tcBorders>
          </w:tcPr>
          <w:p>
            <w:pPr>
              <w:spacing w:after="0"/>
              <w:rPr>
                <w:sz w:val="8"/>
                <w:szCs w:val="8"/>
                <w:color w:val="auto"/>
              </w:rPr>
            </w:pPr>
          </w:p>
        </w:tc>
        <w:tc>
          <w:tcPr>
            <w:tcW w:w="320" w:type="dxa"/>
            <w:vAlign w:val="bottom"/>
            <w:tcBorders>
              <w:bottom w:val="single" w:sz="8" w:color="284993"/>
            </w:tcBorders>
          </w:tcPr>
          <w:p>
            <w:pPr>
              <w:spacing w:after="0"/>
              <w:rPr>
                <w:sz w:val="8"/>
                <w:szCs w:val="8"/>
                <w:color w:val="auto"/>
              </w:rPr>
            </w:pPr>
          </w:p>
        </w:tc>
        <w:tc>
          <w:tcPr>
            <w:tcW w:w="560" w:type="dxa"/>
            <w:vAlign w:val="bottom"/>
            <w:tcBorders>
              <w:top w:val="single" w:sz="8" w:color="0000EE"/>
              <w:bottom w:val="single" w:sz="8" w:color="284993"/>
            </w:tcBorders>
          </w:tcPr>
          <w:p>
            <w:pPr>
              <w:spacing w:after="0"/>
              <w:rPr>
                <w:sz w:val="8"/>
                <w:szCs w:val="8"/>
                <w:color w:val="auto"/>
              </w:rPr>
            </w:pPr>
          </w:p>
        </w:tc>
        <w:tc>
          <w:tcPr>
            <w:tcW w:w="420" w:type="dxa"/>
            <w:vAlign w:val="bottom"/>
            <w:tcBorders>
              <w:top w:val="single" w:sz="8" w:color="0000EE"/>
              <w:bottom w:val="single" w:sz="8" w:color="284993"/>
            </w:tcBorders>
          </w:tcPr>
          <w:p>
            <w:pPr>
              <w:spacing w:after="0"/>
              <w:rPr>
                <w:sz w:val="8"/>
                <w:szCs w:val="8"/>
                <w:color w:val="auto"/>
              </w:rPr>
            </w:pPr>
          </w:p>
        </w:tc>
        <w:tc>
          <w:tcPr>
            <w:tcW w:w="80" w:type="dxa"/>
            <w:vAlign w:val="bottom"/>
            <w:tcBorders>
              <w:top w:val="single" w:sz="8" w:color="0000EE"/>
              <w:bottom w:val="single" w:sz="8" w:color="284993"/>
            </w:tcBorders>
          </w:tcPr>
          <w:p>
            <w:pPr>
              <w:spacing w:after="0"/>
              <w:rPr>
                <w:sz w:val="8"/>
                <w:szCs w:val="8"/>
                <w:color w:val="auto"/>
              </w:rPr>
            </w:pPr>
          </w:p>
        </w:tc>
        <w:tc>
          <w:tcPr>
            <w:tcW w:w="160" w:type="dxa"/>
            <w:vAlign w:val="bottom"/>
            <w:tcBorders>
              <w:top w:val="single" w:sz="8" w:color="0000EE"/>
              <w:bottom w:val="single" w:sz="8" w:color="284993"/>
            </w:tcBorders>
          </w:tcPr>
          <w:p>
            <w:pPr>
              <w:spacing w:after="0"/>
              <w:rPr>
                <w:sz w:val="8"/>
                <w:szCs w:val="8"/>
                <w:color w:val="auto"/>
              </w:rPr>
            </w:pPr>
          </w:p>
        </w:tc>
        <w:tc>
          <w:tcPr>
            <w:tcW w:w="40" w:type="dxa"/>
            <w:vAlign w:val="bottom"/>
            <w:tcBorders>
              <w:top w:val="single" w:sz="8" w:color="0000EE"/>
              <w:bottom w:val="single" w:sz="8" w:color="284993"/>
            </w:tcBorders>
          </w:tcPr>
          <w:p>
            <w:pPr>
              <w:spacing w:after="0"/>
              <w:rPr>
                <w:sz w:val="8"/>
                <w:szCs w:val="8"/>
                <w:color w:val="auto"/>
              </w:rPr>
            </w:pPr>
          </w:p>
        </w:tc>
        <w:tc>
          <w:tcPr>
            <w:tcW w:w="20" w:type="dxa"/>
            <w:vAlign w:val="bottom"/>
            <w:tcBorders>
              <w:top w:val="single" w:sz="8" w:color="0000EE"/>
              <w:bottom w:val="single" w:sz="8" w:color="284993"/>
            </w:tcBorders>
          </w:tcPr>
          <w:p>
            <w:pPr>
              <w:spacing w:after="0"/>
              <w:rPr>
                <w:sz w:val="8"/>
                <w:szCs w:val="8"/>
                <w:color w:val="auto"/>
              </w:rPr>
            </w:pPr>
          </w:p>
        </w:tc>
        <w:tc>
          <w:tcPr>
            <w:tcW w:w="20" w:type="dxa"/>
            <w:vAlign w:val="bottom"/>
            <w:tcBorders>
              <w:top w:val="single" w:sz="8" w:color="0000EE"/>
              <w:bottom w:val="single" w:sz="8" w:color="284993"/>
            </w:tcBorders>
          </w:tcPr>
          <w:p>
            <w:pPr>
              <w:spacing w:after="0"/>
              <w:rPr>
                <w:sz w:val="8"/>
                <w:szCs w:val="8"/>
                <w:color w:val="auto"/>
              </w:rPr>
            </w:pPr>
          </w:p>
        </w:tc>
        <w:tc>
          <w:tcPr>
            <w:tcW w:w="80" w:type="dxa"/>
            <w:vAlign w:val="bottom"/>
            <w:tcBorders>
              <w:bottom w:val="single" w:sz="8" w:color="284993"/>
            </w:tcBorders>
          </w:tcPr>
          <w:p>
            <w:pPr>
              <w:spacing w:after="0"/>
              <w:rPr>
                <w:sz w:val="8"/>
                <w:szCs w:val="8"/>
                <w:color w:val="auto"/>
              </w:rPr>
            </w:pPr>
          </w:p>
        </w:tc>
        <w:tc>
          <w:tcPr>
            <w:tcW w:w="120" w:type="dxa"/>
            <w:vAlign w:val="bottom"/>
            <w:tcBorders>
              <w:bottom w:val="single" w:sz="8" w:color="284993"/>
            </w:tcBorders>
          </w:tcPr>
          <w:p>
            <w:pPr>
              <w:spacing w:after="0"/>
              <w:rPr>
                <w:sz w:val="8"/>
                <w:szCs w:val="8"/>
                <w:color w:val="auto"/>
              </w:rPr>
            </w:pPr>
          </w:p>
        </w:tc>
        <w:tc>
          <w:tcPr>
            <w:tcW w:w="80" w:type="dxa"/>
            <w:vAlign w:val="bottom"/>
            <w:tcBorders>
              <w:bottom w:val="single" w:sz="8" w:color="284993"/>
            </w:tcBorders>
          </w:tcPr>
          <w:p>
            <w:pPr>
              <w:spacing w:after="0"/>
              <w:rPr>
                <w:sz w:val="8"/>
                <w:szCs w:val="8"/>
                <w:color w:val="auto"/>
              </w:rPr>
            </w:pPr>
          </w:p>
        </w:tc>
        <w:tc>
          <w:tcPr>
            <w:tcW w:w="200" w:type="dxa"/>
            <w:vAlign w:val="bottom"/>
            <w:tcBorders>
              <w:bottom w:val="single" w:sz="8" w:color="284993"/>
            </w:tcBorders>
          </w:tcPr>
          <w:p>
            <w:pPr>
              <w:spacing w:after="0"/>
              <w:rPr>
                <w:sz w:val="8"/>
                <w:szCs w:val="8"/>
                <w:color w:val="auto"/>
              </w:rPr>
            </w:pPr>
          </w:p>
        </w:tc>
        <w:tc>
          <w:tcPr>
            <w:tcW w:w="120" w:type="dxa"/>
            <w:vAlign w:val="bottom"/>
            <w:tcBorders>
              <w:bottom w:val="single" w:sz="8" w:color="284993"/>
            </w:tcBorders>
          </w:tcPr>
          <w:p>
            <w:pPr>
              <w:spacing w:after="0"/>
              <w:rPr>
                <w:sz w:val="8"/>
                <w:szCs w:val="8"/>
                <w:color w:val="auto"/>
              </w:rPr>
            </w:pPr>
          </w:p>
        </w:tc>
        <w:tc>
          <w:tcPr>
            <w:tcW w:w="80" w:type="dxa"/>
            <w:vAlign w:val="bottom"/>
            <w:tcBorders>
              <w:bottom w:val="single" w:sz="8" w:color="284993"/>
            </w:tcBorders>
          </w:tcPr>
          <w:p>
            <w:pPr>
              <w:spacing w:after="0"/>
              <w:rPr>
                <w:sz w:val="8"/>
                <w:szCs w:val="8"/>
                <w:color w:val="auto"/>
              </w:rPr>
            </w:pPr>
          </w:p>
        </w:tc>
        <w:tc>
          <w:tcPr>
            <w:tcW w:w="120" w:type="dxa"/>
            <w:vAlign w:val="bottom"/>
            <w:tcBorders>
              <w:bottom w:val="single" w:sz="8" w:color="284993"/>
            </w:tcBorders>
          </w:tcPr>
          <w:p>
            <w:pPr>
              <w:spacing w:after="0"/>
              <w:rPr>
                <w:sz w:val="8"/>
                <w:szCs w:val="8"/>
                <w:color w:val="auto"/>
              </w:rPr>
            </w:pPr>
          </w:p>
        </w:tc>
        <w:tc>
          <w:tcPr>
            <w:tcW w:w="340" w:type="dxa"/>
            <w:vAlign w:val="bottom"/>
            <w:tcBorders>
              <w:bottom w:val="single" w:sz="8" w:color="284993"/>
            </w:tcBorders>
          </w:tcPr>
          <w:p>
            <w:pPr>
              <w:spacing w:after="0"/>
              <w:rPr>
                <w:sz w:val="8"/>
                <w:szCs w:val="8"/>
                <w:color w:val="auto"/>
              </w:rPr>
            </w:pPr>
          </w:p>
        </w:tc>
        <w:tc>
          <w:tcPr>
            <w:tcW w:w="100" w:type="dxa"/>
            <w:vAlign w:val="bottom"/>
            <w:tcBorders>
              <w:bottom w:val="single" w:sz="8" w:color="284993"/>
            </w:tcBorders>
          </w:tcPr>
          <w:p>
            <w:pPr>
              <w:spacing w:after="0"/>
              <w:rPr>
                <w:sz w:val="8"/>
                <w:szCs w:val="8"/>
                <w:color w:val="auto"/>
              </w:rPr>
            </w:pPr>
          </w:p>
        </w:tc>
        <w:tc>
          <w:tcPr>
            <w:tcW w:w="80" w:type="dxa"/>
            <w:vAlign w:val="bottom"/>
            <w:tcBorders>
              <w:bottom w:val="single" w:sz="8" w:color="284993"/>
            </w:tcBorders>
          </w:tcPr>
          <w:p>
            <w:pPr>
              <w:spacing w:after="0"/>
              <w:rPr>
                <w:sz w:val="8"/>
                <w:szCs w:val="8"/>
                <w:color w:val="auto"/>
              </w:rPr>
            </w:pPr>
          </w:p>
        </w:tc>
        <w:tc>
          <w:tcPr>
            <w:tcW w:w="300" w:type="dxa"/>
            <w:vAlign w:val="bottom"/>
            <w:tcBorders>
              <w:bottom w:val="single" w:sz="8" w:color="284993"/>
            </w:tcBorders>
          </w:tcPr>
          <w:p>
            <w:pPr>
              <w:spacing w:after="0"/>
              <w:rPr>
                <w:sz w:val="8"/>
                <w:szCs w:val="8"/>
                <w:color w:val="auto"/>
              </w:rPr>
            </w:pPr>
          </w:p>
        </w:tc>
        <w:tc>
          <w:tcPr>
            <w:tcW w:w="40" w:type="dxa"/>
            <w:vAlign w:val="bottom"/>
            <w:tcBorders>
              <w:bottom w:val="single" w:sz="8" w:color="284993"/>
            </w:tcBorders>
          </w:tcPr>
          <w:p>
            <w:pPr>
              <w:spacing w:after="0"/>
              <w:rPr>
                <w:sz w:val="8"/>
                <w:szCs w:val="8"/>
                <w:color w:val="auto"/>
              </w:rPr>
            </w:pPr>
          </w:p>
        </w:tc>
        <w:tc>
          <w:tcPr>
            <w:tcW w:w="1260" w:type="dxa"/>
            <w:vAlign w:val="bottom"/>
            <w:tcBorders>
              <w:bottom w:val="single" w:sz="8" w:color="284993"/>
            </w:tcBorders>
          </w:tcPr>
          <w:p>
            <w:pPr>
              <w:spacing w:after="0"/>
              <w:rPr>
                <w:sz w:val="8"/>
                <w:szCs w:val="8"/>
                <w:color w:val="auto"/>
              </w:rPr>
            </w:pPr>
          </w:p>
        </w:tc>
        <w:tc>
          <w:tcPr>
            <w:tcW w:w="500" w:type="dxa"/>
            <w:vAlign w:val="bottom"/>
            <w:tcBorders>
              <w:bottom w:val="single" w:sz="8" w:color="284993"/>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00" w:type="dxa"/>
            <w:vAlign w:val="bottom"/>
            <w:gridSpan w:val="4"/>
          </w:tcPr>
          <w:p>
            <w:pPr>
              <w:ind w:left="240"/>
              <w:spacing w:after="0" w:line="182" w:lineRule="exact"/>
              <w:rPr>
                <w:sz w:val="20"/>
                <w:szCs w:val="20"/>
                <w:color w:val="auto"/>
              </w:rPr>
            </w:pPr>
            <w:r>
              <w:rPr>
                <w:rFonts w:ascii="Arial" w:cs="Arial" w:eastAsia="Arial" w:hAnsi="Arial"/>
                <w:sz w:val="21"/>
                <w:szCs w:val="21"/>
                <w:color w:val="284993"/>
              </w:rPr>
              <w:t>Director Compensation</w:t>
            </w:r>
          </w:p>
        </w:tc>
        <w:tc>
          <w:tcPr>
            <w:tcW w:w="160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w w:val="96"/>
              </w:rPr>
              <w:t>Director Compensation</w:t>
            </w:r>
          </w:p>
        </w:tc>
        <w:tc>
          <w:tcPr>
            <w:tcW w:w="2940" w:type="dxa"/>
            <w:vAlign w:val="bottom"/>
            <w:gridSpan w:val="14"/>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Borders>
              <w:bottom w:val="single" w:sz="8" w:color="0000EE"/>
            </w:tcBorders>
            <w:gridSpan w:val="2"/>
          </w:tcPr>
          <w:p>
            <w:pPr>
              <w:spacing w:after="0" w:line="162" w:lineRule="exact"/>
              <w:rPr>
                <w:sz w:val="20"/>
                <w:szCs w:val="20"/>
                <w:color w:val="auto"/>
              </w:rPr>
            </w:pPr>
            <w:r>
              <w:rPr>
                <w:rFonts w:ascii="Arial" w:cs="Arial" w:eastAsia="Arial" w:hAnsi="Arial"/>
                <w:sz w:val="16"/>
                <w:szCs w:val="16"/>
                <w:color w:val="0000EE"/>
                <w:w w:val="95"/>
              </w:rPr>
              <w:t>Retainer Fees</w:t>
            </w:r>
          </w:p>
        </w:tc>
        <w:tc>
          <w:tcPr>
            <w:tcW w:w="3240" w:type="dxa"/>
            <w:vAlign w:val="bottom"/>
            <w:gridSpan w:val="18"/>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Borders>
              <w:bottom w:val="single" w:sz="8" w:color="0000EE"/>
            </w:tcBorders>
            <w:gridSpan w:val="13"/>
          </w:tcPr>
          <w:p>
            <w:pPr>
              <w:spacing w:after="0" w:line="162" w:lineRule="exact"/>
              <w:rPr>
                <w:sz w:val="20"/>
                <w:szCs w:val="20"/>
                <w:color w:val="auto"/>
              </w:rPr>
            </w:pPr>
            <w:r>
              <w:rPr>
                <w:rFonts w:ascii="Arial" w:cs="Arial" w:eastAsia="Arial" w:hAnsi="Arial"/>
                <w:sz w:val="16"/>
                <w:szCs w:val="16"/>
                <w:color w:val="0000EE"/>
                <w:w w:val="96"/>
              </w:rPr>
              <w:t>Equity-Based Compensation</w:t>
            </w:r>
          </w:p>
        </w:tc>
        <w:tc>
          <w:tcPr>
            <w:tcW w:w="2240" w:type="dxa"/>
            <w:vAlign w:val="bottom"/>
            <w:gridSpan w:val="7"/>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Borders>
              <w:bottom w:val="single" w:sz="8" w:color="0000EE"/>
            </w:tcBorders>
            <w:gridSpan w:val="13"/>
          </w:tcPr>
          <w:p>
            <w:pPr>
              <w:spacing w:after="0" w:line="162" w:lineRule="exact"/>
              <w:rPr>
                <w:sz w:val="20"/>
                <w:szCs w:val="20"/>
                <w:color w:val="auto"/>
              </w:rPr>
            </w:pPr>
            <w:r>
              <w:rPr>
                <w:rFonts w:ascii="Arial" w:cs="Arial" w:eastAsia="Arial" w:hAnsi="Arial"/>
                <w:sz w:val="16"/>
                <w:szCs w:val="16"/>
                <w:color w:val="0000EE"/>
                <w:w w:val="96"/>
              </w:rPr>
              <w:t>2023 Director Compensation</w:t>
            </w:r>
          </w:p>
        </w:tc>
        <w:tc>
          <w:tcPr>
            <w:tcW w:w="2240" w:type="dxa"/>
            <w:vAlign w:val="bottom"/>
            <w:gridSpan w:val="7"/>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20" w:type="dxa"/>
            <w:vAlign w:val="bottom"/>
            <w:gridSpan w:val="20"/>
          </w:tcPr>
          <w:p>
            <w:pPr>
              <w:spacing w:after="0" w:line="162" w:lineRule="exact"/>
              <w:rPr>
                <w:sz w:val="20"/>
                <w:szCs w:val="20"/>
                <w:color w:val="auto"/>
              </w:rPr>
            </w:pPr>
            <w:r>
              <w:rPr>
                <w:rFonts w:ascii="Arial" w:cs="Arial" w:eastAsia="Arial" w:hAnsi="Arial"/>
                <w:sz w:val="16"/>
                <w:szCs w:val="16"/>
                <w:color w:val="0000EE"/>
              </w:rPr>
              <w:t>Director Stock Ownership Guidelines</w:t>
            </w:r>
          </w:p>
        </w:tc>
        <w:tc>
          <w:tcPr>
            <w:tcW w:w="500" w:type="dxa"/>
            <w:vAlign w:val="bottom"/>
          </w:tcPr>
          <w:p>
            <w:pPr>
              <w:jc w:val="right"/>
              <w:spacing w:after="0" w:line="162"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80" w:type="dxa"/>
            <w:vAlign w:val="bottom"/>
            <w:tcBorders>
              <w:bottom w:val="single" w:sz="8" w:color="284993"/>
            </w:tcBorders>
          </w:tcPr>
          <w:p>
            <w:pPr>
              <w:spacing w:after="0"/>
              <w:rPr>
                <w:sz w:val="11"/>
                <w:szCs w:val="11"/>
                <w:color w:val="auto"/>
              </w:rPr>
            </w:pPr>
          </w:p>
        </w:tc>
        <w:tc>
          <w:tcPr>
            <w:tcW w:w="140" w:type="dxa"/>
            <w:vAlign w:val="bottom"/>
            <w:tcBorders>
              <w:bottom w:val="single" w:sz="8" w:color="284993"/>
            </w:tcBorders>
          </w:tcPr>
          <w:p>
            <w:pPr>
              <w:spacing w:after="0"/>
              <w:rPr>
                <w:sz w:val="11"/>
                <w:szCs w:val="11"/>
                <w:color w:val="auto"/>
              </w:rPr>
            </w:pPr>
          </w:p>
        </w:tc>
        <w:tc>
          <w:tcPr>
            <w:tcW w:w="1600" w:type="dxa"/>
            <w:vAlign w:val="bottom"/>
            <w:tcBorders>
              <w:bottom w:val="single" w:sz="8" w:color="284993"/>
            </w:tcBorders>
          </w:tcPr>
          <w:p>
            <w:pPr>
              <w:spacing w:after="0"/>
              <w:rPr>
                <w:sz w:val="11"/>
                <w:szCs w:val="11"/>
                <w:color w:val="auto"/>
              </w:rPr>
            </w:pPr>
          </w:p>
        </w:tc>
        <w:tc>
          <w:tcPr>
            <w:tcW w:w="1680" w:type="dxa"/>
            <w:vAlign w:val="bottom"/>
            <w:tcBorders>
              <w:bottom w:val="single" w:sz="8" w:color="284993"/>
            </w:tcBorders>
          </w:tcPr>
          <w:p>
            <w:pPr>
              <w:spacing w:after="0"/>
              <w:rPr>
                <w:sz w:val="11"/>
                <w:szCs w:val="11"/>
                <w:color w:val="auto"/>
              </w:rPr>
            </w:pPr>
          </w:p>
        </w:tc>
        <w:tc>
          <w:tcPr>
            <w:tcW w:w="320" w:type="dxa"/>
            <w:vAlign w:val="bottom"/>
            <w:tcBorders>
              <w:bottom w:val="single" w:sz="8" w:color="284993"/>
            </w:tcBorders>
          </w:tcPr>
          <w:p>
            <w:pPr>
              <w:spacing w:after="0"/>
              <w:rPr>
                <w:sz w:val="11"/>
                <w:szCs w:val="11"/>
                <w:color w:val="auto"/>
              </w:rPr>
            </w:pPr>
          </w:p>
        </w:tc>
        <w:tc>
          <w:tcPr>
            <w:tcW w:w="560" w:type="dxa"/>
            <w:vAlign w:val="bottom"/>
            <w:tcBorders>
              <w:top w:val="single" w:sz="8" w:color="0000EE"/>
              <w:bottom w:val="single" w:sz="8" w:color="284993"/>
            </w:tcBorders>
          </w:tcPr>
          <w:p>
            <w:pPr>
              <w:spacing w:after="0"/>
              <w:rPr>
                <w:sz w:val="11"/>
                <w:szCs w:val="11"/>
                <w:color w:val="auto"/>
              </w:rPr>
            </w:pPr>
          </w:p>
        </w:tc>
        <w:tc>
          <w:tcPr>
            <w:tcW w:w="420" w:type="dxa"/>
            <w:vAlign w:val="bottom"/>
            <w:tcBorders>
              <w:top w:val="single" w:sz="8" w:color="0000EE"/>
              <w:bottom w:val="single" w:sz="8" w:color="284993"/>
            </w:tcBorders>
          </w:tcPr>
          <w:p>
            <w:pPr>
              <w:spacing w:after="0"/>
              <w:rPr>
                <w:sz w:val="11"/>
                <w:szCs w:val="11"/>
                <w:color w:val="auto"/>
              </w:rPr>
            </w:pPr>
          </w:p>
        </w:tc>
        <w:tc>
          <w:tcPr>
            <w:tcW w:w="80" w:type="dxa"/>
            <w:vAlign w:val="bottom"/>
            <w:tcBorders>
              <w:top w:val="single" w:sz="8" w:color="0000EE"/>
              <w:bottom w:val="single" w:sz="8" w:color="284993"/>
            </w:tcBorders>
          </w:tcPr>
          <w:p>
            <w:pPr>
              <w:spacing w:after="0"/>
              <w:rPr>
                <w:sz w:val="11"/>
                <w:szCs w:val="11"/>
                <w:color w:val="auto"/>
              </w:rPr>
            </w:pPr>
          </w:p>
        </w:tc>
        <w:tc>
          <w:tcPr>
            <w:tcW w:w="160" w:type="dxa"/>
            <w:vAlign w:val="bottom"/>
            <w:tcBorders>
              <w:top w:val="single" w:sz="8" w:color="0000EE"/>
              <w:bottom w:val="single" w:sz="8" w:color="284993"/>
            </w:tcBorders>
          </w:tcPr>
          <w:p>
            <w:pPr>
              <w:spacing w:after="0"/>
              <w:rPr>
                <w:sz w:val="11"/>
                <w:szCs w:val="11"/>
                <w:color w:val="auto"/>
              </w:rPr>
            </w:pPr>
          </w:p>
        </w:tc>
        <w:tc>
          <w:tcPr>
            <w:tcW w:w="40" w:type="dxa"/>
            <w:vAlign w:val="bottom"/>
            <w:tcBorders>
              <w:top w:val="single" w:sz="8" w:color="0000EE"/>
              <w:bottom w:val="single" w:sz="8" w:color="284993"/>
            </w:tcBorders>
          </w:tcPr>
          <w:p>
            <w:pPr>
              <w:spacing w:after="0"/>
              <w:rPr>
                <w:sz w:val="11"/>
                <w:szCs w:val="11"/>
                <w:color w:val="auto"/>
              </w:rPr>
            </w:pPr>
          </w:p>
        </w:tc>
        <w:tc>
          <w:tcPr>
            <w:tcW w:w="20" w:type="dxa"/>
            <w:vAlign w:val="bottom"/>
            <w:tcBorders>
              <w:top w:val="single" w:sz="8" w:color="0000EE"/>
              <w:bottom w:val="single" w:sz="8" w:color="284993"/>
            </w:tcBorders>
          </w:tcPr>
          <w:p>
            <w:pPr>
              <w:spacing w:after="0"/>
              <w:rPr>
                <w:sz w:val="11"/>
                <w:szCs w:val="11"/>
                <w:color w:val="auto"/>
              </w:rPr>
            </w:pPr>
          </w:p>
        </w:tc>
        <w:tc>
          <w:tcPr>
            <w:tcW w:w="20" w:type="dxa"/>
            <w:vAlign w:val="bottom"/>
            <w:tcBorders>
              <w:top w:val="single" w:sz="8" w:color="0000EE"/>
              <w:bottom w:val="single" w:sz="8" w:color="284993"/>
            </w:tcBorders>
          </w:tcPr>
          <w:p>
            <w:pPr>
              <w:spacing w:after="0"/>
              <w:rPr>
                <w:sz w:val="11"/>
                <w:szCs w:val="11"/>
                <w:color w:val="auto"/>
              </w:rPr>
            </w:pPr>
          </w:p>
        </w:tc>
        <w:tc>
          <w:tcPr>
            <w:tcW w:w="80" w:type="dxa"/>
            <w:vAlign w:val="bottom"/>
            <w:tcBorders>
              <w:top w:val="single" w:sz="8" w:color="0000EE"/>
              <w:bottom w:val="single" w:sz="8" w:color="284993"/>
            </w:tcBorders>
          </w:tcPr>
          <w:p>
            <w:pPr>
              <w:spacing w:after="0"/>
              <w:rPr>
                <w:sz w:val="11"/>
                <w:szCs w:val="11"/>
                <w:color w:val="auto"/>
              </w:rPr>
            </w:pPr>
          </w:p>
        </w:tc>
        <w:tc>
          <w:tcPr>
            <w:tcW w:w="120" w:type="dxa"/>
            <w:vAlign w:val="bottom"/>
            <w:tcBorders>
              <w:top w:val="single" w:sz="8" w:color="0000EE"/>
              <w:bottom w:val="single" w:sz="8" w:color="284993"/>
            </w:tcBorders>
          </w:tcPr>
          <w:p>
            <w:pPr>
              <w:spacing w:after="0"/>
              <w:rPr>
                <w:sz w:val="11"/>
                <w:szCs w:val="11"/>
                <w:color w:val="auto"/>
              </w:rPr>
            </w:pPr>
          </w:p>
        </w:tc>
        <w:tc>
          <w:tcPr>
            <w:tcW w:w="80" w:type="dxa"/>
            <w:vAlign w:val="bottom"/>
            <w:tcBorders>
              <w:top w:val="single" w:sz="8" w:color="0000EE"/>
              <w:bottom w:val="single" w:sz="8" w:color="284993"/>
            </w:tcBorders>
          </w:tcPr>
          <w:p>
            <w:pPr>
              <w:spacing w:after="0"/>
              <w:rPr>
                <w:sz w:val="11"/>
                <w:szCs w:val="11"/>
                <w:color w:val="auto"/>
              </w:rPr>
            </w:pPr>
          </w:p>
        </w:tc>
        <w:tc>
          <w:tcPr>
            <w:tcW w:w="200" w:type="dxa"/>
            <w:vAlign w:val="bottom"/>
            <w:tcBorders>
              <w:top w:val="single" w:sz="8" w:color="0000EE"/>
              <w:bottom w:val="single" w:sz="8" w:color="284993"/>
            </w:tcBorders>
          </w:tcPr>
          <w:p>
            <w:pPr>
              <w:spacing w:after="0"/>
              <w:rPr>
                <w:sz w:val="11"/>
                <w:szCs w:val="11"/>
                <w:color w:val="auto"/>
              </w:rPr>
            </w:pPr>
          </w:p>
        </w:tc>
        <w:tc>
          <w:tcPr>
            <w:tcW w:w="120" w:type="dxa"/>
            <w:vAlign w:val="bottom"/>
            <w:tcBorders>
              <w:top w:val="single" w:sz="8" w:color="0000EE"/>
              <w:bottom w:val="single" w:sz="8" w:color="284993"/>
            </w:tcBorders>
          </w:tcPr>
          <w:p>
            <w:pPr>
              <w:spacing w:after="0"/>
              <w:rPr>
                <w:sz w:val="11"/>
                <w:szCs w:val="11"/>
                <w:color w:val="auto"/>
              </w:rPr>
            </w:pPr>
          </w:p>
        </w:tc>
        <w:tc>
          <w:tcPr>
            <w:tcW w:w="80" w:type="dxa"/>
            <w:vAlign w:val="bottom"/>
            <w:tcBorders>
              <w:top w:val="single" w:sz="8" w:color="0000EE"/>
              <w:bottom w:val="single" w:sz="8" w:color="284993"/>
            </w:tcBorders>
          </w:tcPr>
          <w:p>
            <w:pPr>
              <w:spacing w:after="0"/>
              <w:rPr>
                <w:sz w:val="11"/>
                <w:szCs w:val="11"/>
                <w:color w:val="auto"/>
              </w:rPr>
            </w:pPr>
          </w:p>
        </w:tc>
        <w:tc>
          <w:tcPr>
            <w:tcW w:w="120" w:type="dxa"/>
            <w:vAlign w:val="bottom"/>
            <w:tcBorders>
              <w:top w:val="single" w:sz="8" w:color="0000EE"/>
              <w:bottom w:val="single" w:sz="8" w:color="284993"/>
            </w:tcBorders>
          </w:tcPr>
          <w:p>
            <w:pPr>
              <w:spacing w:after="0"/>
              <w:rPr>
                <w:sz w:val="11"/>
                <w:szCs w:val="11"/>
                <w:color w:val="auto"/>
              </w:rPr>
            </w:pPr>
          </w:p>
        </w:tc>
        <w:tc>
          <w:tcPr>
            <w:tcW w:w="340" w:type="dxa"/>
            <w:vAlign w:val="bottom"/>
            <w:tcBorders>
              <w:top w:val="single" w:sz="8" w:color="0000EE"/>
              <w:bottom w:val="single" w:sz="8" w:color="284993"/>
            </w:tcBorders>
          </w:tcPr>
          <w:p>
            <w:pPr>
              <w:spacing w:after="0"/>
              <w:rPr>
                <w:sz w:val="11"/>
                <w:szCs w:val="11"/>
                <w:color w:val="auto"/>
              </w:rPr>
            </w:pPr>
          </w:p>
        </w:tc>
        <w:tc>
          <w:tcPr>
            <w:tcW w:w="100" w:type="dxa"/>
            <w:vAlign w:val="bottom"/>
            <w:tcBorders>
              <w:top w:val="single" w:sz="8" w:color="0000EE"/>
              <w:bottom w:val="single" w:sz="8" w:color="284993"/>
            </w:tcBorders>
          </w:tcPr>
          <w:p>
            <w:pPr>
              <w:spacing w:after="0"/>
              <w:rPr>
                <w:sz w:val="11"/>
                <w:szCs w:val="11"/>
                <w:color w:val="auto"/>
              </w:rPr>
            </w:pPr>
          </w:p>
        </w:tc>
        <w:tc>
          <w:tcPr>
            <w:tcW w:w="80" w:type="dxa"/>
            <w:vAlign w:val="bottom"/>
            <w:tcBorders>
              <w:bottom w:val="single" w:sz="8" w:color="284993"/>
            </w:tcBorders>
          </w:tcPr>
          <w:p>
            <w:pPr>
              <w:spacing w:after="0"/>
              <w:rPr>
                <w:sz w:val="11"/>
                <w:szCs w:val="11"/>
                <w:color w:val="auto"/>
              </w:rPr>
            </w:pPr>
          </w:p>
        </w:tc>
        <w:tc>
          <w:tcPr>
            <w:tcW w:w="300" w:type="dxa"/>
            <w:vAlign w:val="bottom"/>
            <w:tcBorders>
              <w:bottom w:val="single" w:sz="8" w:color="284993"/>
            </w:tcBorders>
          </w:tcPr>
          <w:p>
            <w:pPr>
              <w:spacing w:after="0"/>
              <w:rPr>
                <w:sz w:val="11"/>
                <w:szCs w:val="11"/>
                <w:color w:val="auto"/>
              </w:rPr>
            </w:pPr>
          </w:p>
        </w:tc>
        <w:tc>
          <w:tcPr>
            <w:tcW w:w="40" w:type="dxa"/>
            <w:vAlign w:val="bottom"/>
            <w:tcBorders>
              <w:bottom w:val="single" w:sz="8" w:color="284993"/>
            </w:tcBorders>
          </w:tcPr>
          <w:p>
            <w:pPr>
              <w:spacing w:after="0"/>
              <w:rPr>
                <w:sz w:val="11"/>
                <w:szCs w:val="11"/>
                <w:color w:val="auto"/>
              </w:rPr>
            </w:pPr>
          </w:p>
        </w:tc>
        <w:tc>
          <w:tcPr>
            <w:tcW w:w="1260" w:type="dxa"/>
            <w:vAlign w:val="bottom"/>
            <w:tcBorders>
              <w:bottom w:val="single" w:sz="8" w:color="284993"/>
            </w:tcBorders>
          </w:tcPr>
          <w:p>
            <w:pPr>
              <w:spacing w:after="0"/>
              <w:rPr>
                <w:sz w:val="11"/>
                <w:szCs w:val="11"/>
                <w:color w:val="auto"/>
              </w:rPr>
            </w:pPr>
          </w:p>
        </w:tc>
        <w:tc>
          <w:tcPr>
            <w:tcW w:w="500" w:type="dxa"/>
            <w:vAlign w:val="bottom"/>
            <w:tcBorders>
              <w:bottom w:val="single" w:sz="8" w:color="284993"/>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00" w:type="dxa"/>
            <w:vAlign w:val="bottom"/>
            <w:gridSpan w:val="4"/>
          </w:tcPr>
          <w:p>
            <w:pPr>
              <w:ind w:left="240"/>
              <w:spacing w:after="0" w:line="182" w:lineRule="exact"/>
              <w:rPr>
                <w:sz w:val="20"/>
                <w:szCs w:val="20"/>
                <w:color w:val="auto"/>
              </w:rPr>
            </w:pPr>
            <w:r>
              <w:rPr>
                <w:rFonts w:ascii="Arial" w:cs="Arial" w:eastAsia="Arial" w:hAnsi="Arial"/>
                <w:sz w:val="21"/>
                <w:szCs w:val="21"/>
                <w:color w:val="284993"/>
              </w:rPr>
              <w:t>Report of the Audit Committee</w:t>
            </w:r>
          </w:p>
        </w:tc>
        <w:tc>
          <w:tcPr>
            <w:tcW w:w="4540" w:type="dxa"/>
            <w:vAlign w:val="bottom"/>
            <w:gridSpan w:val="21"/>
          </w:tcPr>
          <w:p>
            <w:pPr>
              <w:spacing w:after="0"/>
              <w:rPr>
                <w:sz w:val="20"/>
                <w:szCs w:val="20"/>
                <w:color w:val="auto"/>
              </w:rPr>
            </w:pPr>
            <w:r>
              <w:rPr>
                <w:rFonts w:ascii="Arial" w:cs="Arial" w:eastAsia="Arial" w:hAnsi="Arial"/>
                <w:sz w:val="16"/>
                <w:szCs w:val="16"/>
                <w:color w:val="0000EE"/>
              </w:rPr>
              <w:t>Report of the Audit Committee</w:t>
            </w:r>
          </w:p>
        </w:tc>
        <w:tc>
          <w:tcPr>
            <w:tcW w:w="5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189865</wp:posOffset>
            </wp:positionV>
            <wp:extent cx="59410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ectPr>
          <w:pgSz w:w="11900" w:h="16838" w:orient="portrait"/>
          <w:cols w:equalWidth="0" w:num="1">
            <w:col w:w="9360"/>
          </w:cols>
          <w:pgMar w:left="1260" w:top="282" w:right="1279" w:bottom="1440" w:gutter="0" w:footer="0" w:header="0"/>
        </w:sectPr>
      </w:pPr>
    </w:p>
    <w:p>
      <w:pPr>
        <w:spacing w:after="0" w:line="328" w:lineRule="exact"/>
        <w:rPr>
          <w:sz w:val="20"/>
          <w:szCs w:val="20"/>
          <w:color w:val="auto"/>
        </w:rPr>
      </w:pPr>
    </w:p>
    <w:p>
      <w:pPr>
        <w:ind w:left="260" w:right="20"/>
        <w:spacing w:after="0" w:line="261" w:lineRule="auto"/>
        <w:rPr>
          <w:sz w:val="20"/>
          <w:szCs w:val="20"/>
          <w:color w:val="auto"/>
        </w:rPr>
      </w:pPr>
      <w:r>
        <w:rPr>
          <w:rFonts w:ascii="Arial" w:cs="Arial" w:eastAsia="Arial" w:hAnsi="Arial"/>
          <w:sz w:val="24"/>
          <w:szCs w:val="24"/>
          <w:color w:val="284993"/>
        </w:rPr>
        <w:t>Proposal 2 — Ratification of Appointment of ACI’s Independent Registered Public Accounting Firm</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w w:val="97"/>
              </w:rPr>
              <w:t>Proposal 2 — Ratification of Appointment of ACI’s Independent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400" w:type="dxa"/>
            <w:vAlign w:val="bottom"/>
            <w:tcBorders>
              <w:bottom w:val="single" w:sz="8" w:color="0000EE"/>
            </w:tcBorders>
            <w:gridSpan w:val="3"/>
          </w:tcPr>
          <w:p>
            <w:pPr>
              <w:spacing w:after="0" w:line="162" w:lineRule="exact"/>
              <w:rPr>
                <w:sz w:val="20"/>
                <w:szCs w:val="20"/>
                <w:color w:val="auto"/>
              </w:rPr>
            </w:pPr>
            <w:r>
              <w:rPr>
                <w:rFonts w:ascii="Arial" w:cs="Arial" w:eastAsia="Arial" w:hAnsi="Arial"/>
                <w:sz w:val="16"/>
                <w:szCs w:val="16"/>
                <w:color w:val="0000EE"/>
                <w:w w:val="96"/>
              </w:rPr>
              <w:t>Registered Public Accounting Firm</w:t>
            </w:r>
          </w:p>
        </w:tc>
        <w:tc>
          <w:tcPr>
            <w:tcW w:w="1800" w:type="dxa"/>
            <w:vAlign w:val="bottom"/>
            <w:gridSpan w:val="3"/>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40" w:type="dxa"/>
            <w:vAlign w:val="bottom"/>
            <w:gridSpan w:val="5"/>
          </w:tcPr>
          <w:p>
            <w:pPr>
              <w:spacing w:after="0"/>
              <w:rPr>
                <w:sz w:val="20"/>
                <w:szCs w:val="20"/>
                <w:color w:val="auto"/>
              </w:rPr>
            </w:pPr>
            <w:r>
              <w:rPr>
                <w:rFonts w:ascii="Arial" w:cs="Arial" w:eastAsia="Arial" w:hAnsi="Arial"/>
                <w:sz w:val="16"/>
                <w:szCs w:val="16"/>
                <w:color w:val="0000EE"/>
              </w:rPr>
              <w:t>Independent Registered Public Accounting Firm Fees</w:t>
            </w:r>
          </w:p>
        </w:tc>
        <w:tc>
          <w:tcPr>
            <w:tcW w:w="6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1"/>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6"/>
                <w:szCs w:val="16"/>
                <w:color w:val="0000EE"/>
                <w:w w:val="96"/>
              </w:rPr>
              <w:t>Pre-Approval of Audit and Non-Audit Services</w:t>
            </w:r>
          </w:p>
        </w:tc>
        <w:tc>
          <w:tcPr>
            <w:tcW w:w="52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1"/>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40" w:type="dxa"/>
            <w:vAlign w:val="bottom"/>
            <w:gridSpan w:val="5"/>
          </w:tcPr>
          <w:p>
            <w:pPr>
              <w:spacing w:after="0"/>
              <w:rPr>
                <w:sz w:val="20"/>
                <w:szCs w:val="20"/>
                <w:color w:val="auto"/>
              </w:rPr>
            </w:pPr>
            <w:r>
              <w:rPr>
                <w:rFonts w:ascii="Arial" w:cs="Arial" w:eastAsia="Arial" w:hAnsi="Arial"/>
                <w:sz w:val="16"/>
                <w:szCs w:val="16"/>
                <w:color w:val="0000EE"/>
              </w:rPr>
              <w:t>Vote Required</w:t>
            </w:r>
          </w:p>
        </w:tc>
        <w:tc>
          <w:tcPr>
            <w:tcW w:w="6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-2734310</wp:posOffset>
            </wp:positionH>
            <wp:positionV relativeFrom="paragraph">
              <wp:posOffset>148590</wp:posOffset>
            </wp:positionV>
            <wp:extent cx="59410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3600" w:space="720"/>
            <w:col w:w="5040"/>
          </w:cols>
          <w:pgMar w:left="1260" w:top="282" w:right="1279" w:bottom="1440" w:gutter="0" w:footer="0" w:header="0"/>
          <w:type w:val="continuous"/>
        </w:sectPr>
      </w:pPr>
    </w:p>
    <w:p>
      <w:pPr>
        <w:ind w:left="260"/>
        <w:spacing w:after="0" w:line="268" w:lineRule="auto"/>
        <w:rPr>
          <w:sz w:val="20"/>
          <w:szCs w:val="20"/>
          <w:color w:val="auto"/>
        </w:rPr>
      </w:pPr>
      <w:r>
        <w:rPr>
          <w:rFonts w:ascii="Arial" w:cs="Arial" w:eastAsia="Arial" w:hAnsi="Arial"/>
          <w:sz w:val="24"/>
          <w:szCs w:val="24"/>
          <w:color w:val="284993"/>
        </w:rPr>
        <w:t>Proposal 3 — Advisory Vote to Approve Named Executive Officer Compensation</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660" w:type="dxa"/>
            <w:vAlign w:val="bottom"/>
            <w:gridSpan w:val="6"/>
          </w:tcPr>
          <w:p>
            <w:pPr>
              <w:spacing w:after="0"/>
              <w:rPr>
                <w:sz w:val="20"/>
                <w:szCs w:val="20"/>
                <w:color w:val="auto"/>
              </w:rPr>
            </w:pPr>
            <w:r>
              <w:rPr>
                <w:rFonts w:ascii="Arial" w:cs="Arial" w:eastAsia="Arial" w:hAnsi="Arial"/>
                <w:sz w:val="16"/>
                <w:szCs w:val="16"/>
                <w:color w:val="0000EE"/>
              </w:rPr>
              <w:t>Proposal 3 — Advisory Vote to Approve Named Executive Officer</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62"/>
        </w:trPr>
        <w:tc>
          <w:tcPr>
            <w:tcW w:w="160" w:type="dxa"/>
            <w:vAlign w:val="bottom"/>
            <w:tcBorders>
              <w:top w:val="single" w:sz="8" w:color="0000EE"/>
            </w:tcBorders>
          </w:tcPr>
          <w:p>
            <w:pPr>
              <w:spacing w:after="0"/>
              <w:rPr>
                <w:sz w:val="14"/>
                <w:szCs w:val="14"/>
                <w:color w:val="auto"/>
              </w:rPr>
            </w:pPr>
          </w:p>
        </w:tc>
        <w:tc>
          <w:tcPr>
            <w:tcW w:w="4340" w:type="dxa"/>
            <w:vAlign w:val="bottom"/>
            <w:tcBorders>
              <w:top w:val="single" w:sz="8" w:color="0000EE"/>
            </w:tcBorders>
            <w:gridSpan w:val="4"/>
          </w:tcPr>
          <w:p>
            <w:pPr>
              <w:spacing w:after="0" w:line="162" w:lineRule="exact"/>
              <w:rPr>
                <w:sz w:val="20"/>
                <w:szCs w:val="20"/>
                <w:color w:val="auto"/>
              </w:rPr>
            </w:pPr>
            <w:r>
              <w:rPr>
                <w:rFonts w:ascii="Arial" w:cs="Arial" w:eastAsia="Arial" w:hAnsi="Arial"/>
                <w:sz w:val="16"/>
                <w:szCs w:val="16"/>
                <w:color w:val="0000EE"/>
              </w:rPr>
              <w:t>Compensation</w:t>
            </w:r>
          </w:p>
        </w:tc>
        <w:tc>
          <w:tcPr>
            <w:tcW w:w="1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40" w:type="dxa"/>
            <w:vAlign w:val="bottom"/>
            <w:gridSpan w:val="4"/>
          </w:tcPr>
          <w:p>
            <w:pPr>
              <w:spacing w:after="0"/>
              <w:rPr>
                <w:sz w:val="20"/>
                <w:szCs w:val="20"/>
                <w:color w:val="auto"/>
              </w:rPr>
            </w:pPr>
            <w:r>
              <w:rPr>
                <w:rFonts w:ascii="Arial" w:cs="Arial" w:eastAsia="Arial" w:hAnsi="Arial"/>
                <w:sz w:val="16"/>
                <w:szCs w:val="16"/>
                <w:color w:val="0000EE"/>
              </w:rPr>
              <w:t>Advisory Vote</w:t>
            </w:r>
          </w:p>
        </w:tc>
        <w:tc>
          <w:tcPr>
            <w:tcW w:w="3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40" w:type="dxa"/>
            <w:vAlign w:val="bottom"/>
            <w:gridSpan w:val="4"/>
          </w:tcPr>
          <w:p>
            <w:pPr>
              <w:spacing w:after="0"/>
              <w:rPr>
                <w:sz w:val="20"/>
                <w:szCs w:val="20"/>
                <w:color w:val="auto"/>
              </w:rPr>
            </w:pPr>
            <w:r>
              <w:rPr>
                <w:rFonts w:ascii="Arial" w:cs="Arial" w:eastAsia="Arial" w:hAnsi="Arial"/>
                <w:sz w:val="16"/>
                <w:szCs w:val="16"/>
                <w:color w:val="0000EE"/>
              </w:rPr>
              <w:t>Vote Required</w:t>
            </w:r>
          </w:p>
        </w:tc>
        <w:tc>
          <w:tcPr>
            <w:tcW w:w="3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-2734310</wp:posOffset>
            </wp:positionH>
            <wp:positionV relativeFrom="paragraph">
              <wp:posOffset>140335</wp:posOffset>
            </wp:positionV>
            <wp:extent cx="5941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3920" w:space="400"/>
            <w:col w:w="5040"/>
          </w:cols>
          <w:pgMar w:left="1260" w:top="282" w:right="1279" w:bottom="1440" w:gutter="0" w:footer="0" w:header="0"/>
          <w:type w:val="continuous"/>
        </w:sectPr>
      </w:pPr>
    </w:p>
    <w:p>
      <w:pPr>
        <w:spacing w:after="0" w:line="71" w:lineRule="exact"/>
        <w:rPr>
          <w:sz w:val="20"/>
          <w:szCs w:val="20"/>
          <w:color w:val="auto"/>
        </w:rPr>
      </w:pPr>
    </w:p>
    <w:p>
      <w:pPr>
        <w:ind w:left="7560"/>
        <w:spacing w:after="0"/>
        <w:rPr>
          <w:sz w:val="20"/>
          <w:szCs w:val="20"/>
          <w:color w:val="auto"/>
        </w:rPr>
      </w:pPr>
      <w:r>
        <w:rPr>
          <w:rFonts w:ascii="Arial" w:cs="Arial" w:eastAsia="Arial" w:hAnsi="Arial"/>
          <w:sz w:val="13"/>
          <w:szCs w:val="13"/>
          <w:color w:val="auto"/>
        </w:rPr>
        <w:t>2024 PROXY STATEMENT</w:t>
      </w:r>
      <w:r>
        <w:rPr>
          <w:rFonts w:ascii="Arial" w:cs="Arial" w:eastAsia="Arial" w:hAnsi="Arial"/>
          <w:sz w:val="13"/>
          <w:szCs w:val="13"/>
          <w:b w:val="1"/>
          <w:bCs w:val="1"/>
          <w:color w:val="284993"/>
        </w:rPr>
        <w:t xml:space="preserve">  i</w:t>
      </w:r>
    </w:p>
    <w:p>
      <w:pPr>
        <w:sectPr>
          <w:pgSz w:w="11900" w:h="16838" w:orient="portrait"/>
          <w:cols w:equalWidth="0" w:num="1">
            <w:col w:w="9360"/>
          </w:cols>
          <w:pgMar w:left="1260" w:top="282" w:right="1279" w:bottom="1440" w:gutter="0" w:footer="0" w:header="0"/>
          <w:type w:val="continuous"/>
        </w:sectPr>
      </w:pPr>
    </w:p>
    <w:bookmarkStart w:id="4" w:name="page5"/>
    <w:bookmarkEnd w:id="4"/>
    <w:p>
      <w:pPr>
        <w:ind w:left="260" w:right="20"/>
        <w:spacing w:after="0" w:line="276" w:lineRule="auto"/>
        <w:rPr>
          <w:sz w:val="20"/>
          <w:szCs w:val="20"/>
          <w:color w:val="auto"/>
        </w:rPr>
      </w:pPr>
      <w:r>
        <w:rPr>
          <w:rFonts w:ascii="Arial" w:cs="Arial" w:eastAsia="Arial" w:hAnsi="Arial"/>
          <w:sz w:val="24"/>
          <w:szCs w:val="24"/>
          <w:color w:val="284993"/>
        </w:rPr>
        <w:t>Information Regarding Security Ownership</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94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6"/>
              </w:rPr>
              <w:t>Information Regarding Security Ownership</w:t>
            </w:r>
          </w:p>
        </w:tc>
        <w:tc>
          <w:tcPr>
            <w:tcW w:w="2040" w:type="dxa"/>
            <w:vAlign w:val="bottom"/>
          </w:tcPr>
          <w:p>
            <w:pPr>
              <w:jc w:val="right"/>
              <w:spacing w:after="0"/>
              <w:rPr>
                <w:sz w:val="20"/>
                <w:szCs w:val="20"/>
                <w:color w:val="auto"/>
              </w:rPr>
            </w:pPr>
            <w:r>
              <w:rPr>
                <w:rFonts w:ascii="Arial" w:cs="Arial" w:eastAsia="Arial" w:hAnsi="Arial"/>
                <w:sz w:val="16"/>
                <w:szCs w:val="16"/>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-271780</wp:posOffset>
            </wp:positionV>
            <wp:extent cx="7179310" cy="539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9310" cy="5397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231140</wp:posOffset>
            </wp:positionV>
            <wp:extent cx="59410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1060" cy="825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-164465</wp:posOffset>
            </wp:positionV>
            <wp:extent cx="59410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406" w:lineRule="exact"/>
        <w:rPr>
          <w:sz w:val="20"/>
          <w:szCs w:val="20"/>
          <w:color w:val="auto"/>
        </w:rPr>
      </w:pPr>
    </w:p>
    <w:p>
      <w:pPr>
        <w:sectPr>
          <w:pgSz w:w="11900" w:h="16838" w:orient="portrait"/>
          <w:cols w:equalWidth="0" w:num="2">
            <w:col w:w="3620" w:space="720"/>
            <w:col w:w="5020"/>
          </w:cols>
          <w:pgMar w:left="1260" w:top="338" w:right="1279" w:bottom="1440" w:gutter="0" w:footer="0" w:header="0"/>
        </w:sectPr>
      </w:pPr>
    </w:p>
    <w:p>
      <w:pPr>
        <w:ind w:left="260" w:right="500"/>
        <w:spacing w:after="0" w:line="276" w:lineRule="auto"/>
        <w:rPr>
          <w:sz w:val="20"/>
          <w:szCs w:val="20"/>
          <w:color w:val="auto"/>
        </w:rPr>
      </w:pPr>
      <w:r>
        <w:rPr>
          <w:rFonts w:ascii="Arial" w:cs="Arial" w:eastAsia="Arial" w:hAnsi="Arial"/>
          <w:sz w:val="24"/>
          <w:szCs w:val="24"/>
          <w:color w:val="284993"/>
        </w:rPr>
        <w:t>Equity Compensation Plan Information</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6"/>
              </w:rPr>
              <w:t>Equity Compensation Plan Information</w:t>
            </w:r>
          </w:p>
        </w:tc>
        <w:tc>
          <w:tcPr>
            <w:tcW w:w="2320" w:type="dxa"/>
            <w:vAlign w:val="bottom"/>
          </w:tcPr>
          <w:p>
            <w:pPr>
              <w:jc w:val="right"/>
              <w:spacing w:after="0"/>
              <w:rPr>
                <w:sz w:val="20"/>
                <w:szCs w:val="20"/>
                <w:color w:val="auto"/>
              </w:rPr>
            </w:pPr>
            <w:r>
              <w:rPr>
                <w:rFonts w:ascii="Arial" w:cs="Arial" w:eastAsia="Arial" w:hAnsi="Arial"/>
                <w:sz w:val="16"/>
                <w:szCs w:val="16"/>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-2747010</wp:posOffset>
            </wp:positionH>
            <wp:positionV relativeFrom="paragraph">
              <wp:posOffset>189865</wp:posOffset>
            </wp:positionV>
            <wp:extent cx="59410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340" w:lineRule="exact"/>
        <w:rPr>
          <w:sz w:val="20"/>
          <w:szCs w:val="20"/>
          <w:color w:val="auto"/>
        </w:rPr>
      </w:pPr>
    </w:p>
    <w:p>
      <w:pPr>
        <w:sectPr>
          <w:pgSz w:w="11900" w:h="16838" w:orient="portrait"/>
          <w:cols w:equalWidth="0" w:num="2">
            <w:col w:w="3620" w:space="720"/>
            <w:col w:w="5020"/>
          </w:cols>
          <w:pgMar w:left="1260" w:top="338" w:right="1279" w:bottom="1440" w:gutter="0" w:footer="0" w:header="0"/>
          <w:type w:val="continuous"/>
        </w:sectPr>
      </w:pPr>
    </w:p>
    <w:tbl>
      <w:tblPr>
        <w:tblLayout w:type="fixed"/>
        <w:tblInd w:w="180" w:type="dxa"/>
        <w:tblCellMar>
          <w:top w:w="0" w:type="dxa"/>
          <w:left w:w="0" w:type="dxa"/>
          <w:bottom w:w="0" w:type="dxa"/>
          <w:right w:w="0" w:type="dxa"/>
        </w:tblCellMar>
      </w:tblPr>
      <w:tr>
        <w:trPr>
          <w:trHeight w:val="180"/>
        </w:trPr>
        <w:tc>
          <w:tcPr>
            <w:tcW w:w="4160" w:type="dxa"/>
            <w:vAlign w:val="bottom"/>
          </w:tcPr>
          <w:p>
            <w:pPr>
              <w:ind w:left="80"/>
              <w:spacing w:after="0" w:line="167" w:lineRule="exact"/>
              <w:rPr>
                <w:sz w:val="20"/>
                <w:szCs w:val="20"/>
                <w:color w:val="auto"/>
              </w:rPr>
            </w:pPr>
            <w:r>
              <w:rPr>
                <w:rFonts w:ascii="Arial" w:cs="Arial" w:eastAsia="Arial" w:hAnsi="Arial"/>
                <w:sz w:val="19"/>
                <w:szCs w:val="19"/>
                <w:color w:val="284993"/>
              </w:rPr>
              <w:t>Compensation Discussion and</w:t>
            </w:r>
          </w:p>
        </w:tc>
        <w:tc>
          <w:tcPr>
            <w:tcW w:w="4140" w:type="dxa"/>
            <w:vAlign w:val="bottom"/>
            <w:gridSpan w:val="13"/>
          </w:tcPr>
          <w:p>
            <w:pPr>
              <w:spacing w:after="0" w:line="181" w:lineRule="exact"/>
              <w:rPr>
                <w:sz w:val="20"/>
                <w:szCs w:val="20"/>
                <w:color w:val="auto"/>
              </w:rPr>
            </w:pPr>
            <w:r>
              <w:rPr>
                <w:rFonts w:ascii="Arial" w:cs="Arial" w:eastAsia="Arial" w:hAnsi="Arial"/>
                <w:sz w:val="16"/>
                <w:szCs w:val="16"/>
                <w:color w:val="0000EE"/>
              </w:rPr>
              <w:t>Compensation Discussion and Analysis</w:t>
            </w:r>
          </w:p>
        </w:tc>
        <w:tc>
          <w:tcPr>
            <w:tcW w:w="880" w:type="dxa"/>
            <w:vAlign w:val="bottom"/>
          </w:tcPr>
          <w:p>
            <w:pPr>
              <w:jc w:val="right"/>
              <w:spacing w:after="0" w:line="181"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62"/>
        </w:trPr>
        <w:tc>
          <w:tcPr>
            <w:tcW w:w="4160" w:type="dxa"/>
            <w:vAlign w:val="bottom"/>
            <w:vMerge w:val="restart"/>
          </w:tcPr>
          <w:p>
            <w:pPr>
              <w:ind w:left="80"/>
              <w:spacing w:after="0"/>
              <w:rPr>
                <w:sz w:val="20"/>
                <w:szCs w:val="20"/>
                <w:color w:val="auto"/>
              </w:rPr>
            </w:pPr>
            <w:r>
              <w:rPr>
                <w:rFonts w:ascii="Arial" w:cs="Arial" w:eastAsia="Arial" w:hAnsi="Arial"/>
                <w:sz w:val="24"/>
                <w:szCs w:val="24"/>
                <w:color w:val="284993"/>
              </w:rPr>
              <w:t>Analysis</w:t>
            </w:r>
          </w:p>
        </w:tc>
        <w:tc>
          <w:tcPr>
            <w:tcW w:w="300" w:type="dxa"/>
            <w:vAlign w:val="bottom"/>
            <w:tcBorders>
              <w:top w:val="single" w:sz="8" w:color="0000EE"/>
            </w:tcBorders>
          </w:tcPr>
          <w:p>
            <w:pPr>
              <w:spacing w:after="0"/>
              <w:rPr>
                <w:sz w:val="14"/>
                <w:szCs w:val="14"/>
                <w:color w:val="auto"/>
              </w:rPr>
            </w:pPr>
          </w:p>
        </w:tc>
        <w:tc>
          <w:tcPr>
            <w:tcW w:w="1400" w:type="dxa"/>
            <w:vAlign w:val="bottom"/>
            <w:tcBorders>
              <w:top w:val="single" w:sz="8" w:color="0000EE"/>
              <w:bottom w:val="single" w:sz="8" w:color="0000EE"/>
            </w:tcBorders>
          </w:tcPr>
          <w:p>
            <w:pPr>
              <w:spacing w:after="0" w:line="162" w:lineRule="exact"/>
              <w:rPr>
                <w:sz w:val="20"/>
                <w:szCs w:val="20"/>
                <w:color w:val="auto"/>
              </w:rPr>
            </w:pPr>
            <w:r>
              <w:rPr>
                <w:rFonts w:ascii="Arial" w:cs="Arial" w:eastAsia="Arial" w:hAnsi="Arial"/>
                <w:sz w:val="16"/>
                <w:szCs w:val="16"/>
                <w:color w:val="0000EE"/>
                <w:w w:val="96"/>
              </w:rPr>
              <w:t>Executive Summary</w:t>
            </w:r>
          </w:p>
        </w:tc>
        <w:tc>
          <w:tcPr>
            <w:tcW w:w="1020" w:type="dxa"/>
            <w:vAlign w:val="bottom"/>
            <w:tcBorders>
              <w:top w:val="single" w:sz="8" w:color="0000EE"/>
            </w:tcBorders>
            <w:gridSpan w:val="7"/>
          </w:tcPr>
          <w:p>
            <w:pPr>
              <w:spacing w:after="0"/>
              <w:rPr>
                <w:sz w:val="14"/>
                <w:szCs w:val="14"/>
                <w:color w:val="auto"/>
              </w:rPr>
            </w:pPr>
          </w:p>
        </w:tc>
        <w:tc>
          <w:tcPr>
            <w:tcW w:w="1420" w:type="dxa"/>
            <w:vAlign w:val="bottom"/>
            <w:gridSpan w:val="4"/>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62"/>
        </w:trPr>
        <w:tc>
          <w:tcPr>
            <w:tcW w:w="41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840" w:type="dxa"/>
            <w:vAlign w:val="bottom"/>
            <w:gridSpan w:val="12"/>
          </w:tcPr>
          <w:p>
            <w:pPr>
              <w:spacing w:after="0" w:line="162" w:lineRule="exact"/>
              <w:rPr>
                <w:sz w:val="20"/>
                <w:szCs w:val="20"/>
                <w:color w:val="auto"/>
              </w:rPr>
            </w:pPr>
            <w:r>
              <w:rPr>
                <w:rFonts w:ascii="Arial" w:cs="Arial" w:eastAsia="Arial" w:hAnsi="Arial"/>
                <w:sz w:val="16"/>
                <w:szCs w:val="16"/>
                <w:color w:val="0000EE"/>
              </w:rPr>
              <w:t>Leadership Transition</w:t>
            </w: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vMerge w:val="restart"/>
          </w:tcPr>
          <w:p>
            <w:pPr>
              <w:jc w:val="right"/>
              <w:spacing w:after="0" w:line="182" w:lineRule="exact"/>
              <w:rPr>
                <w:sz w:val="20"/>
                <w:szCs w:val="20"/>
                <w:color w:val="auto"/>
              </w:rPr>
            </w:pPr>
            <w:r>
              <w:rPr>
                <w:rFonts w:ascii="Arial" w:cs="Arial" w:eastAsia="Arial" w:hAnsi="Arial"/>
                <w:sz w:val="16"/>
                <w:szCs w:val="16"/>
                <w:color w:val="auto"/>
              </w:rPr>
              <w:t>36</w:t>
            </w:r>
          </w:p>
        </w:tc>
        <w:tc>
          <w:tcPr>
            <w:tcW w:w="0" w:type="dxa"/>
            <w:vAlign w:val="bottom"/>
          </w:tcPr>
          <w:p>
            <w:pPr>
              <w:spacing w:after="0" w:line="20" w:lineRule="exact"/>
              <w:rPr>
                <w:sz w:val="1"/>
                <w:szCs w:val="1"/>
                <w:color w:val="auto"/>
              </w:rPr>
            </w:pPr>
          </w:p>
        </w:tc>
      </w:tr>
      <w:tr>
        <w:trPr>
          <w:trHeight w:val="162"/>
        </w:trPr>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40" w:type="dxa"/>
            <w:vAlign w:val="bottom"/>
            <w:tcBorders>
              <w:bottom w:val="single" w:sz="8" w:color="0000EE"/>
            </w:tcBorders>
            <w:gridSpan w:val="12"/>
          </w:tcPr>
          <w:p>
            <w:pPr>
              <w:spacing w:after="0" w:line="162" w:lineRule="exact"/>
              <w:rPr>
                <w:sz w:val="20"/>
                <w:szCs w:val="20"/>
                <w:color w:val="auto"/>
              </w:rPr>
            </w:pPr>
            <w:r>
              <w:rPr>
                <w:rFonts w:ascii="Arial" w:cs="Arial" w:eastAsia="Arial" w:hAnsi="Arial"/>
                <w:sz w:val="16"/>
                <w:szCs w:val="16"/>
                <w:color w:val="0000EE"/>
                <w:w w:val="96"/>
              </w:rPr>
              <w:t>Stockholder Input on Executive Compensation Program</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40" w:type="dxa"/>
            <w:vAlign w:val="bottom"/>
            <w:gridSpan w:val="12"/>
          </w:tcPr>
          <w:p>
            <w:pPr>
              <w:spacing w:after="0" w:line="162" w:lineRule="exact"/>
              <w:rPr>
                <w:sz w:val="20"/>
                <w:szCs w:val="20"/>
                <w:color w:val="auto"/>
              </w:rPr>
            </w:pPr>
            <w:r>
              <w:rPr>
                <w:rFonts w:ascii="Arial" w:cs="Arial" w:eastAsia="Arial" w:hAnsi="Arial"/>
                <w:sz w:val="16"/>
                <w:szCs w:val="16"/>
                <w:color w:val="0000EE"/>
              </w:rPr>
              <w:t>Executive Compensation Philosophy and Practices</w:t>
            </w: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20" w:type="dxa"/>
            <w:vAlign w:val="bottom"/>
            <w:tcBorders>
              <w:top w:val="single" w:sz="8" w:color="0000EE"/>
            </w:tcBorders>
            <w:gridSpan w:val="11"/>
          </w:tcPr>
          <w:p>
            <w:pPr>
              <w:spacing w:after="0" w:line="162" w:lineRule="exact"/>
              <w:rPr>
                <w:sz w:val="20"/>
                <w:szCs w:val="20"/>
                <w:color w:val="auto"/>
              </w:rPr>
            </w:pPr>
            <w:r>
              <w:rPr>
                <w:rFonts w:ascii="Arial" w:cs="Arial" w:eastAsia="Arial" w:hAnsi="Arial"/>
                <w:sz w:val="16"/>
                <w:szCs w:val="16"/>
                <w:color w:val="0000EE"/>
              </w:rPr>
              <w:t>Compensation Design</w:t>
            </w:r>
          </w:p>
        </w:tc>
        <w:tc>
          <w:tcPr>
            <w:tcW w:w="3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80" w:type="dxa"/>
            <w:vAlign w:val="bottom"/>
            <w:vMerge w:val="restart"/>
          </w:tcPr>
          <w:p>
            <w:pPr>
              <w:jc w:val="right"/>
              <w:spacing w:after="0" w:line="182" w:lineRule="exact"/>
              <w:rPr>
                <w:sz w:val="20"/>
                <w:szCs w:val="20"/>
                <w:color w:val="auto"/>
              </w:rPr>
            </w:pPr>
            <w:r>
              <w:rPr>
                <w:rFonts w:ascii="Arial" w:cs="Arial" w:eastAsia="Arial" w:hAnsi="Arial"/>
                <w:sz w:val="16"/>
                <w:szCs w:val="16"/>
                <w:color w:val="auto"/>
              </w:rPr>
              <w:t>39</w:t>
            </w:r>
          </w:p>
        </w:tc>
        <w:tc>
          <w:tcPr>
            <w:tcW w:w="0" w:type="dxa"/>
            <w:vAlign w:val="bottom"/>
          </w:tcPr>
          <w:p>
            <w:pPr>
              <w:spacing w:after="0" w:line="20" w:lineRule="exact"/>
              <w:rPr>
                <w:sz w:val="1"/>
                <w:szCs w:val="1"/>
                <w:color w:val="auto"/>
              </w:rPr>
            </w:pPr>
          </w:p>
        </w:tc>
      </w:tr>
      <w:tr>
        <w:trPr>
          <w:trHeight w:val="162"/>
        </w:trPr>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40" w:type="dxa"/>
            <w:vAlign w:val="bottom"/>
            <w:gridSpan w:val="12"/>
          </w:tcPr>
          <w:p>
            <w:pPr>
              <w:spacing w:after="0" w:line="162" w:lineRule="exact"/>
              <w:rPr>
                <w:sz w:val="20"/>
                <w:szCs w:val="20"/>
                <w:color w:val="auto"/>
              </w:rPr>
            </w:pPr>
            <w:r>
              <w:rPr>
                <w:rFonts w:ascii="Arial" w:cs="Arial" w:eastAsia="Arial" w:hAnsi="Arial"/>
                <w:sz w:val="16"/>
                <w:szCs w:val="16"/>
                <w:color w:val="0000EE"/>
              </w:rPr>
              <w:t>Compensation Elements</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80" w:type="dxa"/>
            <w:vAlign w:val="bottom"/>
            <w:vMerge w:val="restart"/>
          </w:tcPr>
          <w:p>
            <w:pPr>
              <w:jc w:val="right"/>
              <w:spacing w:after="0" w:line="182" w:lineRule="exact"/>
              <w:rPr>
                <w:sz w:val="20"/>
                <w:szCs w:val="20"/>
                <w:color w:val="auto"/>
              </w:rPr>
            </w:pPr>
            <w:r>
              <w:rPr>
                <w:rFonts w:ascii="Arial" w:cs="Arial" w:eastAsia="Arial" w:hAnsi="Arial"/>
                <w:sz w:val="16"/>
                <w:szCs w:val="16"/>
                <w:color w:val="auto"/>
              </w:rPr>
              <w:t>48</w:t>
            </w:r>
          </w:p>
        </w:tc>
        <w:tc>
          <w:tcPr>
            <w:tcW w:w="0" w:type="dxa"/>
            <w:vAlign w:val="bottom"/>
          </w:tcPr>
          <w:p>
            <w:pPr>
              <w:spacing w:after="0" w:line="20" w:lineRule="exact"/>
              <w:rPr>
                <w:sz w:val="1"/>
                <w:szCs w:val="1"/>
                <w:color w:val="auto"/>
              </w:rPr>
            </w:pPr>
          </w:p>
        </w:tc>
      </w:tr>
      <w:tr>
        <w:trPr>
          <w:trHeight w:val="162"/>
        </w:trPr>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00" w:type="dxa"/>
            <w:vAlign w:val="bottom"/>
            <w:tcBorders>
              <w:bottom w:val="single" w:sz="8" w:color="0000EE"/>
            </w:tcBorders>
            <w:gridSpan w:val="9"/>
          </w:tcPr>
          <w:p>
            <w:pPr>
              <w:spacing w:after="0" w:line="162" w:lineRule="exact"/>
              <w:rPr>
                <w:sz w:val="20"/>
                <w:szCs w:val="20"/>
                <w:color w:val="auto"/>
              </w:rPr>
            </w:pPr>
            <w:r>
              <w:rPr>
                <w:rFonts w:ascii="Arial" w:cs="Arial" w:eastAsia="Arial" w:hAnsi="Arial"/>
                <w:sz w:val="16"/>
                <w:szCs w:val="16"/>
                <w:color w:val="0000EE"/>
                <w:w w:val="97"/>
              </w:rPr>
              <w:t>Performance Results for Prior Equity Awards</w:t>
            </w:r>
          </w:p>
        </w:tc>
        <w:tc>
          <w:tcPr>
            <w:tcW w:w="740" w:type="dxa"/>
            <w:vAlign w:val="bottom"/>
            <w:gridSpan w:val="3"/>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20" w:type="dxa"/>
            <w:vAlign w:val="bottom"/>
            <w:tcBorders>
              <w:bottom w:val="single" w:sz="8" w:color="0000EE"/>
            </w:tcBorders>
            <w:gridSpan w:val="10"/>
          </w:tcPr>
          <w:p>
            <w:pPr>
              <w:spacing w:after="0" w:line="162" w:lineRule="exact"/>
              <w:rPr>
                <w:sz w:val="20"/>
                <w:szCs w:val="20"/>
                <w:color w:val="auto"/>
              </w:rPr>
            </w:pPr>
            <w:r>
              <w:rPr>
                <w:rFonts w:ascii="Arial" w:cs="Arial" w:eastAsia="Arial" w:hAnsi="Arial"/>
                <w:sz w:val="16"/>
                <w:szCs w:val="16"/>
                <w:color w:val="0000EE"/>
                <w:w w:val="97"/>
              </w:rPr>
              <w:t>Post-Employment Compensation Arrangements</w:t>
            </w:r>
          </w:p>
        </w:tc>
        <w:tc>
          <w:tcPr>
            <w:tcW w:w="520" w:type="dxa"/>
            <w:vAlign w:val="bottom"/>
            <w:gridSpan w:val="2"/>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40" w:type="dxa"/>
            <w:vAlign w:val="bottom"/>
            <w:gridSpan w:val="12"/>
          </w:tcPr>
          <w:p>
            <w:pPr>
              <w:spacing w:after="0" w:line="162" w:lineRule="exact"/>
              <w:rPr>
                <w:sz w:val="20"/>
                <w:szCs w:val="20"/>
                <w:color w:val="auto"/>
              </w:rPr>
            </w:pPr>
            <w:r>
              <w:rPr>
                <w:rFonts w:ascii="Arial" w:cs="Arial" w:eastAsia="Arial" w:hAnsi="Arial"/>
                <w:sz w:val="16"/>
                <w:szCs w:val="16"/>
                <w:color w:val="0000EE"/>
              </w:rPr>
              <w:t>Compensation-Related Policies</w:t>
            </w: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tcBorders>
              <w:top w:val="single" w:sz="8" w:color="0000EE"/>
            </w:tcBorders>
            <w:gridSpan w:val="7"/>
          </w:tcPr>
          <w:p>
            <w:pPr>
              <w:spacing w:after="0" w:line="162" w:lineRule="exact"/>
              <w:rPr>
                <w:sz w:val="20"/>
                <w:szCs w:val="20"/>
                <w:color w:val="auto"/>
              </w:rPr>
            </w:pPr>
            <w:r>
              <w:rPr>
                <w:rFonts w:ascii="Arial" w:cs="Arial" w:eastAsia="Arial" w:hAnsi="Arial"/>
                <w:sz w:val="16"/>
                <w:szCs w:val="16"/>
                <w:color w:val="0000EE"/>
              </w:rPr>
              <w:t>Tax and Accounting Matters</w:t>
            </w:r>
          </w:p>
        </w:tc>
        <w:tc>
          <w:tcPr>
            <w:tcW w:w="1660" w:type="dxa"/>
            <w:vAlign w:val="bottom"/>
            <w:gridSpan w:val="5"/>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36"/>
        </w:trPr>
        <w:tc>
          <w:tcPr>
            <w:tcW w:w="4160" w:type="dxa"/>
            <w:vAlign w:val="bottom"/>
            <w:tcBorders>
              <w:bottom w:val="single" w:sz="8" w:color="284993"/>
            </w:tcBorders>
          </w:tcPr>
          <w:p>
            <w:pPr>
              <w:spacing w:after="0"/>
              <w:rPr>
                <w:sz w:val="11"/>
                <w:szCs w:val="11"/>
                <w:color w:val="auto"/>
              </w:rPr>
            </w:pPr>
          </w:p>
        </w:tc>
        <w:tc>
          <w:tcPr>
            <w:tcW w:w="300" w:type="dxa"/>
            <w:vAlign w:val="bottom"/>
            <w:tcBorders>
              <w:bottom w:val="single" w:sz="8" w:color="284993"/>
            </w:tcBorders>
          </w:tcPr>
          <w:p>
            <w:pPr>
              <w:spacing w:after="0"/>
              <w:rPr>
                <w:sz w:val="11"/>
                <w:szCs w:val="11"/>
                <w:color w:val="auto"/>
              </w:rPr>
            </w:pPr>
          </w:p>
        </w:tc>
        <w:tc>
          <w:tcPr>
            <w:tcW w:w="1400" w:type="dxa"/>
            <w:vAlign w:val="bottom"/>
            <w:tcBorders>
              <w:top w:val="single" w:sz="8" w:color="0000EE"/>
              <w:bottom w:val="single" w:sz="8" w:color="284993"/>
            </w:tcBorders>
          </w:tcPr>
          <w:p>
            <w:pPr>
              <w:spacing w:after="0"/>
              <w:rPr>
                <w:sz w:val="11"/>
                <w:szCs w:val="11"/>
                <w:color w:val="auto"/>
              </w:rPr>
            </w:pPr>
          </w:p>
        </w:tc>
        <w:tc>
          <w:tcPr>
            <w:tcW w:w="100" w:type="dxa"/>
            <w:vAlign w:val="bottom"/>
            <w:tcBorders>
              <w:top w:val="single" w:sz="8" w:color="0000EE"/>
              <w:bottom w:val="single" w:sz="8" w:color="284993"/>
            </w:tcBorders>
          </w:tcPr>
          <w:p>
            <w:pPr>
              <w:spacing w:after="0"/>
              <w:rPr>
                <w:sz w:val="11"/>
                <w:szCs w:val="11"/>
                <w:color w:val="auto"/>
              </w:rPr>
            </w:pPr>
          </w:p>
        </w:tc>
        <w:tc>
          <w:tcPr>
            <w:tcW w:w="40" w:type="dxa"/>
            <w:vAlign w:val="bottom"/>
            <w:tcBorders>
              <w:top w:val="single" w:sz="8" w:color="0000EE"/>
              <w:bottom w:val="single" w:sz="8" w:color="284993"/>
            </w:tcBorders>
          </w:tcPr>
          <w:p>
            <w:pPr>
              <w:spacing w:after="0"/>
              <w:rPr>
                <w:sz w:val="11"/>
                <w:szCs w:val="11"/>
                <w:color w:val="auto"/>
              </w:rPr>
            </w:pPr>
          </w:p>
        </w:tc>
        <w:tc>
          <w:tcPr>
            <w:tcW w:w="160" w:type="dxa"/>
            <w:vAlign w:val="bottom"/>
            <w:tcBorders>
              <w:top w:val="single" w:sz="8" w:color="0000EE"/>
              <w:bottom w:val="single" w:sz="8" w:color="284993"/>
            </w:tcBorders>
          </w:tcPr>
          <w:p>
            <w:pPr>
              <w:spacing w:after="0"/>
              <w:rPr>
                <w:sz w:val="11"/>
                <w:szCs w:val="11"/>
                <w:color w:val="auto"/>
              </w:rPr>
            </w:pPr>
          </w:p>
        </w:tc>
        <w:tc>
          <w:tcPr>
            <w:tcW w:w="240" w:type="dxa"/>
            <w:vAlign w:val="bottom"/>
            <w:tcBorders>
              <w:top w:val="single" w:sz="8" w:color="0000EE"/>
              <w:bottom w:val="single" w:sz="8" w:color="284993"/>
            </w:tcBorders>
          </w:tcPr>
          <w:p>
            <w:pPr>
              <w:spacing w:after="0"/>
              <w:rPr>
                <w:sz w:val="11"/>
                <w:szCs w:val="11"/>
                <w:color w:val="auto"/>
              </w:rPr>
            </w:pPr>
          </w:p>
        </w:tc>
        <w:tc>
          <w:tcPr>
            <w:tcW w:w="80" w:type="dxa"/>
            <w:vAlign w:val="bottom"/>
            <w:tcBorders>
              <w:bottom w:val="single" w:sz="8" w:color="284993"/>
            </w:tcBorders>
          </w:tcPr>
          <w:p>
            <w:pPr>
              <w:spacing w:after="0"/>
              <w:rPr>
                <w:sz w:val="11"/>
                <w:szCs w:val="11"/>
                <w:color w:val="auto"/>
              </w:rPr>
            </w:pPr>
          </w:p>
        </w:tc>
        <w:tc>
          <w:tcPr>
            <w:tcW w:w="160" w:type="dxa"/>
            <w:vAlign w:val="bottom"/>
            <w:tcBorders>
              <w:bottom w:val="single" w:sz="8" w:color="284993"/>
            </w:tcBorders>
          </w:tcPr>
          <w:p>
            <w:pPr>
              <w:spacing w:after="0"/>
              <w:rPr>
                <w:sz w:val="11"/>
                <w:szCs w:val="11"/>
                <w:color w:val="auto"/>
              </w:rPr>
            </w:pPr>
          </w:p>
        </w:tc>
        <w:tc>
          <w:tcPr>
            <w:tcW w:w="240" w:type="dxa"/>
            <w:vAlign w:val="bottom"/>
            <w:tcBorders>
              <w:bottom w:val="single" w:sz="8" w:color="284993"/>
            </w:tcBorders>
          </w:tcPr>
          <w:p>
            <w:pPr>
              <w:spacing w:after="0"/>
              <w:rPr>
                <w:sz w:val="11"/>
                <w:szCs w:val="11"/>
                <w:color w:val="auto"/>
              </w:rPr>
            </w:pPr>
          </w:p>
        </w:tc>
        <w:tc>
          <w:tcPr>
            <w:tcW w:w="680" w:type="dxa"/>
            <w:vAlign w:val="bottom"/>
            <w:tcBorders>
              <w:bottom w:val="single" w:sz="8" w:color="284993"/>
            </w:tcBorders>
          </w:tcPr>
          <w:p>
            <w:pPr>
              <w:spacing w:after="0"/>
              <w:rPr>
                <w:sz w:val="11"/>
                <w:szCs w:val="11"/>
                <w:color w:val="auto"/>
              </w:rPr>
            </w:pPr>
          </w:p>
        </w:tc>
        <w:tc>
          <w:tcPr>
            <w:tcW w:w="220" w:type="dxa"/>
            <w:vAlign w:val="bottom"/>
            <w:tcBorders>
              <w:bottom w:val="single" w:sz="8" w:color="284993"/>
            </w:tcBorders>
          </w:tcPr>
          <w:p>
            <w:pPr>
              <w:spacing w:after="0"/>
              <w:rPr>
                <w:sz w:val="11"/>
                <w:szCs w:val="11"/>
                <w:color w:val="auto"/>
              </w:rPr>
            </w:pPr>
          </w:p>
        </w:tc>
        <w:tc>
          <w:tcPr>
            <w:tcW w:w="200" w:type="dxa"/>
            <w:vAlign w:val="bottom"/>
            <w:tcBorders>
              <w:bottom w:val="single" w:sz="8" w:color="284993"/>
            </w:tcBorders>
          </w:tcPr>
          <w:p>
            <w:pPr>
              <w:spacing w:after="0"/>
              <w:rPr>
                <w:sz w:val="11"/>
                <w:szCs w:val="11"/>
                <w:color w:val="auto"/>
              </w:rPr>
            </w:pPr>
          </w:p>
        </w:tc>
        <w:tc>
          <w:tcPr>
            <w:tcW w:w="320" w:type="dxa"/>
            <w:vAlign w:val="bottom"/>
            <w:tcBorders>
              <w:bottom w:val="single" w:sz="8" w:color="284993"/>
            </w:tcBorders>
          </w:tcPr>
          <w:p>
            <w:pPr>
              <w:spacing w:after="0"/>
              <w:rPr>
                <w:sz w:val="11"/>
                <w:szCs w:val="11"/>
                <w:color w:val="auto"/>
              </w:rPr>
            </w:pPr>
          </w:p>
        </w:tc>
        <w:tc>
          <w:tcPr>
            <w:tcW w:w="880" w:type="dxa"/>
            <w:vAlign w:val="bottom"/>
            <w:tcBorders>
              <w:bottom w:val="single" w:sz="8" w:color="284993"/>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60" w:type="dxa"/>
            <w:vAlign w:val="bottom"/>
          </w:tcPr>
          <w:p>
            <w:pPr>
              <w:ind w:left="80"/>
              <w:spacing w:after="0" w:line="143" w:lineRule="exact"/>
              <w:rPr>
                <w:sz w:val="20"/>
                <w:szCs w:val="20"/>
                <w:color w:val="auto"/>
              </w:rPr>
            </w:pPr>
            <w:r>
              <w:rPr>
                <w:rFonts w:ascii="Arial" w:cs="Arial" w:eastAsia="Arial" w:hAnsi="Arial"/>
                <w:sz w:val="16"/>
                <w:szCs w:val="16"/>
                <w:color w:val="284993"/>
              </w:rPr>
              <w:t>Compensation Committee Report</w:t>
            </w:r>
          </w:p>
        </w:tc>
        <w:tc>
          <w:tcPr>
            <w:tcW w:w="2320" w:type="dxa"/>
            <w:vAlign w:val="bottom"/>
            <w:tcBorders>
              <w:bottom w:val="single" w:sz="8" w:color="0000EE"/>
            </w:tcBorders>
            <w:gridSpan w:val="7"/>
          </w:tcPr>
          <w:p>
            <w:pPr>
              <w:spacing w:after="0" w:line="149" w:lineRule="exact"/>
              <w:rPr>
                <w:sz w:val="20"/>
                <w:szCs w:val="20"/>
                <w:color w:val="auto"/>
              </w:rPr>
            </w:pPr>
            <w:r>
              <w:rPr>
                <w:rFonts w:ascii="Arial" w:cs="Arial" w:eastAsia="Arial" w:hAnsi="Arial"/>
                <w:sz w:val="16"/>
                <w:szCs w:val="16"/>
                <w:color w:val="0000EE"/>
                <w:w w:val="96"/>
              </w:rPr>
              <w:t>Compensation Committee Report</w:t>
            </w:r>
          </w:p>
        </w:tc>
        <w:tc>
          <w:tcPr>
            <w:tcW w:w="1820" w:type="dxa"/>
            <w:vAlign w:val="bottom"/>
            <w:gridSpan w:val="6"/>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181610</wp:posOffset>
            </wp:positionV>
            <wp:extent cx="59410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ectPr>
          <w:pgSz w:w="11900" w:h="16838" w:orient="portrait"/>
          <w:cols w:equalWidth="0" w:num="1">
            <w:col w:w="9360"/>
          </w:cols>
          <w:pgMar w:left="1260" w:top="338" w:right="1279" w:bottom="1440" w:gutter="0" w:footer="0" w:header="0"/>
          <w:type w:val="continuous"/>
        </w:sectPr>
      </w:pPr>
    </w:p>
    <w:p>
      <w:pPr>
        <w:spacing w:after="0" w:line="328" w:lineRule="exact"/>
        <w:rPr>
          <w:sz w:val="20"/>
          <w:szCs w:val="20"/>
          <w:color w:val="auto"/>
        </w:rPr>
      </w:pPr>
    </w:p>
    <w:p>
      <w:pPr>
        <w:ind w:left="260"/>
        <w:spacing w:after="0"/>
        <w:rPr>
          <w:sz w:val="20"/>
          <w:szCs w:val="20"/>
          <w:color w:val="auto"/>
        </w:rPr>
      </w:pPr>
      <w:r>
        <w:rPr>
          <w:rFonts w:ascii="Arial" w:cs="Arial" w:eastAsia="Arial" w:hAnsi="Arial"/>
          <w:sz w:val="24"/>
          <w:szCs w:val="24"/>
          <w:color w:val="284993"/>
        </w:rPr>
        <w:t>Executive Compensation</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880" w:type="dxa"/>
            <w:vAlign w:val="bottom"/>
            <w:gridSpan w:val="9"/>
          </w:tcPr>
          <w:p>
            <w:pPr>
              <w:spacing w:after="0"/>
              <w:rPr>
                <w:sz w:val="20"/>
                <w:szCs w:val="20"/>
                <w:color w:val="auto"/>
              </w:rPr>
            </w:pPr>
            <w:r>
              <w:rPr>
                <w:rFonts w:ascii="Arial" w:cs="Arial" w:eastAsia="Arial" w:hAnsi="Arial"/>
                <w:sz w:val="16"/>
                <w:szCs w:val="16"/>
                <w:color w:val="0000EE"/>
              </w:rPr>
              <w:t>Executive Compensation</w:t>
            </w:r>
          </w:p>
        </w:tc>
        <w:tc>
          <w:tcPr>
            <w:tcW w:w="110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
        </w:trPr>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vMerge w:val="restart"/>
          </w:tcPr>
          <w:p>
            <w:pPr>
              <w:jc w:val="right"/>
              <w:spacing w:after="0" w:line="182" w:lineRule="exact"/>
              <w:rPr>
                <w:sz w:val="20"/>
                <w:szCs w:val="20"/>
                <w:color w:val="auto"/>
              </w:rPr>
            </w:pPr>
            <w:r>
              <w:rPr>
                <w:rFonts w:ascii="Arial" w:cs="Arial" w:eastAsia="Arial" w:hAnsi="Arial"/>
                <w:sz w:val="16"/>
                <w:szCs w:val="16"/>
                <w:color w:val="auto"/>
              </w:rPr>
              <w:t>58</w:t>
            </w:r>
          </w:p>
        </w:tc>
        <w:tc>
          <w:tcPr>
            <w:tcW w:w="0" w:type="dxa"/>
            <w:vAlign w:val="bottom"/>
          </w:tcPr>
          <w:p>
            <w:pPr>
              <w:spacing w:after="0" w:line="20" w:lineRule="exact"/>
              <w:rPr>
                <w:sz w:val="1"/>
                <w:szCs w:val="1"/>
                <w:color w:val="auto"/>
              </w:rPr>
            </w:pPr>
          </w:p>
        </w:tc>
      </w:tr>
      <w:tr>
        <w:trPr>
          <w:trHeight w:val="162"/>
        </w:trPr>
        <w:tc>
          <w:tcPr>
            <w:tcW w:w="300" w:type="dxa"/>
            <w:vAlign w:val="bottom"/>
          </w:tcPr>
          <w:p>
            <w:pPr>
              <w:spacing w:after="0"/>
              <w:rPr>
                <w:sz w:val="14"/>
                <w:szCs w:val="14"/>
                <w:color w:val="auto"/>
              </w:rPr>
            </w:pPr>
          </w:p>
        </w:tc>
        <w:tc>
          <w:tcPr>
            <w:tcW w:w="380" w:type="dxa"/>
            <w:vAlign w:val="bottom"/>
            <w:tcBorders>
              <w:bottom w:val="single" w:sz="8" w:color="0000EE"/>
            </w:tcBorders>
          </w:tcPr>
          <w:p>
            <w:pPr>
              <w:spacing w:after="0" w:line="162" w:lineRule="exact"/>
              <w:rPr>
                <w:sz w:val="20"/>
                <w:szCs w:val="20"/>
                <w:color w:val="auto"/>
              </w:rPr>
            </w:pPr>
            <w:r>
              <w:rPr>
                <w:rFonts w:ascii="Arial" w:cs="Arial" w:eastAsia="Arial" w:hAnsi="Arial"/>
                <w:sz w:val="16"/>
                <w:szCs w:val="16"/>
                <w:color w:val="0000EE"/>
              </w:rPr>
              <w:t>2023</w:t>
            </w:r>
          </w:p>
        </w:tc>
        <w:tc>
          <w:tcPr>
            <w:tcW w:w="2160" w:type="dxa"/>
            <w:vAlign w:val="bottom"/>
            <w:tcBorders>
              <w:bottom w:val="single" w:sz="8" w:color="0000EE"/>
            </w:tcBorders>
            <w:gridSpan w:val="4"/>
          </w:tcPr>
          <w:p>
            <w:pPr>
              <w:ind w:left="20"/>
              <w:spacing w:after="0" w:line="162" w:lineRule="exact"/>
              <w:rPr>
                <w:sz w:val="20"/>
                <w:szCs w:val="20"/>
                <w:color w:val="auto"/>
              </w:rPr>
            </w:pPr>
            <w:r>
              <w:rPr>
                <w:rFonts w:ascii="Arial" w:cs="Arial" w:eastAsia="Arial" w:hAnsi="Arial"/>
                <w:sz w:val="16"/>
                <w:szCs w:val="16"/>
                <w:color w:val="0000EE"/>
                <w:w w:val="96"/>
              </w:rPr>
              <w:t>Summary Compensation Table</w:t>
            </w:r>
          </w:p>
        </w:tc>
        <w:tc>
          <w:tcPr>
            <w:tcW w:w="1040" w:type="dxa"/>
            <w:vAlign w:val="bottom"/>
            <w:gridSpan w:val="3"/>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3580" w:type="dxa"/>
            <w:vAlign w:val="bottom"/>
            <w:gridSpan w:val="8"/>
          </w:tcPr>
          <w:p>
            <w:pPr>
              <w:spacing w:after="0" w:line="162" w:lineRule="exact"/>
              <w:rPr>
                <w:sz w:val="20"/>
                <w:szCs w:val="20"/>
                <w:color w:val="auto"/>
              </w:rPr>
            </w:pPr>
            <w:r>
              <w:rPr>
                <w:rFonts w:ascii="Arial" w:cs="Arial" w:eastAsia="Arial" w:hAnsi="Arial"/>
                <w:sz w:val="16"/>
                <w:szCs w:val="16"/>
                <w:color w:val="0000EE"/>
              </w:rPr>
              <w:t>Other Compensation Table</w:t>
            </w: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vMerge w:val="restart"/>
          </w:tcPr>
          <w:p>
            <w:pPr>
              <w:jc w:val="right"/>
              <w:spacing w:after="0" w:line="182" w:lineRule="exact"/>
              <w:rPr>
                <w:sz w:val="20"/>
                <w:szCs w:val="20"/>
                <w:color w:val="auto"/>
              </w:rPr>
            </w:pPr>
            <w:r>
              <w:rPr>
                <w:rFonts w:ascii="Arial" w:cs="Arial" w:eastAsia="Arial" w:hAnsi="Arial"/>
                <w:sz w:val="16"/>
                <w:szCs w:val="16"/>
                <w:color w:val="auto"/>
              </w:rPr>
              <w:t>59</w:t>
            </w:r>
          </w:p>
        </w:tc>
        <w:tc>
          <w:tcPr>
            <w:tcW w:w="0" w:type="dxa"/>
            <w:vAlign w:val="bottom"/>
          </w:tcPr>
          <w:p>
            <w:pPr>
              <w:spacing w:after="0" w:line="20" w:lineRule="exact"/>
              <w:rPr>
                <w:sz w:val="1"/>
                <w:szCs w:val="1"/>
                <w:color w:val="auto"/>
              </w:rPr>
            </w:pPr>
          </w:p>
        </w:tc>
      </w:tr>
      <w:tr>
        <w:trPr>
          <w:trHeight w:val="162"/>
        </w:trPr>
        <w:tc>
          <w:tcPr>
            <w:tcW w:w="300" w:type="dxa"/>
            <w:vAlign w:val="bottom"/>
          </w:tcPr>
          <w:p>
            <w:pPr>
              <w:spacing w:after="0"/>
              <w:rPr>
                <w:sz w:val="14"/>
                <w:szCs w:val="14"/>
                <w:color w:val="auto"/>
              </w:rPr>
            </w:pPr>
          </w:p>
        </w:tc>
        <w:tc>
          <w:tcPr>
            <w:tcW w:w="380" w:type="dxa"/>
            <w:vAlign w:val="bottom"/>
          </w:tcPr>
          <w:p>
            <w:pPr>
              <w:spacing w:after="0" w:line="162" w:lineRule="exact"/>
              <w:rPr>
                <w:sz w:val="20"/>
                <w:szCs w:val="20"/>
                <w:color w:val="auto"/>
              </w:rPr>
            </w:pPr>
            <w:r>
              <w:rPr>
                <w:rFonts w:ascii="Arial" w:cs="Arial" w:eastAsia="Arial" w:hAnsi="Arial"/>
                <w:sz w:val="16"/>
                <w:szCs w:val="16"/>
                <w:color w:val="0000EE"/>
              </w:rPr>
              <w:t>2023</w:t>
            </w:r>
          </w:p>
        </w:tc>
        <w:tc>
          <w:tcPr>
            <w:tcW w:w="3200" w:type="dxa"/>
            <w:vAlign w:val="bottom"/>
            <w:gridSpan w:val="7"/>
          </w:tcPr>
          <w:p>
            <w:pPr>
              <w:ind w:left="20"/>
              <w:spacing w:after="0" w:line="162" w:lineRule="exact"/>
              <w:rPr>
                <w:sz w:val="20"/>
                <w:szCs w:val="20"/>
                <w:color w:val="auto"/>
              </w:rPr>
            </w:pPr>
            <w:r>
              <w:rPr>
                <w:rFonts w:ascii="Arial" w:cs="Arial" w:eastAsia="Arial" w:hAnsi="Arial"/>
                <w:sz w:val="16"/>
                <w:szCs w:val="16"/>
                <w:color w:val="0000EE"/>
              </w:rPr>
              <w:t>Grants of Plan-Based Awards</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vMerge w:val="restart"/>
          </w:tcPr>
          <w:p>
            <w:pPr>
              <w:jc w:val="right"/>
              <w:spacing w:after="0" w:line="182" w:lineRule="exact"/>
              <w:rPr>
                <w:sz w:val="20"/>
                <w:szCs w:val="20"/>
                <w:color w:val="auto"/>
              </w:rPr>
            </w:pPr>
            <w:r>
              <w:rPr>
                <w:rFonts w:ascii="Arial" w:cs="Arial" w:eastAsia="Arial" w:hAnsi="Arial"/>
                <w:sz w:val="16"/>
                <w:szCs w:val="16"/>
                <w:color w:val="auto"/>
              </w:rPr>
              <w:t>60</w:t>
            </w:r>
          </w:p>
        </w:tc>
        <w:tc>
          <w:tcPr>
            <w:tcW w:w="0" w:type="dxa"/>
            <w:vAlign w:val="bottom"/>
          </w:tcPr>
          <w:p>
            <w:pPr>
              <w:spacing w:after="0" w:line="20" w:lineRule="exact"/>
              <w:rPr>
                <w:sz w:val="1"/>
                <w:szCs w:val="1"/>
                <w:color w:val="auto"/>
              </w:rPr>
            </w:pPr>
          </w:p>
        </w:tc>
      </w:tr>
      <w:tr>
        <w:trPr>
          <w:trHeight w:val="162"/>
        </w:trPr>
        <w:tc>
          <w:tcPr>
            <w:tcW w:w="300" w:type="dxa"/>
            <w:vAlign w:val="bottom"/>
          </w:tcPr>
          <w:p>
            <w:pPr>
              <w:spacing w:after="0"/>
              <w:rPr>
                <w:sz w:val="14"/>
                <w:szCs w:val="14"/>
                <w:color w:val="auto"/>
              </w:rPr>
            </w:pPr>
          </w:p>
        </w:tc>
        <w:tc>
          <w:tcPr>
            <w:tcW w:w="3580" w:type="dxa"/>
            <w:vAlign w:val="bottom"/>
            <w:tcBorders>
              <w:bottom w:val="single" w:sz="8" w:color="0000EE"/>
            </w:tcBorders>
            <w:gridSpan w:val="8"/>
          </w:tcPr>
          <w:p>
            <w:pPr>
              <w:spacing w:after="0" w:line="162" w:lineRule="exact"/>
              <w:rPr>
                <w:sz w:val="20"/>
                <w:szCs w:val="20"/>
                <w:color w:val="auto"/>
              </w:rPr>
            </w:pPr>
            <w:r>
              <w:rPr>
                <w:rFonts w:ascii="Arial" w:cs="Arial" w:eastAsia="Arial" w:hAnsi="Arial"/>
                <w:sz w:val="16"/>
                <w:szCs w:val="16"/>
                <w:color w:val="0000EE"/>
                <w:w w:val="96"/>
              </w:rPr>
              <w:t>Outstanding Equity Awards at 2023 Fiscal Year-End</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380" w:type="dxa"/>
            <w:vAlign w:val="bottom"/>
            <w:tcBorders>
              <w:bottom w:val="single" w:sz="8" w:color="0000EE"/>
            </w:tcBorders>
          </w:tcPr>
          <w:p>
            <w:pPr>
              <w:spacing w:after="0" w:line="162" w:lineRule="exact"/>
              <w:rPr>
                <w:sz w:val="20"/>
                <w:szCs w:val="20"/>
                <w:color w:val="auto"/>
              </w:rPr>
            </w:pPr>
            <w:r>
              <w:rPr>
                <w:rFonts w:ascii="Arial" w:cs="Arial" w:eastAsia="Arial" w:hAnsi="Arial"/>
                <w:sz w:val="16"/>
                <w:szCs w:val="16"/>
                <w:color w:val="0000EE"/>
              </w:rPr>
              <w:t>2023</w:t>
            </w:r>
          </w:p>
        </w:tc>
        <w:tc>
          <w:tcPr>
            <w:tcW w:w="2460" w:type="dxa"/>
            <w:vAlign w:val="bottom"/>
            <w:tcBorders>
              <w:bottom w:val="single" w:sz="8" w:color="0000EE"/>
            </w:tcBorders>
            <w:gridSpan w:val="5"/>
          </w:tcPr>
          <w:p>
            <w:pPr>
              <w:ind w:left="20"/>
              <w:spacing w:after="0" w:line="162" w:lineRule="exact"/>
              <w:rPr>
                <w:sz w:val="20"/>
                <w:szCs w:val="20"/>
                <w:color w:val="auto"/>
              </w:rPr>
            </w:pPr>
            <w:r>
              <w:rPr>
                <w:rFonts w:ascii="Arial" w:cs="Arial" w:eastAsia="Arial" w:hAnsi="Arial"/>
                <w:sz w:val="16"/>
                <w:szCs w:val="16"/>
                <w:color w:val="0000EE"/>
                <w:w w:val="96"/>
              </w:rPr>
              <w:t>Option Exercises and Stock Vested</w:t>
            </w:r>
          </w:p>
        </w:tc>
        <w:tc>
          <w:tcPr>
            <w:tcW w:w="740" w:type="dxa"/>
            <w:vAlign w:val="bottom"/>
            <w:gridSpan w:val="2"/>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380" w:type="dxa"/>
            <w:vAlign w:val="bottom"/>
          </w:tcPr>
          <w:p>
            <w:pPr>
              <w:spacing w:after="0" w:line="162" w:lineRule="exact"/>
              <w:rPr>
                <w:sz w:val="20"/>
                <w:szCs w:val="20"/>
                <w:color w:val="auto"/>
              </w:rPr>
            </w:pPr>
            <w:r>
              <w:rPr>
                <w:rFonts w:ascii="Arial" w:cs="Arial" w:eastAsia="Arial" w:hAnsi="Arial"/>
                <w:sz w:val="16"/>
                <w:szCs w:val="16"/>
                <w:color w:val="0000EE"/>
              </w:rPr>
              <w:t>2023</w:t>
            </w:r>
          </w:p>
        </w:tc>
        <w:tc>
          <w:tcPr>
            <w:tcW w:w="3200" w:type="dxa"/>
            <w:vAlign w:val="bottom"/>
            <w:gridSpan w:val="7"/>
          </w:tcPr>
          <w:p>
            <w:pPr>
              <w:ind w:left="20"/>
              <w:spacing w:after="0" w:line="162" w:lineRule="exact"/>
              <w:rPr>
                <w:sz w:val="20"/>
                <w:szCs w:val="20"/>
                <w:color w:val="auto"/>
              </w:rPr>
            </w:pPr>
            <w:r>
              <w:rPr>
                <w:rFonts w:ascii="Arial" w:cs="Arial" w:eastAsia="Arial" w:hAnsi="Arial"/>
                <w:sz w:val="16"/>
                <w:szCs w:val="16"/>
                <w:color w:val="0000EE"/>
              </w:rPr>
              <w:t>Nonqualified Deferred Compensation</w:t>
            </w: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-2747010</wp:posOffset>
            </wp:positionH>
            <wp:positionV relativeFrom="paragraph">
              <wp:posOffset>90805</wp:posOffset>
            </wp:positionV>
            <wp:extent cx="59410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3620" w:space="720"/>
            <w:col w:w="5020"/>
          </w:cols>
          <w:pgMar w:left="1260" w:top="338" w:right="1279" w:bottom="1440" w:gutter="0" w:footer="0" w:header="0"/>
          <w:type w:val="continuous"/>
        </w:sectPr>
      </w:pPr>
    </w:p>
    <w:tbl>
      <w:tblPr>
        <w:tblLayout w:type="fixed"/>
        <w:tblInd w:w="20" w:type="dxa"/>
        <w:tblCellMar>
          <w:top w:w="0" w:type="dxa"/>
          <w:left w:w="0" w:type="dxa"/>
          <w:bottom w:w="0" w:type="dxa"/>
          <w:right w:w="0" w:type="dxa"/>
        </w:tblCellMar>
      </w:tblPr>
      <w:tr>
        <w:trPr>
          <w:trHeight w:val="289"/>
        </w:trPr>
        <w:tc>
          <w:tcPr>
            <w:tcW w:w="160" w:type="dxa"/>
            <w:vAlign w:val="bottom"/>
          </w:tcPr>
          <w:p>
            <w:pPr>
              <w:spacing w:after="0"/>
              <w:rPr>
                <w:sz w:val="24"/>
                <w:szCs w:val="24"/>
                <w:color w:val="auto"/>
              </w:rPr>
            </w:pPr>
          </w:p>
        </w:tc>
        <w:tc>
          <w:tcPr>
            <w:tcW w:w="3900" w:type="dxa"/>
            <w:vAlign w:val="bottom"/>
          </w:tcPr>
          <w:p>
            <w:pPr>
              <w:ind w:left="80"/>
              <w:spacing w:after="0"/>
              <w:rPr>
                <w:sz w:val="20"/>
                <w:szCs w:val="20"/>
                <w:color w:val="auto"/>
              </w:rPr>
            </w:pPr>
            <w:r>
              <w:rPr>
                <w:rFonts w:ascii="Arial" w:cs="Arial" w:eastAsia="Arial" w:hAnsi="Arial"/>
                <w:sz w:val="24"/>
                <w:szCs w:val="24"/>
                <w:color w:val="284993"/>
              </w:rPr>
              <w:t>Potential Payments Upon</w:t>
            </w:r>
          </w:p>
        </w:tc>
        <w:tc>
          <w:tcPr>
            <w:tcW w:w="4340" w:type="dxa"/>
            <w:vAlign w:val="bottom"/>
            <w:gridSpan w:val="15"/>
          </w:tcPr>
          <w:p>
            <w:pPr>
              <w:ind w:left="260"/>
              <w:spacing w:after="0"/>
              <w:rPr>
                <w:sz w:val="20"/>
                <w:szCs w:val="20"/>
                <w:color w:val="auto"/>
              </w:rPr>
            </w:pPr>
            <w:r>
              <w:rPr>
                <w:rFonts w:ascii="Arial" w:cs="Arial" w:eastAsia="Arial" w:hAnsi="Arial"/>
                <w:sz w:val="16"/>
                <w:szCs w:val="16"/>
                <w:color w:val="0000EE"/>
                <w:w w:val="96"/>
              </w:rPr>
              <w:t>Potential Payments Upon Termination or Change in Control</w:t>
            </w:r>
          </w:p>
        </w:tc>
        <w:tc>
          <w:tcPr>
            <w:tcW w:w="94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3900" w:type="dxa"/>
            <w:vAlign w:val="bottom"/>
            <w:vMerge w:val="restart"/>
          </w:tcPr>
          <w:p>
            <w:pPr>
              <w:ind w:left="80"/>
              <w:spacing w:after="0"/>
              <w:rPr>
                <w:sz w:val="20"/>
                <w:szCs w:val="20"/>
                <w:color w:val="auto"/>
              </w:rPr>
            </w:pPr>
            <w:r>
              <w:rPr>
                <w:rFonts w:ascii="Arial" w:cs="Arial" w:eastAsia="Arial" w:hAnsi="Arial"/>
                <w:sz w:val="24"/>
                <w:szCs w:val="24"/>
                <w:color w:val="284993"/>
              </w:rPr>
              <w:t>Termination or Change in Control</w:t>
            </w:r>
          </w:p>
        </w:tc>
        <w:tc>
          <w:tcPr>
            <w:tcW w:w="260" w:type="dxa"/>
            <w:vAlign w:val="bottom"/>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220" w:type="dxa"/>
            <w:vAlign w:val="bottom"/>
            <w:tcBorders>
              <w:top w:val="single" w:sz="8" w:color="0000EE"/>
              <w:bottom w:val="single" w:sz="8" w:color="0000EE"/>
            </w:tcBorders>
            <w:gridSpan w:val="2"/>
          </w:tcPr>
          <w:p>
            <w:pPr>
              <w:spacing w:after="0" w:line="162" w:lineRule="exact"/>
              <w:rPr>
                <w:sz w:val="20"/>
                <w:szCs w:val="20"/>
                <w:color w:val="auto"/>
              </w:rPr>
            </w:pPr>
            <w:r>
              <w:rPr>
                <w:rFonts w:ascii="Arial" w:cs="Arial" w:eastAsia="Arial" w:hAnsi="Arial"/>
                <w:sz w:val="16"/>
                <w:szCs w:val="16"/>
                <w:color w:val="0000EE"/>
                <w:w w:val="97"/>
              </w:rPr>
              <w:t>Severance Policy</w:t>
            </w:r>
          </w:p>
        </w:tc>
        <w:tc>
          <w:tcPr>
            <w:tcW w:w="2560" w:type="dxa"/>
            <w:vAlign w:val="bottom"/>
            <w:tcBorders>
              <w:top w:val="single" w:sz="8" w:color="0000EE"/>
            </w:tcBorders>
            <w:gridSpan w:val="11"/>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3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80" w:type="dxa"/>
            <w:vAlign w:val="bottom"/>
            <w:gridSpan w:val="13"/>
          </w:tcPr>
          <w:p>
            <w:pPr>
              <w:spacing w:after="0" w:line="162" w:lineRule="exact"/>
              <w:rPr>
                <w:sz w:val="20"/>
                <w:szCs w:val="20"/>
                <w:color w:val="auto"/>
              </w:rPr>
            </w:pPr>
            <w:r>
              <w:rPr>
                <w:rFonts w:ascii="Arial" w:cs="Arial" w:eastAsia="Arial" w:hAnsi="Arial"/>
                <w:sz w:val="16"/>
                <w:szCs w:val="16"/>
                <w:color w:val="0000EE"/>
              </w:rPr>
              <w:t>CEO Severance Agreement</w:t>
            </w: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vMerge w:val="restart"/>
          </w:tcPr>
          <w:p>
            <w:pPr>
              <w:jc w:val="right"/>
              <w:spacing w:after="0" w:line="182" w:lineRule="exact"/>
              <w:rPr>
                <w:sz w:val="20"/>
                <w:szCs w:val="20"/>
                <w:color w:val="auto"/>
              </w:rPr>
            </w:pPr>
            <w:r>
              <w:rPr>
                <w:rFonts w:ascii="Arial" w:cs="Arial" w:eastAsia="Arial" w:hAnsi="Arial"/>
                <w:sz w:val="16"/>
                <w:szCs w:val="16"/>
                <w:color w:val="auto"/>
              </w:rPr>
              <w:t>62</w:t>
            </w:r>
          </w:p>
        </w:tc>
        <w:tc>
          <w:tcPr>
            <w:tcW w:w="0" w:type="dxa"/>
            <w:vAlign w:val="bottom"/>
          </w:tcPr>
          <w:p>
            <w:pPr>
              <w:spacing w:after="0" w:line="20" w:lineRule="exact"/>
              <w:rPr>
                <w:sz w:val="1"/>
                <w:szCs w:val="1"/>
                <w:color w:val="auto"/>
              </w:rPr>
            </w:pPr>
          </w:p>
        </w:tc>
      </w:tr>
      <w:tr>
        <w:trPr>
          <w:trHeight w:val="162"/>
        </w:trPr>
        <w:tc>
          <w:tcPr>
            <w:tcW w:w="1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80" w:type="dxa"/>
            <w:vAlign w:val="bottom"/>
            <w:gridSpan w:val="13"/>
          </w:tcPr>
          <w:p>
            <w:pPr>
              <w:spacing w:after="0" w:line="162" w:lineRule="exact"/>
              <w:rPr>
                <w:sz w:val="20"/>
                <w:szCs w:val="20"/>
                <w:color w:val="auto"/>
              </w:rPr>
            </w:pPr>
            <w:r>
              <w:rPr>
                <w:rFonts w:ascii="Arial" w:cs="Arial" w:eastAsia="Arial" w:hAnsi="Arial"/>
                <w:sz w:val="16"/>
                <w:szCs w:val="16"/>
                <w:color w:val="0000EE"/>
              </w:rPr>
              <w:t>Change in Control Agreements</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vMerge w:val="restart"/>
          </w:tcPr>
          <w:p>
            <w:pPr>
              <w:jc w:val="right"/>
              <w:spacing w:after="0" w:line="182" w:lineRule="exact"/>
              <w:rPr>
                <w:sz w:val="20"/>
                <w:szCs w:val="20"/>
                <w:color w:val="auto"/>
              </w:rPr>
            </w:pPr>
            <w:r>
              <w:rPr>
                <w:rFonts w:ascii="Arial" w:cs="Arial" w:eastAsia="Arial" w:hAnsi="Arial"/>
                <w:sz w:val="16"/>
                <w:szCs w:val="16"/>
                <w:color w:val="auto"/>
              </w:rPr>
              <w:t>64</w:t>
            </w:r>
          </w:p>
        </w:tc>
        <w:tc>
          <w:tcPr>
            <w:tcW w:w="0" w:type="dxa"/>
            <w:vAlign w:val="bottom"/>
          </w:tcPr>
          <w:p>
            <w:pPr>
              <w:spacing w:after="0" w:line="20" w:lineRule="exact"/>
              <w:rPr>
                <w:sz w:val="1"/>
                <w:szCs w:val="1"/>
                <w:color w:val="auto"/>
              </w:rPr>
            </w:pPr>
          </w:p>
        </w:tc>
      </w:tr>
      <w:tr>
        <w:trPr>
          <w:trHeight w:val="162"/>
        </w:trPr>
        <w:tc>
          <w:tcPr>
            <w:tcW w:w="1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60" w:type="dxa"/>
            <w:vAlign w:val="bottom"/>
            <w:tcBorders>
              <w:bottom w:val="single" w:sz="8" w:color="0000EE"/>
            </w:tcBorders>
            <w:gridSpan w:val="11"/>
          </w:tcPr>
          <w:p>
            <w:pPr>
              <w:spacing w:after="0" w:line="162" w:lineRule="exact"/>
              <w:rPr>
                <w:sz w:val="20"/>
                <w:szCs w:val="20"/>
                <w:color w:val="auto"/>
              </w:rPr>
            </w:pPr>
            <w:r>
              <w:rPr>
                <w:rFonts w:ascii="Arial" w:cs="Arial" w:eastAsia="Arial" w:hAnsi="Arial"/>
                <w:sz w:val="16"/>
                <w:szCs w:val="16"/>
                <w:color w:val="0000EE"/>
                <w:w w:val="96"/>
              </w:rPr>
              <w:t>Post-Termination Benefits Under Incentive Plans</w:t>
            </w:r>
          </w:p>
        </w:tc>
        <w:tc>
          <w:tcPr>
            <w:tcW w:w="420" w:type="dxa"/>
            <w:vAlign w:val="bottom"/>
            <w:gridSpan w:val="2"/>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80" w:type="dxa"/>
            <w:vAlign w:val="bottom"/>
            <w:gridSpan w:val="13"/>
          </w:tcPr>
          <w:p>
            <w:pPr>
              <w:spacing w:after="0" w:line="162" w:lineRule="exact"/>
              <w:rPr>
                <w:sz w:val="20"/>
                <w:szCs w:val="20"/>
                <w:color w:val="auto"/>
              </w:rPr>
            </w:pPr>
            <w:r>
              <w:rPr>
                <w:rFonts w:ascii="Arial" w:cs="Arial" w:eastAsia="Arial" w:hAnsi="Arial"/>
                <w:sz w:val="16"/>
                <w:szCs w:val="16"/>
                <w:color w:val="0000EE"/>
              </w:rPr>
              <w:t>Forfeiture and Right of Recoupment</w:t>
            </w: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vMerge w:val="restart"/>
          </w:tcPr>
          <w:p>
            <w:pPr>
              <w:jc w:val="right"/>
              <w:spacing w:after="0" w:line="182" w:lineRule="exact"/>
              <w:rPr>
                <w:sz w:val="20"/>
                <w:szCs w:val="20"/>
                <w:color w:val="auto"/>
              </w:rPr>
            </w:pPr>
            <w:r>
              <w:rPr>
                <w:rFonts w:ascii="Arial" w:cs="Arial" w:eastAsia="Arial" w:hAnsi="Arial"/>
                <w:sz w:val="16"/>
                <w:szCs w:val="16"/>
                <w:color w:val="auto"/>
              </w:rPr>
              <w:t>65</w:t>
            </w:r>
          </w:p>
        </w:tc>
        <w:tc>
          <w:tcPr>
            <w:tcW w:w="0" w:type="dxa"/>
            <w:vAlign w:val="bottom"/>
          </w:tcPr>
          <w:p>
            <w:pPr>
              <w:spacing w:after="0" w:line="20" w:lineRule="exact"/>
              <w:rPr>
                <w:sz w:val="1"/>
                <w:szCs w:val="1"/>
                <w:color w:val="auto"/>
              </w:rPr>
            </w:pPr>
          </w:p>
        </w:tc>
      </w:tr>
      <w:tr>
        <w:trPr>
          <w:trHeight w:val="162"/>
        </w:trPr>
        <w:tc>
          <w:tcPr>
            <w:tcW w:w="1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80" w:type="dxa"/>
            <w:vAlign w:val="bottom"/>
            <w:gridSpan w:val="13"/>
          </w:tcPr>
          <w:p>
            <w:pPr>
              <w:spacing w:after="0" w:line="162" w:lineRule="exact"/>
              <w:rPr>
                <w:sz w:val="20"/>
                <w:szCs w:val="20"/>
                <w:color w:val="auto"/>
              </w:rPr>
            </w:pPr>
            <w:r>
              <w:rPr>
                <w:rFonts w:ascii="Arial" w:cs="Arial" w:eastAsia="Arial" w:hAnsi="Arial"/>
                <w:sz w:val="16"/>
                <w:szCs w:val="16"/>
                <w:color w:val="0000EE"/>
              </w:rPr>
              <w:t>Potential Post-Termination Benefits Table</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60" w:type="dxa"/>
            <w:vAlign w:val="bottom"/>
          </w:tcPr>
          <w:p>
            <w:pPr>
              <w:spacing w:after="0"/>
              <w:rPr>
                <w:sz w:val="11"/>
                <w:szCs w:val="11"/>
                <w:color w:val="auto"/>
              </w:rPr>
            </w:pPr>
          </w:p>
        </w:tc>
        <w:tc>
          <w:tcPr>
            <w:tcW w:w="3900" w:type="dxa"/>
            <w:vAlign w:val="bottom"/>
            <w:tcBorders>
              <w:bottom w:val="single" w:sz="8" w:color="284993"/>
            </w:tcBorders>
          </w:tcPr>
          <w:p>
            <w:pPr>
              <w:spacing w:after="0"/>
              <w:rPr>
                <w:sz w:val="11"/>
                <w:szCs w:val="11"/>
                <w:color w:val="auto"/>
              </w:rPr>
            </w:pPr>
          </w:p>
        </w:tc>
        <w:tc>
          <w:tcPr>
            <w:tcW w:w="260" w:type="dxa"/>
            <w:vAlign w:val="bottom"/>
            <w:tcBorders>
              <w:bottom w:val="single" w:sz="8" w:color="284993"/>
            </w:tcBorders>
          </w:tcPr>
          <w:p>
            <w:pPr>
              <w:spacing w:after="0"/>
              <w:rPr>
                <w:sz w:val="11"/>
                <w:szCs w:val="11"/>
                <w:color w:val="auto"/>
              </w:rPr>
            </w:pPr>
          </w:p>
        </w:tc>
        <w:tc>
          <w:tcPr>
            <w:tcW w:w="300" w:type="dxa"/>
            <w:vAlign w:val="bottom"/>
            <w:tcBorders>
              <w:bottom w:val="single" w:sz="8" w:color="284993"/>
            </w:tcBorders>
          </w:tcPr>
          <w:p>
            <w:pPr>
              <w:spacing w:after="0"/>
              <w:rPr>
                <w:sz w:val="11"/>
                <w:szCs w:val="11"/>
                <w:color w:val="auto"/>
              </w:rPr>
            </w:pPr>
          </w:p>
        </w:tc>
        <w:tc>
          <w:tcPr>
            <w:tcW w:w="1140" w:type="dxa"/>
            <w:vAlign w:val="bottom"/>
            <w:tcBorders>
              <w:top w:val="single" w:sz="8" w:color="0000EE"/>
              <w:bottom w:val="single" w:sz="8" w:color="284993"/>
            </w:tcBorders>
          </w:tcPr>
          <w:p>
            <w:pPr>
              <w:spacing w:after="0"/>
              <w:rPr>
                <w:sz w:val="11"/>
                <w:szCs w:val="11"/>
                <w:color w:val="auto"/>
              </w:rPr>
            </w:pPr>
          </w:p>
        </w:tc>
        <w:tc>
          <w:tcPr>
            <w:tcW w:w="80" w:type="dxa"/>
            <w:vAlign w:val="bottom"/>
            <w:tcBorders>
              <w:top w:val="single" w:sz="8" w:color="0000EE"/>
              <w:bottom w:val="single" w:sz="8" w:color="284993"/>
            </w:tcBorders>
          </w:tcPr>
          <w:p>
            <w:pPr>
              <w:spacing w:after="0"/>
              <w:rPr>
                <w:sz w:val="11"/>
                <w:szCs w:val="11"/>
                <w:color w:val="auto"/>
              </w:rPr>
            </w:pPr>
          </w:p>
        </w:tc>
        <w:tc>
          <w:tcPr>
            <w:tcW w:w="720" w:type="dxa"/>
            <w:vAlign w:val="bottom"/>
            <w:tcBorders>
              <w:top w:val="single" w:sz="8" w:color="0000EE"/>
              <w:bottom w:val="single" w:sz="8" w:color="284993"/>
            </w:tcBorders>
          </w:tcPr>
          <w:p>
            <w:pPr>
              <w:spacing w:after="0"/>
              <w:rPr>
                <w:sz w:val="11"/>
                <w:szCs w:val="11"/>
                <w:color w:val="auto"/>
              </w:rPr>
            </w:pPr>
          </w:p>
        </w:tc>
        <w:tc>
          <w:tcPr>
            <w:tcW w:w="200" w:type="dxa"/>
            <w:vAlign w:val="bottom"/>
            <w:tcBorders>
              <w:top w:val="single" w:sz="8" w:color="0000EE"/>
              <w:bottom w:val="single" w:sz="8" w:color="284993"/>
            </w:tcBorders>
          </w:tcPr>
          <w:p>
            <w:pPr>
              <w:spacing w:after="0"/>
              <w:rPr>
                <w:sz w:val="11"/>
                <w:szCs w:val="11"/>
                <w:color w:val="auto"/>
              </w:rPr>
            </w:pPr>
          </w:p>
        </w:tc>
        <w:tc>
          <w:tcPr>
            <w:tcW w:w="60" w:type="dxa"/>
            <w:vAlign w:val="bottom"/>
            <w:tcBorders>
              <w:top w:val="single" w:sz="8" w:color="0000EE"/>
              <w:bottom w:val="single" w:sz="8" w:color="284993"/>
            </w:tcBorders>
          </w:tcPr>
          <w:p>
            <w:pPr>
              <w:spacing w:after="0"/>
              <w:rPr>
                <w:sz w:val="11"/>
                <w:szCs w:val="11"/>
                <w:color w:val="auto"/>
              </w:rPr>
            </w:pPr>
          </w:p>
        </w:tc>
        <w:tc>
          <w:tcPr>
            <w:tcW w:w="280" w:type="dxa"/>
            <w:vAlign w:val="bottom"/>
            <w:tcBorders>
              <w:top w:val="single" w:sz="8" w:color="0000EE"/>
              <w:bottom w:val="single" w:sz="8" w:color="284993"/>
            </w:tcBorders>
          </w:tcPr>
          <w:p>
            <w:pPr>
              <w:spacing w:after="0"/>
              <w:rPr>
                <w:sz w:val="11"/>
                <w:szCs w:val="11"/>
                <w:color w:val="auto"/>
              </w:rPr>
            </w:pPr>
          </w:p>
        </w:tc>
        <w:tc>
          <w:tcPr>
            <w:tcW w:w="380" w:type="dxa"/>
            <w:vAlign w:val="bottom"/>
            <w:tcBorders>
              <w:top w:val="single" w:sz="8" w:color="0000EE"/>
              <w:bottom w:val="single" w:sz="8" w:color="284993"/>
            </w:tcBorders>
          </w:tcPr>
          <w:p>
            <w:pPr>
              <w:spacing w:after="0"/>
              <w:rPr>
                <w:sz w:val="11"/>
                <w:szCs w:val="11"/>
                <w:color w:val="auto"/>
              </w:rPr>
            </w:pPr>
          </w:p>
        </w:tc>
        <w:tc>
          <w:tcPr>
            <w:tcW w:w="140" w:type="dxa"/>
            <w:vAlign w:val="bottom"/>
            <w:tcBorders>
              <w:bottom w:val="single" w:sz="8" w:color="284993"/>
            </w:tcBorders>
          </w:tcPr>
          <w:p>
            <w:pPr>
              <w:spacing w:after="0"/>
              <w:rPr>
                <w:sz w:val="11"/>
                <w:szCs w:val="11"/>
                <w:color w:val="auto"/>
              </w:rPr>
            </w:pPr>
          </w:p>
        </w:tc>
        <w:tc>
          <w:tcPr>
            <w:tcW w:w="60" w:type="dxa"/>
            <w:vAlign w:val="bottom"/>
            <w:tcBorders>
              <w:bottom w:val="single" w:sz="8" w:color="284993"/>
            </w:tcBorders>
          </w:tcPr>
          <w:p>
            <w:pPr>
              <w:spacing w:after="0"/>
              <w:rPr>
                <w:sz w:val="11"/>
                <w:szCs w:val="11"/>
                <w:color w:val="auto"/>
              </w:rPr>
            </w:pPr>
          </w:p>
        </w:tc>
        <w:tc>
          <w:tcPr>
            <w:tcW w:w="260" w:type="dxa"/>
            <w:vAlign w:val="bottom"/>
            <w:tcBorders>
              <w:bottom w:val="single" w:sz="8" w:color="284993"/>
            </w:tcBorders>
          </w:tcPr>
          <w:p>
            <w:pPr>
              <w:spacing w:after="0"/>
              <w:rPr>
                <w:sz w:val="11"/>
                <w:szCs w:val="11"/>
                <w:color w:val="auto"/>
              </w:rPr>
            </w:pPr>
          </w:p>
        </w:tc>
        <w:tc>
          <w:tcPr>
            <w:tcW w:w="40" w:type="dxa"/>
            <w:vAlign w:val="bottom"/>
            <w:tcBorders>
              <w:bottom w:val="single" w:sz="8" w:color="284993"/>
            </w:tcBorders>
          </w:tcPr>
          <w:p>
            <w:pPr>
              <w:spacing w:after="0"/>
              <w:rPr>
                <w:sz w:val="11"/>
                <w:szCs w:val="11"/>
                <w:color w:val="auto"/>
              </w:rPr>
            </w:pPr>
          </w:p>
        </w:tc>
        <w:tc>
          <w:tcPr>
            <w:tcW w:w="340" w:type="dxa"/>
            <w:vAlign w:val="bottom"/>
            <w:tcBorders>
              <w:bottom w:val="single" w:sz="8" w:color="284993"/>
            </w:tcBorders>
          </w:tcPr>
          <w:p>
            <w:pPr>
              <w:spacing w:after="0"/>
              <w:rPr>
                <w:sz w:val="11"/>
                <w:szCs w:val="11"/>
                <w:color w:val="auto"/>
              </w:rPr>
            </w:pPr>
          </w:p>
        </w:tc>
        <w:tc>
          <w:tcPr>
            <w:tcW w:w="80" w:type="dxa"/>
            <w:vAlign w:val="bottom"/>
            <w:tcBorders>
              <w:bottom w:val="single" w:sz="8" w:color="284993"/>
            </w:tcBorders>
          </w:tcPr>
          <w:p>
            <w:pPr>
              <w:spacing w:after="0"/>
              <w:rPr>
                <w:sz w:val="11"/>
                <w:szCs w:val="11"/>
                <w:color w:val="auto"/>
              </w:rPr>
            </w:pPr>
          </w:p>
        </w:tc>
        <w:tc>
          <w:tcPr>
            <w:tcW w:w="940" w:type="dxa"/>
            <w:vAlign w:val="bottom"/>
            <w:tcBorders>
              <w:bottom w:val="single" w:sz="8" w:color="284993"/>
            </w:tcBorders>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160" w:type="dxa"/>
            <w:vAlign w:val="bottom"/>
          </w:tcPr>
          <w:p>
            <w:pPr>
              <w:spacing w:after="0"/>
              <w:rPr>
                <w:sz w:val="21"/>
                <w:szCs w:val="21"/>
                <w:color w:val="auto"/>
              </w:rPr>
            </w:pPr>
          </w:p>
        </w:tc>
        <w:tc>
          <w:tcPr>
            <w:tcW w:w="3900" w:type="dxa"/>
            <w:vAlign w:val="bottom"/>
          </w:tcPr>
          <w:p>
            <w:pPr>
              <w:ind w:left="80"/>
              <w:spacing w:after="0" w:line="252" w:lineRule="exact"/>
              <w:rPr>
                <w:sz w:val="20"/>
                <w:szCs w:val="20"/>
                <w:color w:val="auto"/>
              </w:rPr>
            </w:pPr>
            <w:r>
              <w:rPr>
                <w:rFonts w:ascii="Arial" w:cs="Arial" w:eastAsia="Arial" w:hAnsi="Arial"/>
                <w:sz w:val="24"/>
                <w:szCs w:val="24"/>
                <w:color w:val="284993"/>
              </w:rPr>
              <w:t>Pay Ratio Disclosure</w:t>
            </w:r>
          </w:p>
        </w:tc>
        <w:tc>
          <w:tcPr>
            <w:tcW w:w="4340" w:type="dxa"/>
            <w:vAlign w:val="bottom"/>
            <w:gridSpan w:val="15"/>
          </w:tcPr>
          <w:p>
            <w:pPr>
              <w:ind w:left="260"/>
              <w:spacing w:after="0"/>
              <w:rPr>
                <w:sz w:val="20"/>
                <w:szCs w:val="20"/>
                <w:color w:val="auto"/>
              </w:rPr>
            </w:pPr>
            <w:r>
              <w:rPr>
                <w:rFonts w:ascii="Arial" w:cs="Arial" w:eastAsia="Arial" w:hAnsi="Arial"/>
                <w:sz w:val="16"/>
                <w:szCs w:val="16"/>
                <w:color w:val="0000EE"/>
              </w:rPr>
              <w:t>Pay Ratio Disclosure</w:t>
            </w:r>
          </w:p>
        </w:tc>
        <w:tc>
          <w:tcPr>
            <w:tcW w:w="94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36"/>
        </w:trPr>
        <w:tc>
          <w:tcPr>
            <w:tcW w:w="160" w:type="dxa"/>
            <w:vAlign w:val="bottom"/>
            <w:tcBorders>
              <w:bottom w:val="single" w:sz="8" w:color="284993"/>
            </w:tcBorders>
          </w:tcPr>
          <w:p>
            <w:pPr>
              <w:spacing w:after="0"/>
              <w:rPr>
                <w:sz w:val="11"/>
                <w:szCs w:val="11"/>
                <w:color w:val="auto"/>
              </w:rPr>
            </w:pPr>
          </w:p>
        </w:tc>
        <w:tc>
          <w:tcPr>
            <w:tcW w:w="3900" w:type="dxa"/>
            <w:vAlign w:val="bottom"/>
            <w:tcBorders>
              <w:bottom w:val="single" w:sz="8" w:color="284993"/>
            </w:tcBorders>
          </w:tcPr>
          <w:p>
            <w:pPr>
              <w:spacing w:after="0"/>
              <w:rPr>
                <w:sz w:val="11"/>
                <w:szCs w:val="11"/>
                <w:color w:val="auto"/>
              </w:rPr>
            </w:pPr>
          </w:p>
        </w:tc>
        <w:tc>
          <w:tcPr>
            <w:tcW w:w="260" w:type="dxa"/>
            <w:vAlign w:val="bottom"/>
            <w:tcBorders>
              <w:bottom w:val="single" w:sz="8" w:color="284993"/>
            </w:tcBorders>
          </w:tcPr>
          <w:p>
            <w:pPr>
              <w:spacing w:after="0"/>
              <w:rPr>
                <w:sz w:val="11"/>
                <w:szCs w:val="11"/>
                <w:color w:val="auto"/>
              </w:rPr>
            </w:pPr>
          </w:p>
        </w:tc>
        <w:tc>
          <w:tcPr>
            <w:tcW w:w="300" w:type="dxa"/>
            <w:vAlign w:val="bottom"/>
            <w:tcBorders>
              <w:top w:val="single" w:sz="8" w:color="0000EE"/>
              <w:bottom w:val="single" w:sz="8" w:color="284993"/>
            </w:tcBorders>
          </w:tcPr>
          <w:p>
            <w:pPr>
              <w:spacing w:after="0"/>
              <w:rPr>
                <w:sz w:val="11"/>
                <w:szCs w:val="11"/>
                <w:color w:val="auto"/>
              </w:rPr>
            </w:pPr>
          </w:p>
        </w:tc>
        <w:tc>
          <w:tcPr>
            <w:tcW w:w="1140" w:type="dxa"/>
            <w:vAlign w:val="bottom"/>
            <w:tcBorders>
              <w:top w:val="single" w:sz="8" w:color="0000EE"/>
              <w:bottom w:val="single" w:sz="8" w:color="284993"/>
            </w:tcBorders>
          </w:tcPr>
          <w:p>
            <w:pPr>
              <w:spacing w:after="0"/>
              <w:rPr>
                <w:sz w:val="11"/>
                <w:szCs w:val="11"/>
                <w:color w:val="auto"/>
              </w:rPr>
            </w:pPr>
          </w:p>
        </w:tc>
        <w:tc>
          <w:tcPr>
            <w:tcW w:w="80" w:type="dxa"/>
            <w:vAlign w:val="bottom"/>
            <w:tcBorders>
              <w:bottom w:val="single" w:sz="8" w:color="284993"/>
            </w:tcBorders>
          </w:tcPr>
          <w:p>
            <w:pPr>
              <w:spacing w:after="0"/>
              <w:rPr>
                <w:sz w:val="11"/>
                <w:szCs w:val="11"/>
                <w:color w:val="auto"/>
              </w:rPr>
            </w:pPr>
          </w:p>
        </w:tc>
        <w:tc>
          <w:tcPr>
            <w:tcW w:w="720" w:type="dxa"/>
            <w:vAlign w:val="bottom"/>
            <w:tcBorders>
              <w:bottom w:val="single" w:sz="8" w:color="284993"/>
            </w:tcBorders>
          </w:tcPr>
          <w:p>
            <w:pPr>
              <w:spacing w:after="0"/>
              <w:rPr>
                <w:sz w:val="11"/>
                <w:szCs w:val="11"/>
                <w:color w:val="auto"/>
              </w:rPr>
            </w:pPr>
          </w:p>
        </w:tc>
        <w:tc>
          <w:tcPr>
            <w:tcW w:w="200" w:type="dxa"/>
            <w:vAlign w:val="bottom"/>
            <w:tcBorders>
              <w:bottom w:val="single" w:sz="8" w:color="284993"/>
            </w:tcBorders>
          </w:tcPr>
          <w:p>
            <w:pPr>
              <w:spacing w:after="0"/>
              <w:rPr>
                <w:sz w:val="11"/>
                <w:szCs w:val="11"/>
                <w:color w:val="auto"/>
              </w:rPr>
            </w:pPr>
          </w:p>
        </w:tc>
        <w:tc>
          <w:tcPr>
            <w:tcW w:w="60" w:type="dxa"/>
            <w:vAlign w:val="bottom"/>
            <w:tcBorders>
              <w:bottom w:val="single" w:sz="8" w:color="284993"/>
            </w:tcBorders>
          </w:tcPr>
          <w:p>
            <w:pPr>
              <w:spacing w:after="0"/>
              <w:rPr>
                <w:sz w:val="11"/>
                <w:szCs w:val="11"/>
                <w:color w:val="auto"/>
              </w:rPr>
            </w:pPr>
          </w:p>
        </w:tc>
        <w:tc>
          <w:tcPr>
            <w:tcW w:w="280" w:type="dxa"/>
            <w:vAlign w:val="bottom"/>
            <w:tcBorders>
              <w:bottom w:val="single" w:sz="8" w:color="284993"/>
            </w:tcBorders>
          </w:tcPr>
          <w:p>
            <w:pPr>
              <w:spacing w:after="0"/>
              <w:rPr>
                <w:sz w:val="11"/>
                <w:szCs w:val="11"/>
                <w:color w:val="auto"/>
              </w:rPr>
            </w:pPr>
          </w:p>
        </w:tc>
        <w:tc>
          <w:tcPr>
            <w:tcW w:w="380" w:type="dxa"/>
            <w:vAlign w:val="bottom"/>
            <w:tcBorders>
              <w:bottom w:val="single" w:sz="8" w:color="284993"/>
            </w:tcBorders>
          </w:tcPr>
          <w:p>
            <w:pPr>
              <w:spacing w:after="0"/>
              <w:rPr>
                <w:sz w:val="11"/>
                <w:szCs w:val="11"/>
                <w:color w:val="auto"/>
              </w:rPr>
            </w:pPr>
          </w:p>
        </w:tc>
        <w:tc>
          <w:tcPr>
            <w:tcW w:w="140" w:type="dxa"/>
            <w:vAlign w:val="bottom"/>
            <w:tcBorders>
              <w:bottom w:val="single" w:sz="8" w:color="284993"/>
            </w:tcBorders>
          </w:tcPr>
          <w:p>
            <w:pPr>
              <w:spacing w:after="0"/>
              <w:rPr>
                <w:sz w:val="11"/>
                <w:szCs w:val="11"/>
                <w:color w:val="auto"/>
              </w:rPr>
            </w:pPr>
          </w:p>
        </w:tc>
        <w:tc>
          <w:tcPr>
            <w:tcW w:w="60" w:type="dxa"/>
            <w:vAlign w:val="bottom"/>
            <w:tcBorders>
              <w:bottom w:val="single" w:sz="8" w:color="284993"/>
            </w:tcBorders>
          </w:tcPr>
          <w:p>
            <w:pPr>
              <w:spacing w:after="0"/>
              <w:rPr>
                <w:sz w:val="11"/>
                <w:szCs w:val="11"/>
                <w:color w:val="auto"/>
              </w:rPr>
            </w:pPr>
          </w:p>
        </w:tc>
        <w:tc>
          <w:tcPr>
            <w:tcW w:w="260" w:type="dxa"/>
            <w:vAlign w:val="bottom"/>
            <w:tcBorders>
              <w:bottom w:val="single" w:sz="8" w:color="284993"/>
            </w:tcBorders>
          </w:tcPr>
          <w:p>
            <w:pPr>
              <w:spacing w:after="0"/>
              <w:rPr>
                <w:sz w:val="11"/>
                <w:szCs w:val="11"/>
                <w:color w:val="auto"/>
              </w:rPr>
            </w:pPr>
          </w:p>
        </w:tc>
        <w:tc>
          <w:tcPr>
            <w:tcW w:w="40" w:type="dxa"/>
            <w:vAlign w:val="bottom"/>
            <w:tcBorders>
              <w:bottom w:val="single" w:sz="8" w:color="284993"/>
            </w:tcBorders>
          </w:tcPr>
          <w:p>
            <w:pPr>
              <w:spacing w:after="0"/>
              <w:rPr>
                <w:sz w:val="11"/>
                <w:szCs w:val="11"/>
                <w:color w:val="auto"/>
              </w:rPr>
            </w:pPr>
          </w:p>
        </w:tc>
        <w:tc>
          <w:tcPr>
            <w:tcW w:w="340" w:type="dxa"/>
            <w:vAlign w:val="bottom"/>
            <w:tcBorders>
              <w:bottom w:val="single" w:sz="8" w:color="284993"/>
            </w:tcBorders>
          </w:tcPr>
          <w:p>
            <w:pPr>
              <w:spacing w:after="0"/>
              <w:rPr>
                <w:sz w:val="11"/>
                <w:szCs w:val="11"/>
                <w:color w:val="auto"/>
              </w:rPr>
            </w:pPr>
          </w:p>
        </w:tc>
        <w:tc>
          <w:tcPr>
            <w:tcW w:w="80" w:type="dxa"/>
            <w:vAlign w:val="bottom"/>
            <w:tcBorders>
              <w:bottom w:val="single" w:sz="8" w:color="284993"/>
            </w:tcBorders>
          </w:tcPr>
          <w:p>
            <w:pPr>
              <w:spacing w:after="0"/>
              <w:rPr>
                <w:sz w:val="11"/>
                <w:szCs w:val="11"/>
                <w:color w:val="auto"/>
              </w:rPr>
            </w:pPr>
          </w:p>
        </w:tc>
        <w:tc>
          <w:tcPr>
            <w:tcW w:w="940" w:type="dxa"/>
            <w:vAlign w:val="bottom"/>
            <w:tcBorders>
              <w:bottom w:val="single" w:sz="8" w:color="284993"/>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60" w:type="dxa"/>
            <w:vAlign w:val="bottom"/>
          </w:tcPr>
          <w:p>
            <w:pPr>
              <w:spacing w:after="0"/>
              <w:rPr>
                <w:sz w:val="17"/>
                <w:szCs w:val="17"/>
                <w:color w:val="auto"/>
              </w:rPr>
            </w:pPr>
          </w:p>
        </w:tc>
        <w:tc>
          <w:tcPr>
            <w:tcW w:w="3900" w:type="dxa"/>
            <w:vAlign w:val="bottom"/>
          </w:tcPr>
          <w:p>
            <w:pPr>
              <w:ind w:left="80"/>
              <w:spacing w:after="0" w:line="194" w:lineRule="exact"/>
              <w:rPr>
                <w:sz w:val="20"/>
                <w:szCs w:val="20"/>
                <w:color w:val="auto"/>
              </w:rPr>
            </w:pPr>
            <w:r>
              <w:rPr>
                <w:rFonts w:ascii="Arial" w:cs="Arial" w:eastAsia="Arial" w:hAnsi="Arial"/>
                <w:sz w:val="22"/>
                <w:szCs w:val="22"/>
                <w:color w:val="284993"/>
              </w:rPr>
              <w:t>Pay Versus Performance</w:t>
            </w:r>
          </w:p>
        </w:tc>
        <w:tc>
          <w:tcPr>
            <w:tcW w:w="4340" w:type="dxa"/>
            <w:vAlign w:val="bottom"/>
            <w:gridSpan w:val="15"/>
          </w:tcPr>
          <w:p>
            <w:pPr>
              <w:ind w:left="260"/>
              <w:spacing w:after="0"/>
              <w:rPr>
                <w:sz w:val="20"/>
                <w:szCs w:val="20"/>
                <w:color w:val="auto"/>
              </w:rPr>
            </w:pPr>
            <w:r>
              <w:rPr>
                <w:rFonts w:ascii="Arial" w:cs="Arial" w:eastAsia="Arial" w:hAnsi="Arial"/>
                <w:sz w:val="16"/>
                <w:szCs w:val="16"/>
                <w:color w:val="0000EE"/>
              </w:rPr>
              <w:t>Pay Versus Performance Disclosure</w:t>
            </w:r>
          </w:p>
        </w:tc>
        <w:tc>
          <w:tcPr>
            <w:tcW w:w="94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3900" w:type="dxa"/>
            <w:vAlign w:val="bottom"/>
            <w:vMerge w:val="restart"/>
          </w:tcPr>
          <w:p>
            <w:pPr>
              <w:ind w:left="80"/>
              <w:spacing w:after="0"/>
              <w:rPr>
                <w:sz w:val="20"/>
                <w:szCs w:val="20"/>
                <w:color w:val="auto"/>
              </w:rPr>
            </w:pPr>
            <w:r>
              <w:rPr>
                <w:rFonts w:ascii="Arial" w:cs="Arial" w:eastAsia="Arial" w:hAnsi="Arial"/>
                <w:sz w:val="24"/>
                <w:szCs w:val="24"/>
                <w:color w:val="284993"/>
              </w:rPr>
              <w:t>Disclosure</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20" w:type="dxa"/>
            <w:vAlign w:val="bottom"/>
            <w:tcBorders>
              <w:bottom w:val="single" w:sz="8" w:color="0000EE"/>
            </w:tcBorders>
            <w:gridSpan w:val="10"/>
          </w:tcPr>
          <w:p>
            <w:pPr>
              <w:spacing w:after="0" w:line="175" w:lineRule="exact"/>
              <w:rPr>
                <w:sz w:val="20"/>
                <w:szCs w:val="20"/>
                <w:color w:val="auto"/>
              </w:rPr>
            </w:pPr>
            <w:r>
              <w:rPr>
                <w:rFonts w:ascii="Arial" w:cs="Arial" w:eastAsia="Arial" w:hAnsi="Arial"/>
                <w:sz w:val="16"/>
                <w:szCs w:val="16"/>
                <w:color w:val="0000EE"/>
                <w:w w:val="96"/>
              </w:rPr>
              <w:t>Tabular List of Financial Performance Measures</w:t>
            </w:r>
          </w:p>
        </w:tc>
        <w:tc>
          <w:tcPr>
            <w:tcW w:w="460" w:type="dxa"/>
            <w:vAlign w:val="bottom"/>
            <w:gridSpan w:val="3"/>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9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780" w:type="dxa"/>
            <w:vAlign w:val="bottom"/>
            <w:gridSpan w:val="13"/>
          </w:tcPr>
          <w:p>
            <w:pPr>
              <w:spacing w:after="0" w:line="175" w:lineRule="exact"/>
              <w:rPr>
                <w:sz w:val="20"/>
                <w:szCs w:val="20"/>
                <w:color w:val="auto"/>
              </w:rPr>
            </w:pPr>
            <w:r>
              <w:rPr>
                <w:rFonts w:ascii="Arial" w:cs="Arial" w:eastAsia="Arial" w:hAnsi="Arial"/>
                <w:sz w:val="16"/>
                <w:szCs w:val="16"/>
                <w:color w:val="0000EE"/>
              </w:rPr>
              <w:t>Relationship Between Pay and Performance</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36"/>
        </w:trPr>
        <w:tc>
          <w:tcPr>
            <w:tcW w:w="160" w:type="dxa"/>
            <w:vAlign w:val="bottom"/>
            <w:tcBorders>
              <w:bottom w:val="single" w:sz="8" w:color="284993"/>
            </w:tcBorders>
          </w:tcPr>
          <w:p>
            <w:pPr>
              <w:spacing w:after="0"/>
              <w:rPr>
                <w:sz w:val="11"/>
                <w:szCs w:val="11"/>
                <w:color w:val="auto"/>
              </w:rPr>
            </w:pPr>
          </w:p>
        </w:tc>
        <w:tc>
          <w:tcPr>
            <w:tcW w:w="3900" w:type="dxa"/>
            <w:vAlign w:val="bottom"/>
            <w:tcBorders>
              <w:bottom w:val="single" w:sz="8" w:color="284993"/>
            </w:tcBorders>
          </w:tcPr>
          <w:p>
            <w:pPr>
              <w:spacing w:after="0"/>
              <w:rPr>
                <w:sz w:val="11"/>
                <w:szCs w:val="11"/>
                <w:color w:val="auto"/>
              </w:rPr>
            </w:pPr>
          </w:p>
        </w:tc>
        <w:tc>
          <w:tcPr>
            <w:tcW w:w="260" w:type="dxa"/>
            <w:vAlign w:val="bottom"/>
            <w:tcBorders>
              <w:bottom w:val="single" w:sz="8" w:color="284993"/>
            </w:tcBorders>
          </w:tcPr>
          <w:p>
            <w:pPr>
              <w:spacing w:after="0"/>
              <w:rPr>
                <w:sz w:val="11"/>
                <w:szCs w:val="11"/>
                <w:color w:val="auto"/>
              </w:rPr>
            </w:pPr>
          </w:p>
        </w:tc>
        <w:tc>
          <w:tcPr>
            <w:tcW w:w="300" w:type="dxa"/>
            <w:vAlign w:val="bottom"/>
            <w:tcBorders>
              <w:bottom w:val="single" w:sz="8" w:color="284993"/>
            </w:tcBorders>
          </w:tcPr>
          <w:p>
            <w:pPr>
              <w:spacing w:after="0"/>
              <w:rPr>
                <w:sz w:val="11"/>
                <w:szCs w:val="11"/>
                <w:color w:val="auto"/>
              </w:rPr>
            </w:pPr>
          </w:p>
        </w:tc>
        <w:tc>
          <w:tcPr>
            <w:tcW w:w="1140" w:type="dxa"/>
            <w:vAlign w:val="bottom"/>
            <w:tcBorders>
              <w:top w:val="single" w:sz="8" w:color="0000EE"/>
              <w:bottom w:val="single" w:sz="8" w:color="284993"/>
            </w:tcBorders>
          </w:tcPr>
          <w:p>
            <w:pPr>
              <w:spacing w:after="0"/>
              <w:rPr>
                <w:sz w:val="11"/>
                <w:szCs w:val="11"/>
                <w:color w:val="auto"/>
              </w:rPr>
            </w:pPr>
          </w:p>
        </w:tc>
        <w:tc>
          <w:tcPr>
            <w:tcW w:w="80" w:type="dxa"/>
            <w:vAlign w:val="bottom"/>
            <w:tcBorders>
              <w:top w:val="single" w:sz="8" w:color="0000EE"/>
              <w:bottom w:val="single" w:sz="8" w:color="284993"/>
            </w:tcBorders>
          </w:tcPr>
          <w:p>
            <w:pPr>
              <w:spacing w:after="0"/>
              <w:rPr>
                <w:sz w:val="11"/>
                <w:szCs w:val="11"/>
                <w:color w:val="auto"/>
              </w:rPr>
            </w:pPr>
          </w:p>
        </w:tc>
        <w:tc>
          <w:tcPr>
            <w:tcW w:w="720" w:type="dxa"/>
            <w:vAlign w:val="bottom"/>
            <w:tcBorders>
              <w:top w:val="single" w:sz="8" w:color="0000EE"/>
              <w:bottom w:val="single" w:sz="8" w:color="284993"/>
            </w:tcBorders>
          </w:tcPr>
          <w:p>
            <w:pPr>
              <w:spacing w:after="0"/>
              <w:rPr>
                <w:sz w:val="11"/>
                <w:szCs w:val="11"/>
                <w:color w:val="auto"/>
              </w:rPr>
            </w:pPr>
          </w:p>
        </w:tc>
        <w:tc>
          <w:tcPr>
            <w:tcW w:w="200" w:type="dxa"/>
            <w:vAlign w:val="bottom"/>
            <w:tcBorders>
              <w:top w:val="single" w:sz="8" w:color="0000EE"/>
              <w:bottom w:val="single" w:sz="8" w:color="284993"/>
            </w:tcBorders>
          </w:tcPr>
          <w:p>
            <w:pPr>
              <w:spacing w:after="0"/>
              <w:rPr>
                <w:sz w:val="11"/>
                <w:szCs w:val="11"/>
                <w:color w:val="auto"/>
              </w:rPr>
            </w:pPr>
          </w:p>
        </w:tc>
        <w:tc>
          <w:tcPr>
            <w:tcW w:w="60" w:type="dxa"/>
            <w:vAlign w:val="bottom"/>
            <w:tcBorders>
              <w:top w:val="single" w:sz="8" w:color="0000EE"/>
              <w:bottom w:val="single" w:sz="8" w:color="284993"/>
            </w:tcBorders>
          </w:tcPr>
          <w:p>
            <w:pPr>
              <w:spacing w:after="0"/>
              <w:rPr>
                <w:sz w:val="11"/>
                <w:szCs w:val="11"/>
                <w:color w:val="auto"/>
              </w:rPr>
            </w:pPr>
          </w:p>
        </w:tc>
        <w:tc>
          <w:tcPr>
            <w:tcW w:w="280" w:type="dxa"/>
            <w:vAlign w:val="bottom"/>
            <w:tcBorders>
              <w:top w:val="single" w:sz="8" w:color="0000EE"/>
              <w:bottom w:val="single" w:sz="8" w:color="284993"/>
            </w:tcBorders>
          </w:tcPr>
          <w:p>
            <w:pPr>
              <w:spacing w:after="0"/>
              <w:rPr>
                <w:sz w:val="11"/>
                <w:szCs w:val="11"/>
                <w:color w:val="auto"/>
              </w:rPr>
            </w:pPr>
          </w:p>
        </w:tc>
        <w:tc>
          <w:tcPr>
            <w:tcW w:w="380" w:type="dxa"/>
            <w:vAlign w:val="bottom"/>
            <w:tcBorders>
              <w:top w:val="single" w:sz="8" w:color="0000EE"/>
              <w:bottom w:val="single" w:sz="8" w:color="284993"/>
            </w:tcBorders>
          </w:tcPr>
          <w:p>
            <w:pPr>
              <w:spacing w:after="0"/>
              <w:rPr>
                <w:sz w:val="11"/>
                <w:szCs w:val="11"/>
                <w:color w:val="auto"/>
              </w:rPr>
            </w:pPr>
          </w:p>
        </w:tc>
        <w:tc>
          <w:tcPr>
            <w:tcW w:w="140" w:type="dxa"/>
            <w:vAlign w:val="bottom"/>
            <w:tcBorders>
              <w:top w:val="single" w:sz="8" w:color="0000EE"/>
              <w:bottom w:val="single" w:sz="8" w:color="284993"/>
            </w:tcBorders>
          </w:tcPr>
          <w:p>
            <w:pPr>
              <w:spacing w:after="0"/>
              <w:rPr>
                <w:sz w:val="11"/>
                <w:szCs w:val="11"/>
                <w:color w:val="auto"/>
              </w:rPr>
            </w:pPr>
          </w:p>
        </w:tc>
        <w:tc>
          <w:tcPr>
            <w:tcW w:w="60" w:type="dxa"/>
            <w:vAlign w:val="bottom"/>
            <w:tcBorders>
              <w:top w:val="single" w:sz="8" w:color="0000EE"/>
              <w:bottom w:val="single" w:sz="8" w:color="284993"/>
            </w:tcBorders>
          </w:tcPr>
          <w:p>
            <w:pPr>
              <w:spacing w:after="0"/>
              <w:rPr>
                <w:sz w:val="11"/>
                <w:szCs w:val="11"/>
                <w:color w:val="auto"/>
              </w:rPr>
            </w:pPr>
          </w:p>
        </w:tc>
        <w:tc>
          <w:tcPr>
            <w:tcW w:w="260" w:type="dxa"/>
            <w:vAlign w:val="bottom"/>
            <w:tcBorders>
              <w:bottom w:val="single" w:sz="8" w:color="284993"/>
            </w:tcBorders>
          </w:tcPr>
          <w:p>
            <w:pPr>
              <w:spacing w:after="0"/>
              <w:rPr>
                <w:sz w:val="11"/>
                <w:szCs w:val="11"/>
                <w:color w:val="auto"/>
              </w:rPr>
            </w:pPr>
          </w:p>
        </w:tc>
        <w:tc>
          <w:tcPr>
            <w:tcW w:w="40" w:type="dxa"/>
            <w:vAlign w:val="bottom"/>
            <w:tcBorders>
              <w:bottom w:val="single" w:sz="8" w:color="284993"/>
            </w:tcBorders>
          </w:tcPr>
          <w:p>
            <w:pPr>
              <w:spacing w:after="0"/>
              <w:rPr>
                <w:sz w:val="11"/>
                <w:szCs w:val="11"/>
                <w:color w:val="auto"/>
              </w:rPr>
            </w:pPr>
          </w:p>
        </w:tc>
        <w:tc>
          <w:tcPr>
            <w:tcW w:w="340" w:type="dxa"/>
            <w:vAlign w:val="bottom"/>
            <w:tcBorders>
              <w:bottom w:val="single" w:sz="8" w:color="284993"/>
            </w:tcBorders>
          </w:tcPr>
          <w:p>
            <w:pPr>
              <w:spacing w:after="0"/>
              <w:rPr>
                <w:sz w:val="11"/>
                <w:szCs w:val="11"/>
                <w:color w:val="auto"/>
              </w:rPr>
            </w:pPr>
          </w:p>
        </w:tc>
        <w:tc>
          <w:tcPr>
            <w:tcW w:w="80" w:type="dxa"/>
            <w:vAlign w:val="bottom"/>
            <w:tcBorders>
              <w:bottom w:val="single" w:sz="8" w:color="284993"/>
            </w:tcBorders>
          </w:tcPr>
          <w:p>
            <w:pPr>
              <w:spacing w:after="0"/>
              <w:rPr>
                <w:sz w:val="11"/>
                <w:szCs w:val="11"/>
                <w:color w:val="auto"/>
              </w:rPr>
            </w:pPr>
          </w:p>
        </w:tc>
        <w:tc>
          <w:tcPr>
            <w:tcW w:w="940" w:type="dxa"/>
            <w:vAlign w:val="bottom"/>
            <w:tcBorders>
              <w:bottom w:val="single" w:sz="8" w:color="284993"/>
            </w:tcBorders>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160" w:type="dxa"/>
            <w:vAlign w:val="bottom"/>
          </w:tcPr>
          <w:p>
            <w:pPr>
              <w:spacing w:after="0"/>
              <w:rPr>
                <w:sz w:val="20"/>
                <w:szCs w:val="20"/>
                <w:color w:val="auto"/>
              </w:rPr>
            </w:pPr>
          </w:p>
        </w:tc>
        <w:tc>
          <w:tcPr>
            <w:tcW w:w="3900" w:type="dxa"/>
            <w:vAlign w:val="bottom"/>
          </w:tcPr>
          <w:p>
            <w:pPr>
              <w:ind w:left="80"/>
              <w:spacing w:after="0" w:line="240" w:lineRule="exact"/>
              <w:rPr>
                <w:sz w:val="20"/>
                <w:szCs w:val="20"/>
                <w:color w:val="auto"/>
              </w:rPr>
            </w:pPr>
            <w:r>
              <w:rPr>
                <w:rFonts w:ascii="Arial" w:cs="Arial" w:eastAsia="Arial" w:hAnsi="Arial"/>
                <w:sz w:val="24"/>
                <w:szCs w:val="24"/>
                <w:color w:val="284993"/>
              </w:rPr>
              <w:t>Certain Relationships and</w:t>
            </w:r>
          </w:p>
        </w:tc>
        <w:tc>
          <w:tcPr>
            <w:tcW w:w="260" w:type="dxa"/>
            <w:vAlign w:val="bottom"/>
          </w:tcPr>
          <w:p>
            <w:pPr>
              <w:spacing w:after="0"/>
              <w:rPr>
                <w:sz w:val="20"/>
                <w:szCs w:val="20"/>
                <w:color w:val="auto"/>
              </w:rPr>
            </w:pPr>
          </w:p>
        </w:tc>
        <w:tc>
          <w:tcPr>
            <w:tcW w:w="3300" w:type="dxa"/>
            <w:vAlign w:val="bottom"/>
            <w:tcBorders>
              <w:bottom w:val="single" w:sz="8" w:color="0000EE"/>
            </w:tcBorders>
            <w:gridSpan w:val="9"/>
          </w:tcPr>
          <w:p>
            <w:pPr>
              <w:spacing w:after="0"/>
              <w:rPr>
                <w:sz w:val="20"/>
                <w:szCs w:val="20"/>
                <w:color w:val="auto"/>
              </w:rPr>
            </w:pPr>
            <w:r>
              <w:rPr>
                <w:rFonts w:ascii="Arial" w:cs="Arial" w:eastAsia="Arial" w:hAnsi="Arial"/>
                <w:sz w:val="16"/>
                <w:szCs w:val="16"/>
                <w:color w:val="0000EE"/>
                <w:w w:val="96"/>
              </w:rPr>
              <w:t>Certain Relationships and Related Transactions</w:t>
            </w:r>
          </w:p>
        </w:tc>
        <w:tc>
          <w:tcPr>
            <w:tcW w:w="700" w:type="dxa"/>
            <w:vAlign w:val="bottom"/>
            <w:gridSpan w:val="4"/>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3900" w:type="dxa"/>
            <w:vAlign w:val="bottom"/>
          </w:tcPr>
          <w:p>
            <w:pPr>
              <w:ind w:left="80"/>
              <w:spacing w:after="0" w:line="207" w:lineRule="exact"/>
              <w:rPr>
                <w:sz w:val="20"/>
                <w:szCs w:val="20"/>
                <w:color w:val="auto"/>
              </w:rPr>
            </w:pPr>
            <w:r>
              <w:rPr>
                <w:rFonts w:ascii="Arial" w:cs="Arial" w:eastAsia="Arial" w:hAnsi="Arial"/>
                <w:sz w:val="24"/>
                <w:szCs w:val="24"/>
                <w:color w:val="284993"/>
              </w:rPr>
              <w:t>Related Transactions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gridSpan w:val="13"/>
          </w:tcPr>
          <w:p>
            <w:pPr>
              <w:spacing w:after="0"/>
              <w:rPr>
                <w:sz w:val="20"/>
                <w:szCs w:val="20"/>
                <w:color w:val="auto"/>
              </w:rPr>
            </w:pPr>
            <w:r>
              <w:rPr>
                <w:rFonts w:ascii="Arial" w:cs="Arial" w:eastAsia="Arial" w:hAnsi="Arial"/>
                <w:sz w:val="16"/>
                <w:szCs w:val="16"/>
                <w:color w:val="0000EE"/>
                <w:w w:val="99"/>
              </w:rPr>
              <w:t>Review and Approval of Related Person Transactions</w:t>
            </w:r>
          </w:p>
        </w:tc>
        <w:tc>
          <w:tcPr>
            <w:tcW w:w="94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59410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ectPr>
          <w:pgSz w:w="11900" w:h="16838" w:orient="portrait"/>
          <w:cols w:equalWidth="0" w:num="1">
            <w:col w:w="9360"/>
          </w:cols>
          <w:pgMar w:left="1260" w:top="338" w:right="1279" w:bottom="1440" w:gutter="0" w:footer="0" w:header="0"/>
          <w:type w:val="continuous"/>
        </w:sectPr>
      </w:pPr>
    </w:p>
    <w:p>
      <w:pPr>
        <w:spacing w:after="0" w:line="269" w:lineRule="exact"/>
        <w:rPr>
          <w:sz w:val="20"/>
          <w:szCs w:val="20"/>
          <w:color w:val="auto"/>
        </w:rPr>
      </w:pPr>
    </w:p>
    <w:p>
      <w:pPr>
        <w:ind w:left="260" w:right="160"/>
        <w:spacing w:after="0" w:line="258" w:lineRule="auto"/>
        <w:rPr>
          <w:sz w:val="20"/>
          <w:szCs w:val="20"/>
          <w:color w:val="auto"/>
        </w:rPr>
      </w:pPr>
      <w:r>
        <w:rPr>
          <w:rFonts w:ascii="Arial" w:cs="Arial" w:eastAsia="Arial" w:hAnsi="Arial"/>
          <w:sz w:val="28"/>
          <w:szCs w:val="28"/>
          <w:color w:val="284993"/>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160020</wp:posOffset>
            </wp:positionV>
            <wp:extent cx="693420" cy="132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3420" cy="132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6"/>
              </w:rPr>
              <w:t>Compensation Committee Interlocks and Insider Participation</w:t>
            </w:r>
          </w:p>
        </w:tc>
        <w:tc>
          <w:tcPr>
            <w:tcW w:w="760" w:type="dxa"/>
            <w:vAlign w:val="bottom"/>
          </w:tcPr>
          <w:p>
            <w:pPr>
              <w:jc w:val="right"/>
              <w:spacing w:after="0"/>
              <w:rPr>
                <w:sz w:val="20"/>
                <w:szCs w:val="20"/>
                <w:color w:val="auto"/>
              </w:rPr>
            </w:pPr>
            <w:r>
              <w:rPr>
                <w:rFonts w:ascii="Arial" w:cs="Arial" w:eastAsia="Arial" w:hAnsi="Arial"/>
                <w:sz w:val="16"/>
                <w:szCs w:val="16"/>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-2747010</wp:posOffset>
            </wp:positionH>
            <wp:positionV relativeFrom="paragraph">
              <wp:posOffset>594360</wp:posOffset>
            </wp:positionV>
            <wp:extent cx="59410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1039" w:lineRule="exact"/>
        <w:rPr>
          <w:sz w:val="20"/>
          <w:szCs w:val="20"/>
          <w:color w:val="auto"/>
        </w:rPr>
      </w:pPr>
    </w:p>
    <w:p>
      <w:pPr>
        <w:sectPr>
          <w:pgSz w:w="11900" w:h="16838" w:orient="portrait"/>
          <w:cols w:equalWidth="0" w:num="2">
            <w:col w:w="3620" w:space="720"/>
            <w:col w:w="5020"/>
          </w:cols>
          <w:pgMar w:left="1260" w:top="338" w:right="127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ii</w:t>
      </w:r>
    </w:p>
    <w:p>
      <w:pPr>
        <w:sectPr>
          <w:pgSz w:w="11900" w:h="16838" w:orient="portrait"/>
          <w:cols w:equalWidth="0" w:num="1">
            <w:col w:w="9360"/>
          </w:cols>
          <w:pgMar w:left="1260" w:top="338" w:right="1279" w:bottom="1440" w:gutter="0" w:footer="0" w:header="0"/>
          <w:type w:val="continuous"/>
        </w:sectPr>
      </w:pPr>
    </w:p>
    <w:bookmarkStart w:id="5" w:name="page6"/>
    <w:bookmarkEnd w:id="5"/>
    <w:p>
      <w:pPr>
        <w:jc w:val="both"/>
        <w:ind w:left="80" w:right="240"/>
        <w:spacing w:after="0" w:line="258" w:lineRule="auto"/>
        <w:rPr>
          <w:sz w:val="20"/>
          <w:szCs w:val="20"/>
          <w:color w:val="auto"/>
        </w:rPr>
      </w:pPr>
      <w:r>
        <w:rPr>
          <w:rFonts w:ascii="Arial" w:cs="Arial" w:eastAsia="Arial" w:hAnsi="Arial"/>
          <w:sz w:val="28"/>
          <w:szCs w:val="28"/>
          <w:color w:val="284993"/>
        </w:rPr>
        <w:t>Delivery of Documents to Stockholders Sharing an Address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6"/>
              </w:rPr>
              <w:t>Delivery of Documents to Stockholders Sharing an Address</w:t>
            </w:r>
          </w:p>
        </w:tc>
        <w:tc>
          <w:tcPr>
            <w:tcW w:w="900" w:type="dxa"/>
            <w:vAlign w:val="bottom"/>
          </w:tcPr>
          <w:p>
            <w:pPr>
              <w:jc w:val="right"/>
              <w:spacing w:after="0"/>
              <w:rPr>
                <w:sz w:val="20"/>
                <w:szCs w:val="20"/>
                <w:color w:val="auto"/>
              </w:rPr>
            </w:pPr>
            <w:r>
              <w:rPr>
                <w:rFonts w:ascii="Arial" w:cs="Arial" w:eastAsia="Arial" w:hAnsi="Arial"/>
                <w:sz w:val="16"/>
                <w:szCs w:val="16"/>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-213995</wp:posOffset>
            </wp:positionV>
            <wp:extent cx="7179310" cy="53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9310" cy="53975"/>
                    </a:xfrm>
                    <a:prstGeom prst="rect">
                      <a:avLst/>
                    </a:prstGeom>
                    <a:noFill/>
                  </pic:spPr>
                </pic:pic>
              </a:graphicData>
            </a:graphic>
          </wp:anchor>
        </w:drawing>
        <w:drawing>
          <wp:anchor simplePos="0" relativeHeight="251657728" behindDoc="1" locked="0" layoutInCell="0" allowOverlap="1">
            <wp:simplePos x="0" y="0"/>
            <wp:positionH relativeFrom="column">
              <wp:posOffset>-2734310</wp:posOffset>
            </wp:positionH>
            <wp:positionV relativeFrom="paragraph">
              <wp:posOffset>594360</wp:posOffset>
            </wp:positionV>
            <wp:extent cx="59410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840" w:lineRule="exact"/>
        <w:rPr>
          <w:sz w:val="20"/>
          <w:szCs w:val="20"/>
          <w:color w:val="auto"/>
        </w:rPr>
      </w:pPr>
    </w:p>
    <w:p>
      <w:pPr>
        <w:sectPr>
          <w:pgSz w:w="11900" w:h="16838" w:orient="portrait"/>
          <w:cols w:equalWidth="0" w:num="2">
            <w:col w:w="3420" w:space="720"/>
            <w:col w:w="5040"/>
          </w:cols>
          <w:pgMar w:left="1440" w:top="278" w:right="1279" w:bottom="1440" w:gutter="0" w:footer="0" w:header="0"/>
        </w:sectPr>
      </w:pPr>
    </w:p>
    <w:tbl>
      <w:tblPr>
        <w:tblLayout w:type="fixed"/>
        <w:tblInd w:w="0" w:type="dxa"/>
        <w:tblCellMar>
          <w:top w:w="0" w:type="dxa"/>
          <w:left w:w="0" w:type="dxa"/>
          <w:bottom w:w="0" w:type="dxa"/>
          <w:right w:w="0" w:type="dxa"/>
        </w:tblCellMar>
      </w:tblPr>
      <w:tr>
        <w:trPr>
          <w:trHeight w:val="150"/>
        </w:trPr>
        <w:tc>
          <w:tcPr>
            <w:tcW w:w="4140" w:type="dxa"/>
            <w:vAlign w:val="bottom"/>
          </w:tcPr>
          <w:p>
            <w:pPr>
              <w:ind w:left="80"/>
              <w:spacing w:after="0" w:line="150" w:lineRule="exact"/>
              <w:rPr>
                <w:sz w:val="20"/>
                <w:szCs w:val="20"/>
                <w:color w:val="auto"/>
              </w:rPr>
            </w:pPr>
            <w:r>
              <w:rPr>
                <w:rFonts w:ascii="Arial" w:cs="Arial" w:eastAsia="Arial" w:hAnsi="Arial"/>
                <w:sz w:val="17"/>
                <w:szCs w:val="17"/>
                <w:color w:val="284993"/>
              </w:rPr>
              <w:t>Annual Report</w:t>
            </w:r>
          </w:p>
        </w:tc>
        <w:tc>
          <w:tcPr>
            <w:tcW w:w="3400" w:type="dxa"/>
            <w:vAlign w:val="bottom"/>
            <w:gridSpan w:val="4"/>
          </w:tcPr>
          <w:p>
            <w:pPr>
              <w:ind w:left="320"/>
              <w:spacing w:after="0" w:line="150" w:lineRule="exact"/>
              <w:rPr>
                <w:sz w:val="20"/>
                <w:szCs w:val="20"/>
                <w:color w:val="auto"/>
              </w:rPr>
            </w:pPr>
            <w:r>
              <w:rPr>
                <w:rFonts w:ascii="Arial" w:cs="Arial" w:eastAsia="Arial" w:hAnsi="Arial"/>
                <w:sz w:val="16"/>
                <w:szCs w:val="16"/>
                <w:color w:val="0000EE"/>
                <w:w w:val="96"/>
              </w:rPr>
              <w:t>Stockholder Communications with our Board</w:t>
            </w:r>
          </w:p>
        </w:tc>
        <w:tc>
          <w:tcPr>
            <w:tcW w:w="1640" w:type="dxa"/>
            <w:vAlign w:val="bottom"/>
          </w:tcPr>
          <w:p>
            <w:pPr>
              <w:jc w:val="right"/>
              <w:spacing w:after="0" w:line="150" w:lineRule="exact"/>
              <w:rPr>
                <w:sz w:val="20"/>
                <w:szCs w:val="20"/>
                <w:color w:val="auto"/>
              </w:rPr>
            </w:pPr>
            <w:r>
              <w:rPr>
                <w:rFonts w:ascii="Arial" w:cs="Arial" w:eastAsia="Arial" w:hAnsi="Arial"/>
                <w:sz w:val="16"/>
                <w:szCs w:val="16"/>
                <w:color w:val="auto"/>
              </w:rPr>
              <w:t>73</w:t>
            </w:r>
          </w:p>
        </w:tc>
      </w:tr>
      <w:tr>
        <w:trPr>
          <w:trHeight w:val="154"/>
        </w:trPr>
        <w:tc>
          <w:tcPr>
            <w:tcW w:w="4140" w:type="dxa"/>
            <w:vAlign w:val="bottom"/>
          </w:tcPr>
          <w:p>
            <w:pPr>
              <w:spacing w:after="0"/>
              <w:rPr>
                <w:sz w:val="13"/>
                <w:szCs w:val="13"/>
                <w:color w:val="auto"/>
              </w:rPr>
            </w:pPr>
          </w:p>
        </w:tc>
        <w:tc>
          <w:tcPr>
            <w:tcW w:w="3400" w:type="dxa"/>
            <w:vAlign w:val="bottom"/>
            <w:gridSpan w:val="4"/>
          </w:tcPr>
          <w:p>
            <w:pPr>
              <w:spacing w:after="0" w:line="155" w:lineRule="exact"/>
              <w:rPr>
                <w:sz w:val="20"/>
                <w:szCs w:val="20"/>
                <w:color w:val="auto"/>
              </w:rPr>
            </w:pPr>
            <w:r>
              <w:rPr>
                <w:rFonts w:ascii="Arial" w:cs="Arial" w:eastAsia="Arial" w:hAnsi="Arial"/>
                <w:sz w:val="16"/>
                <w:szCs w:val="16"/>
                <w:color w:val="0000EE"/>
              </w:rPr>
              <w:t>Annual Report</w:t>
            </w:r>
          </w:p>
        </w:tc>
        <w:tc>
          <w:tcPr>
            <w:tcW w:w="1640" w:type="dxa"/>
            <w:vAlign w:val="bottom"/>
          </w:tcPr>
          <w:p>
            <w:pPr>
              <w:jc w:val="right"/>
              <w:spacing w:after="0" w:line="155" w:lineRule="exact"/>
              <w:rPr>
                <w:sz w:val="20"/>
                <w:szCs w:val="20"/>
                <w:color w:val="auto"/>
              </w:rPr>
            </w:pPr>
            <w:r>
              <w:rPr>
                <w:rFonts w:ascii="Arial" w:cs="Arial" w:eastAsia="Arial" w:hAnsi="Arial"/>
                <w:sz w:val="16"/>
                <w:szCs w:val="16"/>
                <w:color w:val="auto"/>
              </w:rPr>
              <w:t>73</w:t>
            </w:r>
          </w:p>
        </w:tc>
      </w:tr>
      <w:tr>
        <w:trPr>
          <w:trHeight w:val="162"/>
        </w:trPr>
        <w:tc>
          <w:tcPr>
            <w:tcW w:w="4140" w:type="dxa"/>
            <w:vAlign w:val="bottom"/>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640" w:type="dxa"/>
            <w:vAlign w:val="bottom"/>
            <w:tcBorders>
              <w:top w:val="single" w:sz="8" w:color="0000EE"/>
              <w:bottom w:val="single" w:sz="8" w:color="0000EE"/>
            </w:tcBorders>
          </w:tcPr>
          <w:p>
            <w:pPr>
              <w:spacing w:after="0"/>
              <w:rPr>
                <w:sz w:val="14"/>
                <w:szCs w:val="14"/>
                <w:color w:val="auto"/>
              </w:rPr>
            </w:pPr>
          </w:p>
        </w:tc>
        <w:tc>
          <w:tcPr>
            <w:tcW w:w="40" w:type="dxa"/>
            <w:vAlign w:val="bottom"/>
            <w:tcBorders>
              <w:top w:val="single" w:sz="8" w:color="0000EE"/>
              <w:bottom w:val="single" w:sz="8" w:color="0000EE"/>
            </w:tcBorders>
          </w:tcPr>
          <w:p>
            <w:pPr>
              <w:spacing w:after="0"/>
              <w:rPr>
                <w:sz w:val="14"/>
                <w:szCs w:val="14"/>
                <w:color w:val="auto"/>
              </w:rPr>
            </w:pPr>
          </w:p>
        </w:tc>
        <w:tc>
          <w:tcPr>
            <w:tcW w:w="2400" w:type="dxa"/>
            <w:vAlign w:val="bottom"/>
            <w:tcBorders>
              <w:bottom w:val="single" w:sz="8" w:color="0000EE"/>
            </w:tcBorders>
          </w:tcPr>
          <w:p>
            <w:pPr>
              <w:spacing w:after="0"/>
              <w:rPr>
                <w:sz w:val="14"/>
                <w:szCs w:val="14"/>
                <w:color w:val="auto"/>
              </w:rPr>
            </w:pPr>
          </w:p>
        </w:tc>
        <w:tc>
          <w:tcPr>
            <w:tcW w:w="1640" w:type="dxa"/>
            <w:vAlign w:val="bottom"/>
          </w:tcPr>
          <w:p>
            <w:pPr>
              <w:spacing w:after="0"/>
              <w:rPr>
                <w:sz w:val="14"/>
                <w:szCs w:val="14"/>
                <w:color w:val="auto"/>
              </w:rPr>
            </w:pPr>
          </w:p>
        </w:tc>
      </w:tr>
      <w:tr>
        <w:trPr>
          <w:trHeight w:val="136"/>
        </w:trPr>
        <w:tc>
          <w:tcPr>
            <w:tcW w:w="4140" w:type="dxa"/>
            <w:vAlign w:val="bottom"/>
            <w:tcBorders>
              <w:bottom w:val="single" w:sz="8" w:color="284993"/>
            </w:tcBorders>
          </w:tcPr>
          <w:p>
            <w:pPr>
              <w:spacing w:after="0"/>
              <w:rPr>
                <w:sz w:val="11"/>
                <w:szCs w:val="11"/>
                <w:color w:val="auto"/>
              </w:rPr>
            </w:pPr>
          </w:p>
        </w:tc>
        <w:tc>
          <w:tcPr>
            <w:tcW w:w="320" w:type="dxa"/>
            <w:vAlign w:val="bottom"/>
            <w:tcBorders>
              <w:bottom w:val="single" w:sz="8" w:color="284993"/>
            </w:tcBorders>
          </w:tcPr>
          <w:p>
            <w:pPr>
              <w:spacing w:after="0"/>
              <w:rPr>
                <w:sz w:val="11"/>
                <w:szCs w:val="11"/>
                <w:color w:val="auto"/>
              </w:rPr>
            </w:pPr>
          </w:p>
        </w:tc>
        <w:tc>
          <w:tcPr>
            <w:tcW w:w="640" w:type="dxa"/>
            <w:vAlign w:val="bottom"/>
            <w:tcBorders>
              <w:bottom w:val="single" w:sz="8" w:color="284993"/>
            </w:tcBorders>
          </w:tcPr>
          <w:p>
            <w:pPr>
              <w:spacing w:after="0"/>
              <w:rPr>
                <w:sz w:val="11"/>
                <w:szCs w:val="11"/>
                <w:color w:val="auto"/>
              </w:rPr>
            </w:pPr>
          </w:p>
        </w:tc>
        <w:tc>
          <w:tcPr>
            <w:tcW w:w="40" w:type="dxa"/>
            <w:vAlign w:val="bottom"/>
            <w:tcBorders>
              <w:bottom w:val="single" w:sz="8" w:color="284993"/>
            </w:tcBorders>
          </w:tcPr>
          <w:p>
            <w:pPr>
              <w:spacing w:after="0"/>
              <w:rPr>
                <w:sz w:val="11"/>
                <w:szCs w:val="11"/>
                <w:color w:val="auto"/>
              </w:rPr>
            </w:pPr>
          </w:p>
        </w:tc>
        <w:tc>
          <w:tcPr>
            <w:tcW w:w="2400" w:type="dxa"/>
            <w:vAlign w:val="bottom"/>
            <w:tcBorders>
              <w:bottom w:val="single" w:sz="8" w:color="284993"/>
            </w:tcBorders>
          </w:tcPr>
          <w:p>
            <w:pPr>
              <w:spacing w:after="0"/>
              <w:rPr>
                <w:sz w:val="11"/>
                <w:szCs w:val="11"/>
                <w:color w:val="auto"/>
              </w:rPr>
            </w:pPr>
          </w:p>
        </w:tc>
        <w:tc>
          <w:tcPr>
            <w:tcW w:w="1640" w:type="dxa"/>
            <w:vAlign w:val="bottom"/>
            <w:tcBorders>
              <w:bottom w:val="single" w:sz="8" w:color="284993"/>
            </w:tcBorders>
          </w:tcPr>
          <w:p>
            <w:pPr>
              <w:spacing w:after="0"/>
              <w:rPr>
                <w:sz w:val="11"/>
                <w:szCs w:val="11"/>
                <w:color w:val="auto"/>
              </w:rPr>
            </w:pPr>
          </w:p>
        </w:tc>
      </w:tr>
      <w:tr>
        <w:trPr>
          <w:trHeight w:val="149"/>
        </w:trPr>
        <w:tc>
          <w:tcPr>
            <w:tcW w:w="4140" w:type="dxa"/>
            <w:vAlign w:val="bottom"/>
          </w:tcPr>
          <w:p>
            <w:pPr>
              <w:ind w:left="80"/>
              <w:spacing w:after="0" w:line="143" w:lineRule="exact"/>
              <w:rPr>
                <w:sz w:val="20"/>
                <w:szCs w:val="20"/>
                <w:color w:val="auto"/>
              </w:rPr>
            </w:pPr>
            <w:r>
              <w:rPr>
                <w:rFonts w:ascii="Arial" w:cs="Arial" w:eastAsia="Arial" w:hAnsi="Arial"/>
                <w:sz w:val="16"/>
                <w:szCs w:val="16"/>
                <w:color w:val="284993"/>
              </w:rPr>
              <w:t>Other Matters</w:t>
            </w:r>
          </w:p>
        </w:tc>
        <w:tc>
          <w:tcPr>
            <w:tcW w:w="960" w:type="dxa"/>
            <w:vAlign w:val="bottom"/>
            <w:tcBorders>
              <w:bottom w:val="single" w:sz="8" w:color="0000EE"/>
            </w:tcBorders>
            <w:gridSpan w:val="2"/>
          </w:tcPr>
          <w:p>
            <w:pPr>
              <w:spacing w:after="0" w:line="149" w:lineRule="exact"/>
              <w:rPr>
                <w:sz w:val="20"/>
                <w:szCs w:val="20"/>
                <w:color w:val="auto"/>
              </w:rPr>
            </w:pPr>
            <w:r>
              <w:rPr>
                <w:rFonts w:ascii="Arial" w:cs="Arial" w:eastAsia="Arial" w:hAnsi="Arial"/>
                <w:sz w:val="16"/>
                <w:szCs w:val="16"/>
                <w:color w:val="0000EE"/>
                <w:w w:val="96"/>
              </w:rPr>
              <w:t>Other Matters</w:t>
            </w:r>
          </w:p>
        </w:tc>
        <w:tc>
          <w:tcPr>
            <w:tcW w:w="2440" w:type="dxa"/>
            <w:vAlign w:val="bottom"/>
            <w:gridSpan w:val="2"/>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Arial" w:cs="Arial" w:eastAsia="Arial" w:hAnsi="Arial"/>
                <w:sz w:val="16"/>
                <w:szCs w:val="16"/>
                <w:color w:val="auto"/>
              </w:rPr>
              <w:t>74</w:t>
            </w:r>
          </w:p>
        </w:tc>
      </w:tr>
    </w:tbl>
    <w:p>
      <w:pPr>
        <w:spacing w:after="0" w:line="200" w:lineRule="exact"/>
        <w:rPr>
          <w:sz w:val="20"/>
          <w:szCs w:val="20"/>
          <w:color w:val="auto"/>
        </w:rPr>
      </w:pPr>
    </w:p>
    <w:p>
      <w:pPr>
        <w:sectPr>
          <w:pgSz w:w="11900" w:h="16838" w:orient="portrait"/>
          <w:cols w:equalWidth="0" w:num="1">
            <w:col w:w="9180"/>
          </w:cols>
          <w:pgMar w:left="1440" w:top="278" w:right="1279" w:bottom="1440" w:gutter="0" w:footer="0" w:header="0"/>
          <w:type w:val="continuous"/>
        </w:sectPr>
      </w:pPr>
    </w:p>
    <w:p>
      <w:pPr>
        <w:spacing w:after="0" w:line="76" w:lineRule="exact"/>
        <w:rPr>
          <w:sz w:val="20"/>
          <w:szCs w:val="20"/>
          <w:color w:val="auto"/>
        </w:rPr>
      </w:pPr>
    </w:p>
    <w:p>
      <w:pPr>
        <w:ind w:left="80"/>
        <w:spacing w:after="0"/>
        <w:rPr>
          <w:sz w:val="20"/>
          <w:szCs w:val="20"/>
          <w:color w:val="auto"/>
        </w:rPr>
      </w:pPr>
      <w:r>
        <w:rPr>
          <w:rFonts w:ascii="Arial" w:cs="Arial" w:eastAsia="Arial" w:hAnsi="Arial"/>
          <w:sz w:val="24"/>
          <w:szCs w:val="24"/>
          <w:color w:val="284993"/>
        </w:rPr>
        <w:t>Appendix A</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720" w:type="dxa"/>
            <w:vAlign w:val="bottom"/>
            <w:tcBorders>
              <w:bottom w:val="single" w:sz="8" w:color="0000EE"/>
            </w:tcBorders>
          </w:tcPr>
          <w:p>
            <w:pPr>
              <w:spacing w:after="0"/>
              <w:rPr>
                <w:sz w:val="20"/>
                <w:szCs w:val="20"/>
                <w:color w:val="auto"/>
              </w:rPr>
            </w:pPr>
            <w:r>
              <w:rPr>
                <w:rFonts w:ascii="Arial" w:cs="Arial" w:eastAsia="Arial" w:hAnsi="Arial"/>
                <w:sz w:val="14"/>
                <w:szCs w:val="14"/>
                <w:color w:val="0000EE"/>
                <w:w w:val="97"/>
              </w:rPr>
              <w:t>Appendix A</w:t>
            </w:r>
          </w:p>
        </w:tc>
        <w:tc>
          <w:tcPr>
            <w:tcW w:w="4260" w:type="dxa"/>
            <w:vAlign w:val="bottom"/>
            <w:vMerge w:val="restart"/>
          </w:tcPr>
          <w:p>
            <w:pPr>
              <w:ind w:left="4040"/>
              <w:spacing w:after="0"/>
              <w:rPr>
                <w:sz w:val="20"/>
                <w:szCs w:val="20"/>
                <w:color w:val="auto"/>
              </w:rPr>
            </w:pPr>
            <w:r>
              <w:rPr>
                <w:rFonts w:ascii="Arial" w:cs="Arial" w:eastAsia="Arial" w:hAnsi="Arial"/>
                <w:sz w:val="14"/>
                <w:szCs w:val="14"/>
                <w:color w:val="auto"/>
                <w:w w:val="91"/>
              </w:rPr>
              <w:t>A-1</w:t>
            </w:r>
          </w:p>
        </w:tc>
        <w:tc>
          <w:tcPr>
            <w:tcW w:w="0" w:type="dxa"/>
            <w:vAlign w:val="bottom"/>
          </w:tcPr>
          <w:p>
            <w:pPr>
              <w:spacing w:after="0"/>
              <w:rPr>
                <w:sz w:val="1"/>
                <w:szCs w:val="1"/>
                <w:color w:val="auto"/>
              </w:rPr>
            </w:pPr>
          </w:p>
        </w:tc>
      </w:tr>
      <w:tr>
        <w:trPr>
          <w:trHeight w:val="50"/>
        </w:trPr>
        <w:tc>
          <w:tcPr>
            <w:tcW w:w="720" w:type="dxa"/>
            <w:vAlign w:val="bottom"/>
          </w:tcPr>
          <w:p>
            <w:pPr>
              <w:spacing w:after="0"/>
              <w:rPr>
                <w:sz w:val="4"/>
                <w:szCs w:val="4"/>
                <w:color w:val="auto"/>
              </w:rPr>
            </w:pPr>
          </w:p>
        </w:tc>
        <w:tc>
          <w:tcPr>
            <w:tcW w:w="4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-2747010</wp:posOffset>
            </wp:positionH>
            <wp:positionV relativeFrom="paragraph">
              <wp:posOffset>71120</wp:posOffset>
            </wp:positionV>
            <wp:extent cx="59410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41060" cy="825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-200660</wp:posOffset>
            </wp:positionV>
            <wp:extent cx="59410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720"/>
            <w:col w:w="5020"/>
          </w:cols>
          <w:pgMar w:left="1440" w:top="278" w:right="1279" w:bottom="1440" w:gutter="0" w:footer="0" w:header="0"/>
          <w:type w:val="continuous"/>
        </w:sectPr>
      </w:pPr>
    </w:p>
    <w:p>
      <w:pPr>
        <w:spacing w:after="0" w:line="58" w:lineRule="exact"/>
        <w:rPr>
          <w:sz w:val="20"/>
          <w:szCs w:val="20"/>
          <w:color w:val="auto"/>
        </w:rPr>
      </w:pPr>
    </w:p>
    <w:p>
      <w:pPr>
        <w:ind w:left="7300"/>
        <w:spacing w:after="0"/>
        <w:rPr>
          <w:sz w:val="20"/>
          <w:szCs w:val="20"/>
          <w:color w:val="auto"/>
        </w:rPr>
      </w:pPr>
      <w:r>
        <w:rPr>
          <w:rFonts w:ascii="Arial" w:cs="Arial" w:eastAsia="Arial" w:hAnsi="Arial"/>
          <w:sz w:val="13"/>
          <w:szCs w:val="13"/>
          <w:color w:val="auto"/>
        </w:rPr>
        <w:t>2024 PROXY STATEMENT</w:t>
      </w:r>
      <w:r>
        <w:rPr>
          <w:rFonts w:ascii="Arial" w:cs="Arial" w:eastAsia="Arial" w:hAnsi="Arial"/>
          <w:sz w:val="13"/>
          <w:szCs w:val="13"/>
          <w:b w:val="1"/>
          <w:bCs w:val="1"/>
          <w:color w:val="284993"/>
        </w:rPr>
        <w:t xml:space="preserve">  iii</w:t>
      </w:r>
    </w:p>
    <w:p>
      <w:pPr>
        <w:sectPr>
          <w:pgSz w:w="11900" w:h="16838" w:orient="portrait"/>
          <w:cols w:equalWidth="0" w:num="1">
            <w:col w:w="9180"/>
          </w:cols>
          <w:pgMar w:left="1440" w:top="278" w:right="1279" w:bottom="1440" w:gutter="0" w:footer="0" w:header="0"/>
          <w:type w:val="continuous"/>
        </w:sectPr>
      </w:pPr>
    </w:p>
    <w:bookmarkStart w:id="6" w:name="page7"/>
    <w:bookmarkEnd w:id="6"/>
    <w:p>
      <w:pPr>
        <w:ind w:right="140"/>
        <w:spacing w:after="0" w:line="282" w:lineRule="auto"/>
        <w:rPr>
          <w:sz w:val="20"/>
          <w:szCs w:val="20"/>
          <w:color w:val="auto"/>
        </w:rPr>
      </w:pPr>
      <w:r>
        <w:rPr>
          <w:rFonts w:ascii="Arial" w:cs="Arial" w:eastAsia="Arial" w:hAnsi="Arial"/>
          <w:sz w:val="31"/>
          <w:szCs w:val="3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Proxy Statement for the Annual Meeting of Stockholders to be held on June 4, 2024</w:t>
      </w:r>
    </w:p>
    <w:p>
      <w:pPr>
        <w:spacing w:after="0" w:line="102"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About ACI</w:t>
      </w:r>
    </w:p>
    <w:p>
      <w:pPr>
        <w:spacing w:after="0" w:line="124" w:lineRule="exact"/>
        <w:rPr>
          <w:sz w:val="20"/>
          <w:szCs w:val="20"/>
          <w:color w:val="auto"/>
        </w:rPr>
      </w:pPr>
    </w:p>
    <w:p>
      <w:pPr>
        <w:ind w:right="200"/>
        <w:spacing w:after="0" w:line="246" w:lineRule="auto"/>
        <w:rPr>
          <w:sz w:val="20"/>
          <w:szCs w:val="20"/>
          <w:color w:val="auto"/>
        </w:rPr>
      </w:pPr>
      <w:r>
        <w:rPr>
          <w:rFonts w:ascii="Arial" w:cs="Arial" w:eastAsia="Arial" w:hAnsi="Arial"/>
          <w:sz w:val="16"/>
          <w:szCs w:val="16"/>
          <w:color w:val="auto"/>
        </w:rPr>
        <w:t>ACI Worldwide is a global leader in mission-critical, real-time payments software. Our proven, secure and scalable software solutions enable leading corporations, fintechs and financial disruptors to process and manage digital payments, power omni-commerce payments, present and process bill payments, and manage fraud and risk. We combine our global footprint with a local presence to drive the real-time digital transformation of payments and commerce.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this Proxy Statement, the terms “ACI,” the “Company,” “we,” and “our” refer to ACI Worldwide, Inc.</w:t>
      </w:r>
    </w:p>
    <w:p>
      <w:pPr>
        <w:spacing w:after="0" w:line="206"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This Proxy Statement contains a report issued by the Audit Committee relating to certain of its activities during 2023 and a report issued by the Compensation and Leadership Development Committee relating to executive compensation during 2023. Stockholders should be aware that under Securities and Exchange Commission rules, these committee reports are not considered “filed” with the Securities and Exchange Commission under the Securities Exchange Act of 1934 and are not incorporated by reference in any past or future filing by ACI Worldwide, Inc. under the Securities Exchange Act of 1934 or the Securities Act of 1933, unless specifically referenced. Additionally, the information contained on aciworldwide.com is not incorporated by reference into this Proxy Statement.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These materials were first made available to stockholders on April 22, 2024.</w:t>
      </w:r>
    </w:p>
    <w:p>
      <w:pPr>
        <w:spacing w:after="0" w:line="195" w:lineRule="exact"/>
        <w:rPr>
          <w:sz w:val="20"/>
          <w:szCs w:val="20"/>
          <w:color w:val="auto"/>
        </w:rPr>
      </w:pPr>
    </w:p>
    <w:p>
      <w:pPr>
        <w:ind w:left="1040"/>
        <w:spacing w:after="0"/>
        <w:rPr>
          <w:sz w:val="20"/>
          <w:szCs w:val="20"/>
          <w:color w:val="auto"/>
        </w:rPr>
      </w:pPr>
      <w:r>
        <w:rPr>
          <w:rFonts w:ascii="Arial" w:cs="Arial" w:eastAsia="Arial" w:hAnsi="Arial"/>
          <w:sz w:val="24"/>
          <w:szCs w:val="24"/>
          <w:b w:val="1"/>
          <w:bCs w:val="1"/>
          <w:color w:val="284993"/>
        </w:rPr>
        <w:t>Date, Time and Place of Meeting</w:t>
      </w:r>
    </w:p>
    <w:p>
      <w:pPr>
        <w:sectPr>
          <w:pgSz w:w="11900" w:h="16838" w:orient="portrait"/>
          <w:cols w:equalWidth="0" w:num="1">
            <w:col w:w="9360"/>
          </w:cols>
          <w:pgMar w:left="1260" w:top="282" w:right="1279" w:bottom="1440" w:gutter="0" w:footer="0" w:header="0"/>
        </w:sectPr>
      </w:pPr>
    </w:p>
    <w:p>
      <w:pPr>
        <w:spacing w:after="0" w:line="161"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When:</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June 4, 2024</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11:00 a.m. Eastern Time</w:t>
      </w:r>
    </w:p>
    <w:p>
      <w:pPr>
        <w:spacing w:after="0" w:line="70" w:lineRule="exact"/>
        <w:rPr>
          <w:sz w:val="20"/>
          <w:szCs w:val="20"/>
          <w:color w:val="auto"/>
        </w:rPr>
      </w:pPr>
    </w:p>
    <w:p>
      <w:pPr>
        <w:sectPr>
          <w:pgSz w:w="11900" w:h="16838" w:orient="portrait"/>
          <w:cols w:equalWidth="0" w:num="2">
            <w:col w:w="2180" w:space="720"/>
            <w:col w:w="6460"/>
          </w:cols>
          <w:pgMar w:left="1260" w:top="282" w:right="1279" w:bottom="1440" w:gutter="0" w:footer="0" w:header="0"/>
          <w:type w:val="continuous"/>
        </w:sectPr>
      </w:pPr>
    </w:p>
    <w:p>
      <w:pPr>
        <w:ind w:left="1120"/>
        <w:spacing w:after="0"/>
        <w:rPr>
          <w:sz w:val="20"/>
          <w:szCs w:val="20"/>
          <w:color w:val="auto"/>
        </w:rPr>
      </w:pPr>
      <w:r>
        <w:rPr>
          <w:rFonts w:ascii="Arial" w:cs="Arial" w:eastAsia="Arial" w:hAnsi="Arial"/>
          <w:sz w:val="14"/>
          <w:szCs w:val="14"/>
          <w:b w:val="1"/>
          <w:bCs w:val="1"/>
          <w:color w:val="auto"/>
        </w:rPr>
        <w:t>Where:</w:t>
      </w:r>
    </w:p>
    <w:p>
      <w:pPr>
        <w:spacing w:after="0" w:line="20" w:lineRule="exact"/>
        <w:rPr>
          <w:sz w:val="20"/>
          <w:szCs w:val="20"/>
          <w:color w:val="auto"/>
        </w:rPr>
      </w:pPr>
      <w:r>
        <w:rPr>
          <w:sz w:val="20"/>
          <w:szCs w:val="20"/>
          <w:color w:val="auto"/>
        </w:rPr>
        <w:br w:type="column"/>
      </w:r>
    </w:p>
    <w:p>
      <w:pPr>
        <w:ind w:right="1160"/>
        <w:spacing w:after="0" w:line="277" w:lineRule="auto"/>
        <w:rPr>
          <w:sz w:val="20"/>
          <w:szCs w:val="20"/>
          <w:color w:val="auto"/>
        </w:rPr>
      </w:pPr>
      <w:r>
        <w:rPr>
          <w:rFonts w:ascii="Arial" w:cs="Arial" w:eastAsia="Arial" w:hAnsi="Arial"/>
          <w:sz w:val="16"/>
          <w:szCs w:val="16"/>
          <w:b w:val="1"/>
          <w:bCs w:val="1"/>
          <w:color w:val="auto"/>
        </w:rPr>
        <w:t>Via a live audio-only webcast at www.proxydocs.com/ACIW. There is no physical location for the 2024 Annual Meeting.</w:t>
      </w:r>
    </w:p>
    <w:p>
      <w:pPr>
        <w:spacing w:after="0" w:line="4" w:lineRule="exact"/>
        <w:rPr>
          <w:sz w:val="20"/>
          <w:szCs w:val="20"/>
          <w:color w:val="auto"/>
        </w:rPr>
      </w:pPr>
    </w:p>
    <w:p>
      <w:pPr>
        <w:sectPr>
          <w:pgSz w:w="11900" w:h="16838" w:orient="portrait"/>
          <w:cols w:equalWidth="0" w:num="2">
            <w:col w:w="2180" w:space="720"/>
            <w:col w:w="6460"/>
          </w:cols>
          <w:pgMar w:left="1260" w:top="282" w:right="1279" w:bottom="1440" w:gutter="0" w:footer="0" w:header="0"/>
          <w:type w:val="continuous"/>
        </w:sectPr>
      </w:pPr>
    </w:p>
    <w:p>
      <w:pPr>
        <w:ind w:left="1120"/>
        <w:spacing w:after="0"/>
        <w:rPr>
          <w:sz w:val="20"/>
          <w:szCs w:val="20"/>
          <w:color w:val="auto"/>
        </w:rPr>
      </w:pPr>
      <w:r>
        <w:rPr>
          <w:rFonts w:ascii="Arial" w:cs="Arial" w:eastAsia="Arial" w:hAnsi="Arial"/>
          <w:sz w:val="14"/>
          <w:szCs w:val="14"/>
          <w:b w:val="1"/>
          <w:bCs w:val="1"/>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April 9, 2024</w:t>
      </w:r>
    </w:p>
    <w:p>
      <w:pPr>
        <w:spacing w:after="0" w:line="200" w:lineRule="exact"/>
        <w:rPr>
          <w:sz w:val="20"/>
          <w:szCs w:val="20"/>
          <w:color w:val="auto"/>
        </w:rPr>
      </w:pPr>
    </w:p>
    <w:p>
      <w:pPr>
        <w:sectPr>
          <w:pgSz w:w="11900" w:h="16838" w:orient="portrait"/>
          <w:cols w:equalWidth="0" w:num="2">
            <w:col w:w="2180" w:space="720"/>
            <w:col w:w="6460"/>
          </w:cols>
          <w:pgMar w:left="1260" w:top="282" w:right="1279" w:bottom="1440" w:gutter="0" w:footer="0" w:header="0"/>
          <w:type w:val="continuous"/>
        </w:sectPr>
      </w:pPr>
    </w:p>
    <w:p>
      <w:pPr>
        <w:spacing w:after="0" w:line="8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This Proxy Statement is being furnished in connection with the solicitation by and on behalf of the Board of proxies to be used at our 2024 Annual Meeting of Stockholders, and any postponement or adjournment thereof. A copy of our annual report on Form 10-K for the fiscal year ended December 31, 2023 (the “Annual Report”), accompanies this Proxy Statement.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1</w:t>
      </w:r>
    </w:p>
    <w:p>
      <w:pPr>
        <w:sectPr>
          <w:pgSz w:w="11900" w:h="16838" w:orient="portrait"/>
          <w:cols w:equalWidth="0" w:num="1">
            <w:col w:w="9360"/>
          </w:cols>
          <w:pgMar w:left="1260" w:top="282" w:right="1279" w:bottom="1440" w:gutter="0" w:footer="0" w:header="0"/>
          <w:type w:val="continuous"/>
        </w:sectPr>
      </w:pPr>
    </w:p>
    <w:bookmarkStart w:id="7" w:name="page8"/>
    <w:bookmarkEnd w:id="7"/>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Annual Meeting Proposals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500" w:type="dxa"/>
            <w:vAlign w:val="bottom"/>
            <w:shd w:val="clear" w:color="auto" w:fill="284993"/>
          </w:tcPr>
          <w:p>
            <w:pPr>
              <w:spacing w:after="0"/>
              <w:rPr>
                <w:sz w:val="16"/>
                <w:szCs w:val="16"/>
                <w:color w:val="auto"/>
              </w:rPr>
            </w:pPr>
          </w:p>
        </w:tc>
        <w:tc>
          <w:tcPr>
            <w:tcW w:w="1840" w:type="dxa"/>
            <w:vAlign w:val="bottom"/>
            <w:shd w:val="clear" w:color="auto" w:fill="284993"/>
          </w:tcPr>
          <w:p>
            <w:pPr>
              <w:jc w:val="center"/>
              <w:ind w:left="362"/>
              <w:spacing w:after="0"/>
              <w:rPr>
                <w:sz w:val="20"/>
                <w:szCs w:val="20"/>
                <w:color w:val="auto"/>
              </w:rPr>
            </w:pPr>
            <w:r>
              <w:rPr>
                <w:rFonts w:ascii="Arial" w:cs="Arial" w:eastAsia="Arial" w:hAnsi="Arial"/>
                <w:sz w:val="16"/>
                <w:szCs w:val="16"/>
                <w:b w:val="1"/>
                <w:bCs w:val="1"/>
                <w:color w:val="FFFFFF"/>
                <w:w w:val="98"/>
              </w:rPr>
              <w:t>Recommendation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00" w:type="dxa"/>
            <w:vAlign w:val="bottom"/>
            <w:shd w:val="clear" w:color="auto" w:fill="284993"/>
          </w:tcPr>
          <w:p>
            <w:pPr>
              <w:ind w:left="3620"/>
              <w:spacing w:after="0"/>
              <w:rPr>
                <w:sz w:val="20"/>
                <w:szCs w:val="20"/>
                <w:color w:val="auto"/>
              </w:rPr>
            </w:pPr>
            <w:r>
              <w:rPr>
                <w:rFonts w:ascii="Arial" w:cs="Arial" w:eastAsia="Arial" w:hAnsi="Arial"/>
                <w:sz w:val="16"/>
                <w:szCs w:val="16"/>
                <w:b w:val="1"/>
                <w:bCs w:val="1"/>
                <w:color w:val="FFFFFF"/>
              </w:rPr>
              <w:t>Proposal</w:t>
            </w:r>
          </w:p>
        </w:tc>
        <w:tc>
          <w:tcPr>
            <w:tcW w:w="1840" w:type="dxa"/>
            <w:vAlign w:val="bottom"/>
            <w:shd w:val="clear" w:color="auto" w:fill="284993"/>
          </w:tcPr>
          <w:p>
            <w:pPr>
              <w:jc w:val="center"/>
              <w:ind w:left="362"/>
              <w:spacing w:after="0"/>
              <w:rPr>
                <w:sz w:val="20"/>
                <w:szCs w:val="20"/>
                <w:color w:val="auto"/>
              </w:rPr>
            </w:pPr>
            <w:r>
              <w:rPr>
                <w:rFonts w:ascii="Arial" w:cs="Arial" w:eastAsia="Arial" w:hAnsi="Arial"/>
                <w:sz w:val="16"/>
                <w:szCs w:val="16"/>
                <w:b w:val="1"/>
                <w:bCs w:val="1"/>
                <w:color w:val="FFFFFF"/>
                <w:w w:val="97"/>
              </w:rPr>
              <w:t>of the Board</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500" w:type="dxa"/>
            <w:vAlign w:val="bottom"/>
            <w:vMerge w:val="restart"/>
          </w:tcPr>
          <w:p>
            <w:pPr>
              <w:ind w:left="80"/>
              <w:spacing w:after="0"/>
              <w:rPr>
                <w:sz w:val="20"/>
                <w:szCs w:val="20"/>
                <w:color w:val="auto"/>
              </w:rPr>
            </w:pPr>
            <w:r>
              <w:rPr>
                <w:rFonts w:ascii="Arial" w:cs="Arial" w:eastAsia="Arial" w:hAnsi="Arial"/>
                <w:sz w:val="16"/>
                <w:szCs w:val="16"/>
                <w:color w:val="auto"/>
              </w:rPr>
              <w:t>1.   Election of directors</w:t>
            </w:r>
          </w:p>
        </w:tc>
        <w:tc>
          <w:tcPr>
            <w:tcW w:w="1840" w:type="dxa"/>
            <w:vAlign w:val="bottom"/>
          </w:tcPr>
          <w:p>
            <w:pPr>
              <w:jc w:val="center"/>
              <w:ind w:left="362"/>
              <w:spacing w:after="0"/>
              <w:rPr>
                <w:sz w:val="20"/>
                <w:szCs w:val="20"/>
                <w:color w:val="auto"/>
              </w:rPr>
            </w:pPr>
            <w:r>
              <w:rPr>
                <w:rFonts w:ascii="Arial" w:cs="Arial" w:eastAsia="Arial" w:hAnsi="Arial"/>
                <w:sz w:val="16"/>
                <w:szCs w:val="16"/>
                <w:b w:val="1"/>
                <w:bCs w:val="1"/>
                <w:color w:val="auto"/>
                <w:w w:val="94"/>
              </w:rPr>
              <w:t>FOR</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500" w:type="dxa"/>
            <w:vAlign w:val="bottom"/>
            <w:vMerge w:val="continue"/>
          </w:tcPr>
          <w:p>
            <w:pPr>
              <w:spacing w:after="0"/>
              <w:rPr>
                <w:sz w:val="9"/>
                <w:szCs w:val="9"/>
                <w:color w:val="auto"/>
              </w:rPr>
            </w:pPr>
          </w:p>
        </w:tc>
        <w:tc>
          <w:tcPr>
            <w:tcW w:w="1840" w:type="dxa"/>
            <w:vAlign w:val="bottom"/>
            <w:vMerge w:val="restart"/>
          </w:tcPr>
          <w:p>
            <w:pPr>
              <w:jc w:val="center"/>
              <w:ind w:left="362"/>
              <w:spacing w:after="0" w:line="182" w:lineRule="exact"/>
              <w:rPr>
                <w:sz w:val="20"/>
                <w:szCs w:val="20"/>
                <w:color w:val="auto"/>
              </w:rPr>
            </w:pPr>
            <w:r>
              <w:rPr>
                <w:rFonts w:ascii="Arial" w:cs="Arial" w:eastAsia="Arial" w:hAnsi="Arial"/>
                <w:sz w:val="16"/>
                <w:szCs w:val="16"/>
                <w:color w:val="auto"/>
                <w:w w:val="98"/>
              </w:rPr>
              <w:t>Each of the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50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1840" w:type="dxa"/>
            <w:vAlign w:val="bottom"/>
          </w:tcPr>
          <w:p>
            <w:pPr>
              <w:jc w:val="center"/>
              <w:ind w:left="362"/>
              <w:spacing w:after="0"/>
              <w:rPr>
                <w:sz w:val="20"/>
                <w:szCs w:val="20"/>
                <w:color w:val="auto"/>
              </w:rPr>
            </w:pPr>
            <w:r>
              <w:rPr>
                <w:rFonts w:ascii="Arial" w:cs="Arial" w:eastAsia="Arial" w:hAnsi="Arial"/>
                <w:sz w:val="16"/>
                <w:szCs w:val="16"/>
                <w:color w:val="auto"/>
                <w:w w:val="97"/>
              </w:rPr>
              <w:t>nominees</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7500" w:type="dxa"/>
            <w:vAlign w:val="bottom"/>
          </w:tcPr>
          <w:p>
            <w:pPr>
              <w:ind w:left="80"/>
              <w:spacing w:after="0"/>
              <w:rPr>
                <w:sz w:val="20"/>
                <w:szCs w:val="20"/>
                <w:color w:val="auto"/>
              </w:rPr>
            </w:pPr>
            <w:r>
              <w:rPr>
                <w:rFonts w:ascii="Arial" w:cs="Arial" w:eastAsia="Arial" w:hAnsi="Arial"/>
                <w:sz w:val="16"/>
                <w:szCs w:val="16"/>
                <w:color w:val="auto"/>
              </w:rPr>
              <w:t>2.  Ratification of appointment of independent registered public accounting firm</w:t>
            </w:r>
          </w:p>
        </w:tc>
        <w:tc>
          <w:tcPr>
            <w:tcW w:w="1840" w:type="dxa"/>
            <w:vAlign w:val="bottom"/>
            <w:vMerge w:val="restart"/>
          </w:tcPr>
          <w:p>
            <w:pPr>
              <w:jc w:val="center"/>
              <w:ind w:left="362"/>
              <w:spacing w:after="0"/>
              <w:rPr>
                <w:sz w:val="20"/>
                <w:szCs w:val="20"/>
                <w:color w:val="auto"/>
              </w:rPr>
            </w:pPr>
            <w:r>
              <w:rPr>
                <w:rFonts w:ascii="Arial" w:cs="Arial" w:eastAsia="Arial" w:hAnsi="Arial"/>
                <w:sz w:val="16"/>
                <w:szCs w:val="16"/>
                <w:b w:val="1"/>
                <w:bCs w:val="1"/>
                <w:color w:val="auto"/>
                <w:w w:val="94"/>
              </w:rPr>
              <w:t>FOR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7500" w:type="dxa"/>
            <w:vAlign w:val="bottom"/>
          </w:tcPr>
          <w:p>
            <w:pPr>
              <w:ind w:left="80"/>
              <w:spacing w:after="0"/>
              <w:rPr>
                <w:sz w:val="20"/>
                <w:szCs w:val="20"/>
                <w:color w:val="auto"/>
              </w:rPr>
            </w:pPr>
            <w:r>
              <w:rPr>
                <w:rFonts w:ascii="Arial" w:cs="Arial" w:eastAsia="Arial" w:hAnsi="Arial"/>
                <w:sz w:val="16"/>
                <w:szCs w:val="16"/>
                <w:color w:val="auto"/>
              </w:rPr>
              <w:t>3.  Advisory vote to approve named executive officer compensation</w:t>
            </w:r>
          </w:p>
        </w:tc>
        <w:tc>
          <w:tcPr>
            <w:tcW w:w="1840" w:type="dxa"/>
            <w:vAlign w:val="bottom"/>
            <w:vMerge w:val="restart"/>
          </w:tcPr>
          <w:p>
            <w:pPr>
              <w:jc w:val="center"/>
              <w:ind w:left="362"/>
              <w:spacing w:after="0"/>
              <w:rPr>
                <w:sz w:val="20"/>
                <w:szCs w:val="20"/>
                <w:color w:val="auto"/>
              </w:rPr>
            </w:pPr>
            <w:r>
              <w:rPr>
                <w:rFonts w:ascii="Arial" w:cs="Arial" w:eastAsia="Arial" w:hAnsi="Arial"/>
                <w:sz w:val="16"/>
                <w:szCs w:val="16"/>
                <w:b w:val="1"/>
                <w:bCs w:val="1"/>
                <w:color w:val="auto"/>
                <w:w w:val="94"/>
              </w:rPr>
              <w:t>FOR</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500" w:type="dxa"/>
            <w:vAlign w:val="bottom"/>
            <w:tcBorders>
              <w:bottom w:val="single" w:sz="8" w:color="284993"/>
            </w:tcBorders>
          </w:tcPr>
          <w:p>
            <w:pPr>
              <w:spacing w:after="0"/>
              <w:rPr>
                <w:sz w:val="8"/>
                <w:szCs w:val="8"/>
                <w:color w:val="auto"/>
              </w:rPr>
            </w:pPr>
          </w:p>
        </w:tc>
        <w:tc>
          <w:tcPr>
            <w:tcW w:w="1840" w:type="dxa"/>
            <w:vAlign w:val="bottom"/>
            <w:tcBorders>
              <w:bottom w:val="single" w:sz="8" w:color="284993"/>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2"/>
        </w:trPr>
        <w:tc>
          <w:tcPr>
            <w:tcW w:w="7520" w:type="dxa"/>
            <w:vAlign w:val="bottom"/>
            <w:gridSpan w:val="2"/>
          </w:tcPr>
          <w:p>
            <w:pPr>
              <w:spacing w:after="0"/>
              <w:rPr>
                <w:sz w:val="20"/>
                <w:szCs w:val="20"/>
                <w:color w:val="auto"/>
              </w:rPr>
            </w:pPr>
            <w:r>
              <w:rPr>
                <w:rFonts w:ascii="Arial" w:cs="Arial" w:eastAsia="Arial" w:hAnsi="Arial"/>
                <w:sz w:val="24"/>
                <w:szCs w:val="24"/>
                <w:b w:val="1"/>
                <w:bCs w:val="1"/>
                <w:color w:val="284993"/>
              </w:rPr>
              <w:t>Questions and Answers about this Proxy Material and Voting</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7520" w:type="dxa"/>
            <w:vAlign w:val="bottom"/>
            <w:gridSpan w:val="2"/>
          </w:tcPr>
          <w:p>
            <w:pPr>
              <w:spacing w:after="0"/>
              <w:rPr>
                <w:sz w:val="20"/>
                <w:szCs w:val="20"/>
                <w:color w:val="auto"/>
              </w:rPr>
            </w:pPr>
            <w:r>
              <w:rPr>
                <w:rFonts w:ascii="Arial" w:cs="Arial" w:eastAsia="Arial" w:hAnsi="Arial"/>
                <w:sz w:val="21"/>
                <w:szCs w:val="21"/>
                <w:b w:val="1"/>
                <w:bCs w:val="1"/>
                <w:color w:val="284993"/>
              </w:rPr>
              <w:t>Why am I receiving these materials?</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5445760</wp:posOffset>
            </wp:positionH>
            <wp:positionV relativeFrom="paragraph">
              <wp:posOffset>-1607185</wp:posOffset>
            </wp:positionV>
            <wp:extent cx="107315" cy="1238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7315" cy="123825"/>
                    </a:xfrm>
                    <a:prstGeom prst="rect">
                      <a:avLst/>
                    </a:prstGeom>
                    <a:noFill/>
                  </pic:spPr>
                </pic:pic>
              </a:graphicData>
            </a:graphic>
          </wp:anchor>
        </w:drawing>
        <w:drawing>
          <wp:anchor simplePos="0" relativeHeight="251657728" behindDoc="1" locked="0" layoutInCell="0" allowOverlap="1">
            <wp:simplePos x="0" y="0"/>
            <wp:positionH relativeFrom="column">
              <wp:posOffset>5445760</wp:posOffset>
            </wp:positionH>
            <wp:positionV relativeFrom="paragraph">
              <wp:posOffset>-1087120</wp:posOffset>
            </wp:positionV>
            <wp:extent cx="107315" cy="1238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7315" cy="123825"/>
                    </a:xfrm>
                    <a:prstGeom prst="rect">
                      <a:avLst/>
                    </a:prstGeom>
                    <a:noFill/>
                  </pic:spPr>
                </pic:pic>
              </a:graphicData>
            </a:graphic>
          </wp:anchor>
        </w:drawing>
        <w:drawing>
          <wp:anchor simplePos="0" relativeHeight="251657728" behindDoc="1" locked="0" layoutInCell="0" allowOverlap="1">
            <wp:simplePos x="0" y="0"/>
            <wp:positionH relativeFrom="column">
              <wp:posOffset>5445760</wp:posOffset>
            </wp:positionH>
            <wp:positionV relativeFrom="paragraph">
              <wp:posOffset>-798195</wp:posOffset>
            </wp:positionV>
            <wp:extent cx="107315" cy="1238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7315" cy="123825"/>
                    </a:xfrm>
                    <a:prstGeom prst="rect">
                      <a:avLst/>
                    </a:prstGeom>
                    <a:noFill/>
                  </pic:spPr>
                </pic:pic>
              </a:graphicData>
            </a:graphic>
          </wp:anchor>
        </w:drawing>
      </w:r>
    </w:p>
    <w:p>
      <w:pPr>
        <w:spacing w:after="0" w:line="48"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 xml:space="preserve">We are making these proxy materials available because the Board of Directors (the “Board of Directors” or the “Board”) of ACI is soliciting your proxy to vote at the 2024 Annual Meeting of Stockholders (the “Annual Meeting”). You are invited to attend the Annual Meeting via audio only webcast to vote on the proposals described in this Proxy Statement so long as you register to attend the Annual Meeting at </w:t>
      </w:r>
      <w:r>
        <w:rPr>
          <w:rFonts w:ascii="Arial" w:cs="Arial" w:eastAsia="Arial" w:hAnsi="Arial"/>
          <w:sz w:val="16"/>
          <w:szCs w:val="16"/>
          <w:u w:val="single" w:color="auto"/>
          <w:color w:val="auto"/>
        </w:rPr>
        <w:t>www.proxydocs.com/ACIW</w:t>
      </w:r>
      <w:r>
        <w:rPr>
          <w:rFonts w:ascii="Arial" w:cs="Arial" w:eastAsia="Arial" w:hAnsi="Arial"/>
          <w:sz w:val="16"/>
          <w:szCs w:val="16"/>
          <w:color w:val="auto"/>
        </w:rPr>
        <w:t>. You will be asked to provide the control number located inside the shaded box on your Notice or proxy card (the “Control Number”) as described in the Notice of Internet Availability of Proxy Materials (the “Internet Availability Notice”) or proxy card. After completion of your registration by the Registration Deadline, further instructions, including a unique link to access the Annual Meeting, will be emailed to you. If you request a printed copy of our proxy materials by mail, your broker or nominee will provide a voting instruction card for you to use.</w:t>
      </w:r>
    </w:p>
    <w:p>
      <w:pPr>
        <w:spacing w:after="0" w:line="185"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You do not need to attend the Annual Meeting to vote your shares. Instead, you may follow the instructions below to submit your proxy by telephone or on the Internet, or complete, sign and return the proxy card.</w:t>
      </w:r>
    </w:p>
    <w:p>
      <w:pPr>
        <w:spacing w:after="0" w:line="167"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Under the U.S. Securities and Exchange Commission’s (the “SEC”) “notice and access” rules, ACI has elected to use the Internet as its primary means of furnishing proxy materials to our stockholders. Consequently, most stockholders will not receive paper copies of ACI’s proxy materials. ACI intends to commence mailing to all stockholders of record entitled to vote at the Annual Meeting the Internet Availability Notice on or about April 22, 2024 . The Internet Availability Notice will include instructions on how to receive a paper copy of your proxy materials, if you so choose.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ACI’s office is located at 6060 Coventry Drive, Elkhorn, NE 68022; our telephone number is (402) 390-7600.</w:t>
      </w:r>
    </w:p>
    <w:p>
      <w:pPr>
        <w:spacing w:after="0" w:line="192" w:lineRule="exact"/>
        <w:rPr>
          <w:sz w:val="20"/>
          <w:szCs w:val="20"/>
          <w:color w:val="auto"/>
        </w:rPr>
      </w:pPr>
    </w:p>
    <w:p>
      <w:pPr>
        <w:jc w:val="both"/>
        <w:ind w:right="540"/>
        <w:spacing w:after="0" w:line="300" w:lineRule="auto"/>
        <w:rPr>
          <w:sz w:val="20"/>
          <w:szCs w:val="20"/>
          <w:color w:val="auto"/>
        </w:rPr>
      </w:pPr>
      <w:r>
        <w:rPr>
          <w:rFonts w:ascii="Arial" w:cs="Arial" w:eastAsia="Arial" w:hAnsi="Arial"/>
          <w:sz w:val="20"/>
          <w:szCs w:val="20"/>
          <w:b w:val="1"/>
          <w:bCs w:val="1"/>
          <w:color w:val="284993"/>
        </w:rPr>
        <w:t>Why did I receive a notice in the mail regarding the Internet availability of proxy materials instead of a full paper copy of this Proxy Statement and Annual Report to Stockholders?</w:t>
      </w:r>
    </w:p>
    <w:p>
      <w:pPr>
        <w:spacing w:after="0" w:line="11"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We are acting under a Securities and Exchange Commission rule that allows companies to furnish their proxy materials over the Internet rather than in paper form. This rule allows a company to send its stockholders a notice regarding Internet availability of proxy materials. Instructions on how to access the proxy materials over the Internet or how to request a paper copy of proxy materials may be found in the Internet Availability Notice.</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How can I attend the Annual Meeting?</w:t>
      </w:r>
    </w:p>
    <w:p>
      <w:pPr>
        <w:spacing w:after="0" w:line="110" w:lineRule="exact"/>
        <w:rPr>
          <w:sz w:val="20"/>
          <w:szCs w:val="20"/>
          <w:color w:val="auto"/>
        </w:rPr>
      </w:pPr>
    </w:p>
    <w:p>
      <w:pPr>
        <w:ind w:right="120"/>
        <w:spacing w:after="0" w:line="284" w:lineRule="auto"/>
        <w:rPr>
          <w:sz w:val="20"/>
          <w:szCs w:val="20"/>
          <w:color w:val="auto"/>
        </w:rPr>
      </w:pPr>
      <w:r>
        <w:rPr>
          <w:rFonts w:ascii="Arial" w:cs="Arial" w:eastAsia="Arial" w:hAnsi="Arial"/>
          <w:sz w:val="14"/>
          <w:szCs w:val="14"/>
          <w:color w:val="auto"/>
        </w:rPr>
        <w:t>This year’s Annual Meeting will be accessible through the Internet via a live audio-only webcast. Prior registration to attend the Annual Meeting at www.proxydocs.com/ACIW is required. You are entitled to participate at the Annual Meeting if you were a stockholder as of the close of business on our record date of April 9, 2024 or hold a valid proxy for the meeting. To be admitted to the Annual Meeting’s live audio-only webcast, you must register at www.proxydocs.com/ACIW as described in the Internet Availability Notice or proxy card. As part of the registration process, you must enter the Control Number. After completion of your registration by the Registration Deadline, further instructions, including a unique link to access the Annual Meeting, will be emailed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66040</wp:posOffset>
            </wp:positionV>
            <wp:extent cx="693420" cy="1320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3420" cy="13208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2</w:t>
      </w:r>
    </w:p>
    <w:p>
      <w:pPr>
        <w:sectPr>
          <w:pgSz w:w="11900" w:h="16838" w:orient="portrait"/>
          <w:cols w:equalWidth="0" w:num="1">
            <w:col w:w="9360"/>
          </w:cols>
          <w:pgMar w:left="1260" w:top="286" w:right="1279" w:bottom="1440" w:gutter="0" w:footer="0" w:header="0"/>
        </w:sectPr>
      </w:pPr>
    </w:p>
    <w:bookmarkStart w:id="8" w:name="page9"/>
    <w:bookmarkEnd w:id="8"/>
    <w:p>
      <w:pPr>
        <w:spacing w:after="0"/>
        <w:rPr>
          <w:sz w:val="20"/>
          <w:szCs w:val="20"/>
          <w:color w:val="auto"/>
        </w:rPr>
      </w:pPr>
      <w:r>
        <w:rPr>
          <w:rFonts w:ascii="Arial" w:cs="Arial" w:eastAsia="Arial" w:hAnsi="Arial"/>
          <w:sz w:val="21"/>
          <w:szCs w:val="21"/>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Who can vote at the Annual Meeting?</w:t>
      </w:r>
    </w:p>
    <w:p>
      <w:pPr>
        <w:spacing w:after="0" w:line="110"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You will be entitled to vote at the Annual Meeting if you owned ACI’s common stock (“Common Stock”), either as a stockholder of record or as a beneficial owner, as of the close of business on April 9, 2024 (the “Record Date”). On the Record Date, there were 106,255,858 shares of Common Stock outstanding. Holders of these outstanding shares are entitled to one vote for each share of Common Stock held by them as of April 9, 2024 at the Annual Meeting. Shares of Common Stock held as treasury stock are not entitled to be voted at the Annual Meeting. Each stockholder is entitled to one vote per share of Common Stock held on all matters to be voted on by stockholders. Unless context requires otherwise, any reference to “shares” in this Proxy Statement refers to all shares of Common Stock entitled to vote at the Annual Meeting.</w:t>
      </w:r>
    </w:p>
    <w:p>
      <w:pPr>
        <w:spacing w:after="0" w:line="188"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If your shares are registered directly in your name with our transfer agent, EQ Shareowner Services, the Internet Availability Notice was sent directly to you by ACI. The Internet Availability Notice provides instructions on how to request printed proxy materials and how to access your proxy card, which contains instructions on how to vote via the Internet or by telephone. For stockholders who receive a paper proxy card, instructions for voting via the Internet or by telephone are set forth on the proxy card. If your shares are held in an account at a brokerage firm, bank, trust, or other similar organization, like the vast majority of our stockholders, you are considered the “beneficial owner” of shares held in “street name” and the Internet Availability Notice was forwarded to you by that organization. You will receive instructions from your broker, bank, trustee, or other nominee that must be followed in order for your broker, bank, trustee, or other nominee to vote your shares per your instructions.</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What am I voting on?</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There are three matters scheduled for a vote:</w:t>
      </w:r>
    </w:p>
    <w:p>
      <w:pPr>
        <w:spacing w:after="0" w:line="115" w:lineRule="exact"/>
        <w:rPr>
          <w:sz w:val="20"/>
          <w:szCs w:val="20"/>
          <w:color w:val="auto"/>
        </w:rPr>
      </w:pPr>
    </w:p>
    <w:p>
      <w:pPr>
        <w:ind w:left="180" w:right="100" w:hanging="174"/>
        <w:spacing w:after="0" w:line="264" w:lineRule="auto"/>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Proposal No. 1</w:t>
      </w:r>
      <w:r>
        <w:rPr>
          <w:rFonts w:ascii="Arial" w:cs="Arial" w:eastAsia="Arial" w:hAnsi="Arial"/>
          <w:sz w:val="16"/>
          <w:szCs w:val="16"/>
          <w:color w:val="auto"/>
        </w:rPr>
        <w:t>. To elect the eight directors named in the accompanying proxy statement to our Board of Directors to hold office until</w:t>
      </w:r>
      <w:r>
        <w:rPr>
          <w:rFonts w:ascii="Arial" w:cs="Arial" w:eastAsia="Arial" w:hAnsi="Arial"/>
          <w:sz w:val="16"/>
          <w:szCs w:val="16"/>
          <w:i w:val="1"/>
          <w:iCs w:val="1"/>
          <w:color w:val="auto"/>
        </w:rPr>
        <w:t xml:space="preserve"> </w:t>
      </w:r>
      <w:r>
        <w:rPr>
          <w:rFonts w:ascii="Arial" w:cs="Arial" w:eastAsia="Arial" w:hAnsi="Arial"/>
          <w:sz w:val="16"/>
          <w:szCs w:val="16"/>
          <w:color w:val="auto"/>
        </w:rPr>
        <w:t>the 2025 Annual Meeting of Stockholders;</w:t>
      </w:r>
    </w:p>
    <w:p>
      <w:pPr>
        <w:spacing w:after="0" w:line="76" w:lineRule="exact"/>
        <w:rPr>
          <w:rFonts w:ascii="Arial" w:cs="Arial" w:eastAsia="Arial" w:hAnsi="Arial"/>
          <w:sz w:val="16"/>
          <w:szCs w:val="16"/>
          <w:color w:val="auto"/>
        </w:rPr>
      </w:pPr>
    </w:p>
    <w:p>
      <w:pPr>
        <w:ind w:left="180" w:right="260" w:hanging="174"/>
        <w:spacing w:after="0" w:line="264" w:lineRule="auto"/>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Proposal No. 2</w:t>
      </w:r>
      <w:r>
        <w:rPr>
          <w:rFonts w:ascii="Arial" w:cs="Arial" w:eastAsia="Arial" w:hAnsi="Arial"/>
          <w:sz w:val="16"/>
          <w:szCs w:val="16"/>
          <w:color w:val="auto"/>
        </w:rPr>
        <w:t>. To ratify the appointment of Deloitte &amp; Touche LLP as our independent registered public accounting firm for 2024;</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p>
    <w:p>
      <w:pPr>
        <w:spacing w:after="0" w:line="76" w:lineRule="exact"/>
        <w:rPr>
          <w:rFonts w:ascii="Arial" w:cs="Arial" w:eastAsia="Arial" w:hAnsi="Arial"/>
          <w:sz w:val="16"/>
          <w:szCs w:val="16"/>
          <w:color w:val="auto"/>
        </w:rPr>
      </w:pPr>
    </w:p>
    <w:p>
      <w:pPr>
        <w:ind w:left="180" w:hanging="174"/>
        <w:spacing w:after="0"/>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Proposal No. 3</w:t>
      </w:r>
      <w:r>
        <w:rPr>
          <w:rFonts w:ascii="Arial" w:cs="Arial" w:eastAsia="Arial" w:hAnsi="Arial"/>
          <w:sz w:val="16"/>
          <w:szCs w:val="16"/>
          <w:color w:val="auto"/>
        </w:rPr>
        <w:t>. To approve, on an advisory basis, named executive officer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How do I vote?</w:t>
      </w:r>
    </w:p>
    <w:p>
      <w:pPr>
        <w:spacing w:after="0" w:line="110"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auto"/>
        </w:rPr>
        <w:t>For Proposal No. 1, you may either vote “For”, vote “Against” or vote to “Abstain” with respect to each of the nominees for the Board of Directors. You may not vote your proxy “For” the election of any persons other than the eight named nominees. For all other matters to be voted on, you may vote “For” or “Against” or abstain from voting on the applicable proposal.</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of Record: Shares Registered in Your Name</w:t>
      </w:r>
    </w:p>
    <w:p>
      <w:pPr>
        <w:spacing w:after="0" w:line="206"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If you are a stockholder of record, you may vote by proxy using a proxy card, vote by proxy on the Internet or by telephone as set forth in the Internet Availability Notice, or vote at the Annual Meeting. Regardless of whether you plan to attend the Annual Meeting via audio-only webcast, we urge you to vote by proxy to ensure your vote is counted. You may still attend the Annual Meeting and vote if you have already voted by proxy.</w:t>
      </w:r>
    </w:p>
    <w:p>
      <w:pPr>
        <w:spacing w:after="0" w:line="90" w:lineRule="exact"/>
        <w:rPr>
          <w:sz w:val="20"/>
          <w:szCs w:val="20"/>
          <w:color w:val="auto"/>
        </w:rPr>
      </w:pPr>
    </w:p>
    <w:p>
      <w:pPr>
        <w:ind w:left="180" w:right="280" w:hanging="174"/>
        <w:spacing w:after="0" w:line="264"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vote using the proxy card, complete, date and sign the proxy card and return it promptly in the envelope provided. If you return your signed proxy card to us before the Annual Meeting, we will vote your shares as you direct.</w:t>
      </w:r>
    </w:p>
    <w:p>
      <w:pPr>
        <w:spacing w:after="0" w:line="76" w:lineRule="exact"/>
        <w:rPr>
          <w:rFonts w:ascii="Arial" w:cs="Arial" w:eastAsia="Arial" w:hAnsi="Arial"/>
          <w:sz w:val="16"/>
          <w:szCs w:val="16"/>
          <w:color w:val="auto"/>
        </w:rPr>
      </w:pPr>
    </w:p>
    <w:p>
      <w:pPr>
        <w:ind w:left="180" w:hanging="174"/>
        <w:spacing w:after="0"/>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vote on the Internet, please follow the instructions provided on your proxy card or the Internet Availability Notice.</w:t>
      </w:r>
    </w:p>
    <w:p>
      <w:pPr>
        <w:spacing w:after="0" w:line="114" w:lineRule="exact"/>
        <w:rPr>
          <w:rFonts w:ascii="Arial" w:cs="Arial" w:eastAsia="Arial" w:hAnsi="Arial"/>
          <w:sz w:val="16"/>
          <w:szCs w:val="16"/>
          <w:color w:val="auto"/>
        </w:rPr>
      </w:pPr>
    </w:p>
    <w:p>
      <w:pPr>
        <w:ind w:left="180" w:hanging="174"/>
        <w:spacing w:after="0"/>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vote by telephone, please follow the instructions provided on your proxy card or the Internet Availability Notice.</w:t>
      </w:r>
    </w:p>
    <w:p>
      <w:pPr>
        <w:spacing w:after="0" w:line="114" w:lineRule="exact"/>
        <w:rPr>
          <w:rFonts w:ascii="Arial" w:cs="Arial" w:eastAsia="Arial" w:hAnsi="Arial"/>
          <w:sz w:val="16"/>
          <w:szCs w:val="16"/>
          <w:color w:val="auto"/>
        </w:rPr>
      </w:pPr>
    </w:p>
    <w:p>
      <w:pPr>
        <w:ind w:left="180" w:right="40" w:hanging="174"/>
        <w:spacing w:after="0" w:line="246"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vote during the Annual Meeting, you must do so through www.proxydocs.com/ACIW. To be admitted to attend the Annual Meeting and vote your shares, you must register and provide the Control Number as described in the Internet Availability Notice or proxy card. After completion of your registration, further instructions, including a unique link to access the Annual Meeting, will be emailed to you.</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3</w:t>
      </w:r>
    </w:p>
    <w:p>
      <w:pPr>
        <w:sectPr>
          <w:pgSz w:w="11900" w:h="16838" w:orient="portrait"/>
          <w:cols w:equalWidth="0" w:num="1">
            <w:col w:w="9360"/>
          </w:cols>
          <w:pgMar w:left="1260" w:top="282" w:right="1279" w:bottom="1440" w:gutter="0" w:footer="0" w:header="0"/>
        </w:sectPr>
      </w:pPr>
    </w:p>
    <w:bookmarkStart w:id="9" w:name="page10"/>
    <w:bookmarkEnd w:id="9"/>
    <w:p>
      <w:pPr>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Beneficial Owner: Shares Registered in the Name of a Broker or Bank</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“Who can vote at the Annual Meeting?” for voting instructions if you beneficially own shares held in street name.</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How many votes do I have?</w:t>
      </w:r>
    </w:p>
    <w:p>
      <w:pPr>
        <w:spacing w:after="0" w:line="110"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On each matter to be voted upon, you have one vote for each share of Common Stock you own as of the close of business on April 9, 2024.</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What if I return a proxy card but do not make specific choices?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If you return a signed and dated proxy card without marking any voting selections, your shares will be voted as follows:</w:t>
      </w:r>
    </w:p>
    <w:p>
      <w:pPr>
        <w:spacing w:after="0" w:line="115" w:lineRule="exact"/>
        <w:rPr>
          <w:sz w:val="20"/>
          <w:szCs w:val="20"/>
          <w:color w:val="auto"/>
        </w:rPr>
      </w:pPr>
    </w:p>
    <w:p>
      <w:pPr>
        <w:ind w:left="180" w:hanging="174"/>
        <w:spacing w:after="0"/>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election of each of the eight nominees for director;</w:t>
      </w:r>
    </w:p>
    <w:p>
      <w:pPr>
        <w:spacing w:after="0" w:line="114" w:lineRule="exact"/>
        <w:rPr>
          <w:rFonts w:ascii="Arial" w:cs="Arial" w:eastAsia="Arial" w:hAnsi="Arial"/>
          <w:sz w:val="16"/>
          <w:szCs w:val="16"/>
          <w:color w:val="auto"/>
        </w:rPr>
      </w:pPr>
    </w:p>
    <w:p>
      <w:pPr>
        <w:ind w:left="180" w:hanging="174"/>
        <w:spacing w:after="0"/>
        <w:tabs>
          <w:tab w:leader="none" w:pos="18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ratification of the appointment of Deloitte &amp; Touche LLP as our independent registered public accounting firm for 2024; and</w:t>
      </w:r>
    </w:p>
    <w:p>
      <w:pPr>
        <w:spacing w:after="0" w:line="137" w:lineRule="exact"/>
        <w:rPr>
          <w:rFonts w:ascii="Arial" w:cs="Arial" w:eastAsia="Arial" w:hAnsi="Arial"/>
          <w:sz w:val="14"/>
          <w:szCs w:val="14"/>
          <w:color w:val="auto"/>
        </w:rPr>
      </w:pPr>
    </w:p>
    <w:p>
      <w:pPr>
        <w:ind w:left="180" w:hanging="174"/>
        <w:spacing w:after="0"/>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approval, on an advisory basis, of the compensation of our named executive officers.</w:t>
      </w:r>
    </w:p>
    <w:p>
      <w:pPr>
        <w:spacing w:after="0" w:line="206" w:lineRule="exact"/>
        <w:rPr>
          <w:sz w:val="20"/>
          <w:szCs w:val="20"/>
          <w:color w:val="auto"/>
        </w:rPr>
      </w:pPr>
    </w:p>
    <w:p>
      <w:pPr>
        <w:ind w:right="260"/>
        <w:spacing w:after="0" w:line="264" w:lineRule="auto"/>
        <w:rPr>
          <w:sz w:val="20"/>
          <w:szCs w:val="20"/>
          <w:color w:val="auto"/>
        </w:rPr>
      </w:pPr>
      <w:r>
        <w:rPr>
          <w:rFonts w:ascii="Arial" w:cs="Arial" w:eastAsia="Arial" w:hAnsi="Arial"/>
          <w:sz w:val="16"/>
          <w:szCs w:val="16"/>
          <w:color w:val="auto"/>
        </w:rPr>
        <w:t>If any other matter is properly presented at the meeting, your proxy (one of the individuals named on your proxy card) will vote your shares using his or her best judgment.</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Who is paying for this proxy solicitation?</w:t>
      </w:r>
    </w:p>
    <w:p>
      <w:pPr>
        <w:spacing w:after="0" w:line="110"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ACI will pay for the entire cost of soliciting proxies, including the preparation, assembly, printing and mailing of the Internet Availability Notice, this Proxy Statement, the proxy and any additional solicitation materials that ACI may provide to stockholders. Copies of the proxy materials and any other solicitation materials will be provided to brokerage firms, banks, fiduciaries and custodians holding shares in their names that are beneficially owned by others so that they may forward the solicitation materials to such beneficial owners. ACI will reimburse such brokerage firms, banks, fiduciaries and other custodians for the reasonable out-of-pocket expenses incurred by them in connection with forwarding the proxy materials and any other solicitation materials.</w:t>
      </w:r>
    </w:p>
    <w:p>
      <w:pPr>
        <w:spacing w:after="0" w:line="186"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In addition to ACI mailing these proxy materials, the Internet Availability Notice and the Annual Report (as applicable), ACI’s directors and employees may also solicit proxies in person, by telephone or by other means of communication. Directors and employees will not be paid any additional compensation for soliciting proxies. Mediant Communications LLC will monitor voting and deliver executed proxies to our voting tabulator.</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What does it mean if I receive more than one set of proxy materials?</w:t>
      </w:r>
    </w:p>
    <w:p>
      <w:pPr>
        <w:spacing w:after="0" w:line="11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If you receive more than one set of proxy materials (including multiple copies of this Proxy Statement and multiple proxy cards or multiple Internet Availability Notices), your shares are registered in more than one name or are registered in different accounts. Please complete, date, sign and return each proxy card to ensure that all of your shares are voted.</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Can I change my vote after submitting my proxy?</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Yes. You can revoke your proxy at any time before the final vote at the Annual Meeting.</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If you are a stockholder of record, you may revoke your proxy in any one of the following ways:</w:t>
      </w:r>
    </w:p>
    <w:p>
      <w:pPr>
        <w:spacing w:after="0" w:line="115" w:lineRule="exact"/>
        <w:rPr>
          <w:sz w:val="20"/>
          <w:szCs w:val="20"/>
          <w:color w:val="auto"/>
        </w:rPr>
      </w:pPr>
    </w:p>
    <w:p>
      <w:pPr>
        <w:ind w:left="180" w:hanging="174"/>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You may submit another properly completed proxy card with a later date.</w:t>
      </w:r>
    </w:p>
    <w:p>
      <w:pPr>
        <w:spacing w:after="0" w:line="114" w:lineRule="exact"/>
        <w:rPr>
          <w:rFonts w:ascii="Arial" w:cs="Arial" w:eastAsia="Arial" w:hAnsi="Arial"/>
          <w:sz w:val="16"/>
          <w:szCs w:val="16"/>
          <w:color w:val="auto"/>
        </w:rPr>
      </w:pPr>
    </w:p>
    <w:p>
      <w:pPr>
        <w:ind w:left="180" w:hanging="174"/>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You may vote again on a later date over the Internet or by telephone as set forth on the Internet Availability Notice.</w:t>
      </w:r>
    </w:p>
    <w:p>
      <w:pPr>
        <w:spacing w:after="0" w:line="114" w:lineRule="exact"/>
        <w:rPr>
          <w:rFonts w:ascii="Arial" w:cs="Arial" w:eastAsia="Arial" w:hAnsi="Arial"/>
          <w:sz w:val="16"/>
          <w:szCs w:val="16"/>
          <w:color w:val="auto"/>
        </w:rPr>
      </w:pPr>
    </w:p>
    <w:p>
      <w:pPr>
        <w:ind w:left="180" w:hanging="174"/>
        <w:spacing w:after="0"/>
        <w:tabs>
          <w:tab w:leader="none" w:pos="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You may send a written notice that you are revoking your proxy to the Secretary of ACI at 6060 Coventry Drive, Elkhorn, NE 68022.</w:t>
      </w:r>
    </w:p>
    <w:p>
      <w:pPr>
        <w:spacing w:after="0" w:line="137" w:lineRule="exact"/>
        <w:rPr>
          <w:rFonts w:ascii="Arial" w:cs="Arial" w:eastAsia="Arial" w:hAnsi="Arial"/>
          <w:sz w:val="14"/>
          <w:szCs w:val="14"/>
          <w:color w:val="auto"/>
        </w:rPr>
      </w:pPr>
    </w:p>
    <w:p>
      <w:pPr>
        <w:ind w:left="180" w:hanging="174"/>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You may attend the Annual Meeting and submit an electronic ballot.</w:t>
      </w:r>
    </w:p>
    <w:p>
      <w:pPr>
        <w:spacing w:after="0" w:line="206"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If you are a beneficial owner of our shares, you will need to contact your bank, brokerage firm, trustee, or other nominee to revoke any prior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72390</wp:posOffset>
            </wp:positionV>
            <wp:extent cx="693420" cy="132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3420" cy="13208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4</w:t>
      </w:r>
    </w:p>
    <w:p>
      <w:pPr>
        <w:sectPr>
          <w:pgSz w:w="11900" w:h="16838" w:orient="portrait"/>
          <w:cols w:equalWidth="0" w:num="1">
            <w:col w:w="9280"/>
          </w:cols>
          <w:pgMar w:left="1260" w:top="296" w:right="1359" w:bottom="1440" w:gutter="0" w:footer="0" w:header="0"/>
        </w:sectPr>
      </w:pPr>
    </w:p>
    <w:bookmarkStart w:id="10" w:name="page11"/>
    <w:bookmarkEnd w:id="10"/>
    <w:p>
      <w:pPr>
        <w:spacing w:after="0"/>
        <w:rPr>
          <w:sz w:val="20"/>
          <w:szCs w:val="20"/>
          <w:color w:val="auto"/>
        </w:rPr>
      </w:pPr>
      <w:r>
        <w:rPr>
          <w:rFonts w:ascii="Arial" w:cs="Arial" w:eastAsia="Arial" w:hAnsi="Arial"/>
          <w:sz w:val="21"/>
          <w:szCs w:val="21"/>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How are votes counted?</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Votes will be counted by the inspector of elections appointed for the meeting as follows:</w:t>
      </w:r>
    </w:p>
    <w:p>
      <w:pPr>
        <w:spacing w:after="0" w:line="206" w:lineRule="exact"/>
        <w:rPr>
          <w:sz w:val="20"/>
          <w:szCs w:val="20"/>
          <w:color w:val="auto"/>
        </w:rPr>
      </w:pPr>
    </w:p>
    <w:p>
      <w:pPr>
        <w:ind w:right="600"/>
        <w:spacing w:after="0" w:line="264" w:lineRule="auto"/>
        <w:rPr>
          <w:sz w:val="20"/>
          <w:szCs w:val="20"/>
          <w:color w:val="auto"/>
        </w:rPr>
      </w:pPr>
      <w:r>
        <w:rPr>
          <w:rFonts w:ascii="Arial" w:cs="Arial" w:eastAsia="Arial" w:hAnsi="Arial"/>
          <w:sz w:val="16"/>
          <w:szCs w:val="16"/>
          <w:i w:val="1"/>
          <w:iCs w:val="1"/>
          <w:color w:val="auto"/>
        </w:rPr>
        <w:t>Proposal No. 1</w:t>
      </w:r>
      <w:r>
        <w:rPr>
          <w:rFonts w:ascii="Arial" w:cs="Arial" w:eastAsia="Arial" w:hAnsi="Arial"/>
          <w:sz w:val="16"/>
          <w:szCs w:val="16"/>
          <w:color w:val="auto"/>
        </w:rPr>
        <w:t>. The inspector of elections will count “For” votes, “Against” votes and votes to “Abstain.” Abstentions and broker</w:t>
      </w:r>
      <w:r>
        <w:rPr>
          <w:rFonts w:ascii="Arial" w:cs="Arial" w:eastAsia="Arial" w:hAnsi="Arial"/>
          <w:sz w:val="16"/>
          <w:szCs w:val="16"/>
          <w:i w:val="1"/>
          <w:iCs w:val="1"/>
          <w:color w:val="auto"/>
        </w:rPr>
        <w:t xml:space="preserve"> </w:t>
      </w:r>
      <w:r>
        <w:rPr>
          <w:rFonts w:ascii="Arial" w:cs="Arial" w:eastAsia="Arial" w:hAnsi="Arial"/>
          <w:sz w:val="16"/>
          <w:szCs w:val="16"/>
          <w:color w:val="auto"/>
        </w:rPr>
        <w:t>non-votes will not affect the outcome of Proposal No. 1.</w:t>
      </w:r>
    </w:p>
    <w:p>
      <w:pPr>
        <w:spacing w:after="0" w:line="167" w:lineRule="exact"/>
        <w:rPr>
          <w:sz w:val="20"/>
          <w:szCs w:val="20"/>
          <w:color w:val="auto"/>
        </w:rPr>
      </w:pPr>
    </w:p>
    <w:p>
      <w:pPr>
        <w:ind w:right="220"/>
        <w:spacing w:after="0" w:line="246" w:lineRule="auto"/>
        <w:rPr>
          <w:sz w:val="20"/>
          <w:szCs w:val="20"/>
          <w:color w:val="auto"/>
        </w:rPr>
      </w:pPr>
      <w:r>
        <w:rPr>
          <w:rFonts w:ascii="Arial" w:cs="Arial" w:eastAsia="Arial" w:hAnsi="Arial"/>
          <w:sz w:val="16"/>
          <w:szCs w:val="16"/>
          <w:i w:val="1"/>
          <w:iCs w:val="1"/>
          <w:color w:val="auto"/>
        </w:rPr>
        <w:t>Proposal No. 2</w:t>
      </w:r>
      <w:r>
        <w:rPr>
          <w:rFonts w:ascii="Arial" w:cs="Arial" w:eastAsia="Arial" w:hAnsi="Arial"/>
          <w:sz w:val="16"/>
          <w:szCs w:val="16"/>
          <w:color w:val="auto"/>
        </w:rPr>
        <w:t>. The inspector of elections will count “For” and “Against” votes. Abstentions will have the effect of a vote against the</w:t>
      </w:r>
      <w:r>
        <w:rPr>
          <w:rFonts w:ascii="Arial" w:cs="Arial" w:eastAsia="Arial" w:hAnsi="Arial"/>
          <w:sz w:val="16"/>
          <w:szCs w:val="16"/>
          <w:i w:val="1"/>
          <w:iCs w:val="1"/>
          <w:color w:val="auto"/>
        </w:rPr>
        <w:t xml:space="preserve"> </w:t>
      </w:r>
      <w:r>
        <w:rPr>
          <w:rFonts w:ascii="Arial" w:cs="Arial" w:eastAsia="Arial" w:hAnsi="Arial"/>
          <w:sz w:val="16"/>
          <w:szCs w:val="16"/>
          <w:color w:val="auto"/>
        </w:rPr>
        <w:t>proposal. Brokers have discretionary voting authority to vote on Proposal No. 2 in the absence of voting instructions from their customers. As a result, there should be no broker non-votes with respect to this proposal, but if there are any such broker non-votes, they will not affect the outcome of Proposal No. 2.</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i w:val="1"/>
          <w:iCs w:val="1"/>
          <w:color w:val="auto"/>
        </w:rPr>
        <w:t>Proposal No. 3</w:t>
      </w:r>
      <w:r>
        <w:rPr>
          <w:rFonts w:ascii="Arial" w:cs="Arial" w:eastAsia="Arial" w:hAnsi="Arial"/>
          <w:sz w:val="16"/>
          <w:szCs w:val="16"/>
          <w:color w:val="auto"/>
        </w:rPr>
        <w:t>. The inspector of elections will count “For” and “Against” votes. Broker non-votes will not affect the outcome of Proposal</w:t>
      </w:r>
      <w:r>
        <w:rPr>
          <w:rFonts w:ascii="Arial" w:cs="Arial" w:eastAsia="Arial" w:hAnsi="Arial"/>
          <w:sz w:val="16"/>
          <w:szCs w:val="16"/>
          <w:i w:val="1"/>
          <w:iCs w:val="1"/>
          <w:color w:val="auto"/>
        </w:rPr>
        <w:t xml:space="preserve"> </w:t>
      </w:r>
      <w:r>
        <w:rPr>
          <w:rFonts w:ascii="Arial" w:cs="Arial" w:eastAsia="Arial" w:hAnsi="Arial"/>
          <w:sz w:val="16"/>
          <w:szCs w:val="16"/>
          <w:color w:val="auto"/>
        </w:rPr>
        <w:t>No. 3. Abstentions will have the effect of a vote against the proposal.</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“How many votes are needed to approve each proposal?” for further details regarding the votes needed to approve each proposal.</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What is a “broker non-vote”?</w:t>
      </w:r>
    </w:p>
    <w:p>
      <w:pPr>
        <w:spacing w:after="0" w:line="110"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If your shares are held by your broker, bank or other similar organization as your nominee (that is, in “street name”), you will need to follow the voting instructions provided by that organization on how to vote your shares. If you do not provide voting instructions, your shares may constitute “broker non-votes.” Generally, broker non-votes occur on a matter when a broker, bank, or other organization is not permitted to vote on that matter, including the election of directors or executive compensation matters, without instructions from the beneficial owner and instructions are not given. We encourage you to provide instructions to your broker or other nominee regarding voting your shares. On any matter for which your broker or other nominee does not vote on your behalf, the shares will be treated as “broker non-votes.”</w:t>
      </w:r>
    </w:p>
    <w:p>
      <w:pPr>
        <w:spacing w:after="0" w:line="188" w:lineRule="exact"/>
        <w:rPr>
          <w:sz w:val="20"/>
          <w:szCs w:val="20"/>
          <w:color w:val="auto"/>
        </w:rPr>
      </w:pPr>
    </w:p>
    <w:p>
      <w:pPr>
        <w:ind w:right="80"/>
        <w:spacing w:after="0" w:line="293" w:lineRule="auto"/>
        <w:rPr>
          <w:sz w:val="20"/>
          <w:szCs w:val="20"/>
          <w:color w:val="auto"/>
        </w:rPr>
      </w:pPr>
      <w:r>
        <w:rPr>
          <w:rFonts w:ascii="Arial" w:cs="Arial" w:eastAsia="Arial" w:hAnsi="Arial"/>
          <w:sz w:val="14"/>
          <w:szCs w:val="14"/>
          <w:color w:val="auto"/>
        </w:rPr>
        <w:t>Broker non-votes will be counted for purposes of determining the presence or absence of a quorum for the transaction of business at the Annual Meeting, but broker non-votes will not be counted for purposes of determining the number of shares present or represented by proxy at the Annual Meeting with respect to a particular proposal on which the broker has expressly not voted. See “How are votes counted?” for further details regarding the effect of broker non-votes on the proposals set forth in this Proxy Statement.</w:t>
      </w:r>
    </w:p>
    <w:p>
      <w:pPr>
        <w:spacing w:after="0" w:line="135"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How is an abstention counted?</w:t>
      </w:r>
    </w:p>
    <w:p>
      <w:pPr>
        <w:spacing w:after="0" w:line="110"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Abstentions will be counted for purposes of determining the presence or absence of a quorum. The effect of an abstention on the outcome of the voting on a particular proposal depends on the vote required to approve that proposal, as described in the “How many votes are needed to approve each proposal?” section below.</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How many votes are needed to approve each proposal?</w:t>
      </w:r>
    </w:p>
    <w:p>
      <w:pPr>
        <w:spacing w:after="0" w:line="110"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i w:val="1"/>
          <w:iCs w:val="1"/>
          <w:color w:val="auto"/>
        </w:rPr>
        <w:t>Proposal No. 1</w:t>
      </w:r>
      <w:r>
        <w:rPr>
          <w:rFonts w:ascii="Arial" w:cs="Arial" w:eastAsia="Arial" w:hAnsi="Arial"/>
          <w:sz w:val="14"/>
          <w:szCs w:val="14"/>
          <w:color w:val="auto"/>
        </w:rPr>
        <w:t>. We have a majority voting standard for uncontested elections of directors, including the election of directors in the</w:t>
      </w:r>
      <w:r>
        <w:rPr>
          <w:rFonts w:ascii="Arial" w:cs="Arial" w:eastAsia="Arial" w:hAnsi="Arial"/>
          <w:sz w:val="14"/>
          <w:szCs w:val="14"/>
          <w:i w:val="1"/>
          <w:iCs w:val="1"/>
          <w:color w:val="auto"/>
        </w:rPr>
        <w:t xml:space="preserve"> </w:t>
      </w:r>
      <w:r>
        <w:rPr>
          <w:rFonts w:ascii="Arial" w:cs="Arial" w:eastAsia="Arial" w:hAnsi="Arial"/>
          <w:sz w:val="14"/>
          <w:szCs w:val="14"/>
          <w:color w:val="auto"/>
        </w:rPr>
        <w:t>Annual Meeting. Under our Bylaws, the number of shares voted “For” a director’s election must exceed 50% of the number of votes cast with respect to that director’s election. A director standing for re-election who fails to receive the required number of votes is expected to tender his or her resignation, which resignation will be accepted in the Board’s exclusive discretion. The Board will only nominate for election or re-election candidates who agree to tender an irrevocable resignation upon failure to receive the required vote.</w:t>
      </w:r>
    </w:p>
    <w:p>
      <w:pPr>
        <w:spacing w:after="0" w:line="155"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In contested elections – where the number of nominees exceeds the number of directors to be elected – each director will be elected by a plurality of the votes cast.</w:t>
      </w:r>
    </w:p>
    <w:p>
      <w:pPr>
        <w:spacing w:after="0" w:line="167"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i w:val="1"/>
          <w:iCs w:val="1"/>
          <w:color w:val="auto"/>
        </w:rPr>
        <w:t>Proposal No. 2</w:t>
      </w:r>
      <w:r>
        <w:rPr>
          <w:rFonts w:ascii="Arial" w:cs="Arial" w:eastAsia="Arial" w:hAnsi="Arial"/>
          <w:sz w:val="16"/>
          <w:szCs w:val="16"/>
          <w:color w:val="auto"/>
        </w:rPr>
        <w:t>. Ratification of the appointment of Deloitte &amp; Touche LLP as ACI’s independent registered public accounting firm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ending December 31, 2024 requires the affirmative “For” vote of a majority in voting power of the votes cast by the holders of all shares present, or represented by proxy, and voting affirmatively or negatively on such matter.</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5</w:t>
      </w:r>
    </w:p>
    <w:p>
      <w:pPr>
        <w:sectPr>
          <w:pgSz w:w="11900" w:h="16838" w:orient="portrait"/>
          <w:cols w:equalWidth="0" w:num="1">
            <w:col w:w="9360"/>
          </w:cols>
          <w:pgMar w:left="1260" w:top="282" w:right="1279" w:bottom="1440" w:gutter="0" w:footer="0" w:header="0"/>
        </w:sectPr>
      </w:pPr>
    </w:p>
    <w:bookmarkStart w:id="11" w:name="page12"/>
    <w:bookmarkEnd w:id="11"/>
    <w:p>
      <w:pPr>
        <w:ind w:right="420"/>
        <w:spacing w:after="0" w:line="25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Proposal No. 3</w:t>
      </w:r>
      <w:r>
        <w:rPr>
          <w:rFonts w:ascii="Arial" w:cs="Arial" w:eastAsia="Arial" w:hAnsi="Arial"/>
          <w:sz w:val="16"/>
          <w:szCs w:val="16"/>
          <w:color w:val="auto"/>
        </w:rPr>
        <w:t>. Approval, on an advisory basis, of the compensation of our named executive officers as disclosed in this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requires the affirmative “For” vote of a majority in voting power of the votes cast by the holders of all shares present, or represented by proxy, and voting affirmatively or negatively on such matter.</w:t>
      </w:r>
    </w:p>
    <w:p>
      <w:pPr>
        <w:spacing w:after="0" w:line="176"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See “How are votes counted?” for further details regarding the effect of abstentions and broker-non votes on the proposals set forth in this Proxy Statement.</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What are the Board’s voting recommendations?</w:t>
      </w:r>
    </w:p>
    <w:p>
      <w:pPr>
        <w:spacing w:after="0" w:line="123" w:lineRule="exact"/>
        <w:rPr>
          <w:sz w:val="20"/>
          <w:szCs w:val="20"/>
          <w:color w:val="auto"/>
        </w:rPr>
      </w:pPr>
    </w:p>
    <w:p>
      <w:pPr>
        <w:ind w:left="180" w:hanging="174"/>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Proposal No. 1</w:t>
      </w:r>
      <w:r>
        <w:rPr>
          <w:rFonts w:ascii="Arial" w:cs="Arial" w:eastAsia="Arial" w:hAnsi="Arial"/>
          <w:sz w:val="16"/>
          <w:szCs w:val="16"/>
          <w:color w:val="auto"/>
        </w:rPr>
        <w:t>. “For” each of the nominees to the Board of Directors.</w:t>
      </w:r>
    </w:p>
    <w:p>
      <w:pPr>
        <w:spacing w:after="0" w:line="231" w:lineRule="exact"/>
        <w:rPr>
          <w:rFonts w:ascii="Arial" w:cs="Arial" w:eastAsia="Arial" w:hAnsi="Arial"/>
          <w:sz w:val="16"/>
          <w:szCs w:val="16"/>
          <w:color w:val="auto"/>
        </w:rPr>
      </w:pPr>
    </w:p>
    <w:p>
      <w:pPr>
        <w:ind w:left="180" w:right="220" w:hanging="174"/>
        <w:spacing w:after="0" w:line="264"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Proposal No. 2</w:t>
      </w:r>
      <w:r>
        <w:rPr>
          <w:rFonts w:ascii="Arial" w:cs="Arial" w:eastAsia="Arial" w:hAnsi="Arial"/>
          <w:sz w:val="16"/>
          <w:szCs w:val="16"/>
          <w:color w:val="auto"/>
        </w:rPr>
        <w:t>. “For” the ratification of the appointment of Deloitte &amp; Touche LLP as the Company’s independent registered public</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firm for the year ending December 31, 2024.</w:t>
      </w:r>
    </w:p>
    <w:p>
      <w:pPr>
        <w:spacing w:after="0" w:line="192" w:lineRule="exact"/>
        <w:rPr>
          <w:rFonts w:ascii="Arial" w:cs="Arial" w:eastAsia="Arial" w:hAnsi="Arial"/>
          <w:sz w:val="16"/>
          <w:szCs w:val="16"/>
          <w:color w:val="auto"/>
        </w:rPr>
      </w:pPr>
    </w:p>
    <w:p>
      <w:pPr>
        <w:ind w:left="180" w:right="240" w:hanging="174"/>
        <w:spacing w:after="0" w:line="264"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Proposal No. 3</w:t>
      </w:r>
      <w:r>
        <w:rPr>
          <w:rFonts w:ascii="Arial" w:cs="Arial" w:eastAsia="Arial" w:hAnsi="Arial"/>
          <w:sz w:val="16"/>
          <w:szCs w:val="16"/>
          <w:color w:val="auto"/>
        </w:rPr>
        <w:t>. “For” the approval, on an advisory basis, of the compensation of our named executive officers as disclosed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Proxy Statement.</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What is the quorum requirement?</w:t>
      </w:r>
    </w:p>
    <w:p>
      <w:pPr>
        <w:spacing w:after="0" w:line="110"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A quorum of stockholders is necessary to hold a valid meeting. A quorum will be present if a majority of all outstanding shares is represented by stockholders at the Annual Meeting, by means of remote communication or represented by proxy. On the Record Date, there were 106,255,858 shares of Common Stock issued, outstanding and entitled to vote, which number excludes 34,269,197 shares of Common Stock held as treasury stock by ACI. Thus, 53,127,930 shares must be represented by stockholders present at the Annual Meeting or represented by proxy to have a quorum. Your shares will be counted towards the quorum if you submit a valid proxy or vote at the Annual Meeting. In addition, under the General Corporation Law of the State of Delaware, abstentions and broker non-votes will be counted as present for the purpose of determining the presence of a quorum.</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How can I find out the results of the voting at the Annual Meeting?</w:t>
      </w:r>
    </w:p>
    <w:p>
      <w:pPr>
        <w:spacing w:after="0" w:line="110"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Preliminary voting results will be announced at the Annual Meeting. Final voting results will be published in a Current Report on Form 8-K within four business days following the Annual Meeting. In the event we are unable to obtain the final voting results within four business days, we will file the preliminary voting results in a Current Report on Form 8-K within four business days following the Annual Meeting and will file an amended Form 8-K with the final voting results within four business days after the final voting results are known.</w:t>
      </w:r>
    </w:p>
    <w:p>
      <w:pPr>
        <w:spacing w:after="0" w:line="135" w:lineRule="exact"/>
        <w:rPr>
          <w:sz w:val="20"/>
          <w:szCs w:val="20"/>
          <w:color w:val="auto"/>
        </w:rPr>
      </w:pPr>
    </w:p>
    <w:p>
      <w:pPr>
        <w:ind w:right="420"/>
        <w:spacing w:after="0" w:line="274" w:lineRule="auto"/>
        <w:rPr>
          <w:sz w:val="20"/>
          <w:szCs w:val="20"/>
          <w:color w:val="auto"/>
        </w:rPr>
      </w:pPr>
      <w:r>
        <w:rPr>
          <w:rFonts w:ascii="Arial" w:cs="Arial" w:eastAsia="Arial" w:hAnsi="Arial"/>
          <w:sz w:val="21"/>
          <w:szCs w:val="21"/>
          <w:b w:val="1"/>
          <w:bCs w:val="1"/>
          <w:color w:val="284993"/>
        </w:rPr>
        <w:t>How can stockholders submit a proposal for inclusion in our Proxy Statement for the 2025 annual meeting of stockholders?</w:t>
      </w:r>
    </w:p>
    <w:p>
      <w:pPr>
        <w:spacing w:after="0" w:line="34"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To be included in our proxy statement for the 2025 annual meeting of stockholders, stockholder proposals must comply with the requirements of Rule 14a-8 under the Securities Exchange Act of 1934, as amended (the “Exchange Act”). Except as provided below, stockholder proposals must be received by our Secretary at our principal executive offices no later than December 23, 2024. The Corporate Governance Committee will review proposals submitted by stockholders for inclusion at our next annual meeting of stockholders and will make recommendations to our Board on an appropriate response to such proposals.</w:t>
      </w:r>
    </w:p>
    <w:p>
      <w:pPr>
        <w:spacing w:after="0" w:line="168" w:lineRule="exact"/>
        <w:rPr>
          <w:sz w:val="20"/>
          <w:szCs w:val="20"/>
          <w:color w:val="auto"/>
        </w:rPr>
      </w:pPr>
    </w:p>
    <w:p>
      <w:pPr>
        <w:ind w:right="260"/>
        <w:spacing w:after="0" w:line="253" w:lineRule="auto"/>
        <w:rPr>
          <w:sz w:val="20"/>
          <w:szCs w:val="20"/>
          <w:color w:val="auto"/>
        </w:rPr>
      </w:pPr>
      <w:r>
        <w:rPr>
          <w:rFonts w:ascii="Arial" w:cs="Arial" w:eastAsia="Arial" w:hAnsi="Arial"/>
          <w:sz w:val="21"/>
          <w:szCs w:val="21"/>
          <w:b w:val="1"/>
          <w:bCs w:val="1"/>
          <w:color w:val="284993"/>
        </w:rPr>
        <w:t>How can stockholders submit proposals to be raised at the 2025 annual meeting of stockholders that will not be included in our proxy statement for the 2025 annual meeting of stockholders?</w:t>
      </w:r>
    </w:p>
    <w:p>
      <w:pPr>
        <w:spacing w:after="0" w:line="56"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To be raised at the 2025 annual meeting of stockholders, stockholder proposals must comply with our Bylaws. To be timely, a stockholder’s notice of a proposal must be delivered to or mailed and received at our principal executive offices not earlier than February 4, 2025 and not later than March 6, 2025. Under our proxy access bylaw, if a stockholder (or a group of up to 20 stockholders) who has owned at least 3% of our shares for at least three years and has complied with the other requirements set forth in our Bylaws wants us to include director nominees (up to the greater of two nominees or 20% of the Board) in our 2025 proxy statement and form of proxy for election at our 2025 Annual Meeting of Stockholders, the nominations must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85090</wp:posOffset>
            </wp:positionV>
            <wp:extent cx="693420" cy="1320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3420" cy="13208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6</w:t>
      </w:r>
    </w:p>
    <w:p>
      <w:pPr>
        <w:sectPr>
          <w:pgSz w:w="11900" w:h="16838" w:orient="portrait"/>
          <w:cols w:equalWidth="0" w:num="1">
            <w:col w:w="9340"/>
          </w:cols>
          <w:pgMar w:left="1260" w:top="296" w:right="1299" w:bottom="1440" w:gutter="0" w:footer="0" w:header="0"/>
        </w:sectPr>
      </w:pPr>
    </w:p>
    <w:bookmarkStart w:id="12" w:name="page13"/>
    <w:bookmarkEnd w:id="12"/>
    <w:p>
      <w:pPr>
        <w:ind w:right="40"/>
        <w:spacing w:after="0" w:line="24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received by ACI’s Secretary at ACI’s office located at 6060 Coventry Drive, Elkhorn, NE 68022 not earlier than November 23, 2024 and not later than December 23, 2024. If a stockholder wishes only to recommend a candidate for consideration by the Nominating and Corporate Governance Committee as a potential nominee for director, see the procedures discussed in “Stockholder Communications with our Board.” Any stockholder considering a proxy access nomination should carefully review our Bylaws, which are available on our website at aciworldwide.com.</w:t>
      </w:r>
    </w:p>
    <w:p>
      <w:pPr>
        <w:spacing w:after="0" w:line="182"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In addition to satisfying the requirements under our Bylaws, stockholders who intend to solicit proxies in support of director nominees other than our nominees must provide notice that sets forth the information required by Rule 14a-19 under the Exchange Act to comply with the universal proxy rules, which notice must be postmarked or transmitted electronically to us at our principal executive offices no later than April 5, 2025. However, if the date of the 2025 Annual Meeting is changed by more than 30 calendar days from such anniversary date, then notice must be provided by the later of 60 calendar days prior to the date of the 2025 Annual Meeting or the 10th calendar day following the day on which public announcement of the date of the 2025 Annual Meeting is first made.</w:t>
      </w:r>
    </w:p>
    <w:p>
      <w:pPr>
        <w:spacing w:after="0" w:line="142" w:lineRule="exact"/>
        <w:rPr>
          <w:sz w:val="20"/>
          <w:szCs w:val="20"/>
          <w:color w:val="auto"/>
        </w:rPr>
      </w:pPr>
    </w:p>
    <w:p>
      <w:pPr>
        <w:ind w:right="380"/>
        <w:spacing w:after="0" w:line="274" w:lineRule="auto"/>
        <w:rPr>
          <w:sz w:val="20"/>
          <w:szCs w:val="20"/>
          <w:color w:val="auto"/>
        </w:rPr>
      </w:pPr>
      <w:r>
        <w:rPr>
          <w:rFonts w:ascii="Arial" w:cs="Arial" w:eastAsia="Arial" w:hAnsi="Arial"/>
          <w:sz w:val="21"/>
          <w:szCs w:val="21"/>
          <w:b w:val="1"/>
          <w:bCs w:val="1"/>
          <w:color w:val="284993"/>
        </w:rPr>
        <w:t>What if the date of the 2025 annual meeting of stockholders changes by more than 30 days from the anniversary of this year’s Annual Meeting?</w:t>
      </w:r>
    </w:p>
    <w:p>
      <w:pPr>
        <w:spacing w:after="0" w:line="34"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Under Rule 14a-8 of the Exchange Act, if the date of the 2025 annual meeting of stockholders changes by more than 30 days from the anniversary of this year’s Annual Meeting, to be included in our proxy statement for such meeting, stockholder proposals must be received by us within a reasonable time before our solicitation is made. Under our Bylaws, if the date of the annual meeting is advanced more than 30 calendar days prior to or delayed by more than 30 calendar days after the anniversary of the preceding year’s annual meeting, notice by the stockholder to be timely must be so delivered not later than the close of business on the later of (A) the 90th calendar day prior to such annual meeting and (B) the 10th calendar day following the day on which public disclosure of the date of such meeting is first made.</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Does a stockholder proposal require specific information?</w:t>
      </w:r>
    </w:p>
    <w:p>
      <w:pPr>
        <w:spacing w:after="0" w:line="110" w:lineRule="exact"/>
        <w:rPr>
          <w:sz w:val="20"/>
          <w:szCs w:val="20"/>
          <w:color w:val="auto"/>
        </w:rPr>
      </w:pPr>
    </w:p>
    <w:p>
      <w:pPr>
        <w:ind w:right="80"/>
        <w:spacing w:after="0"/>
        <w:rPr>
          <w:sz w:val="20"/>
          <w:szCs w:val="20"/>
          <w:color w:val="auto"/>
        </w:rPr>
      </w:pPr>
      <w:r>
        <w:rPr>
          <w:rFonts w:ascii="Arial" w:cs="Arial" w:eastAsia="Arial" w:hAnsi="Arial"/>
          <w:sz w:val="16"/>
          <w:szCs w:val="16"/>
          <w:color w:val="auto"/>
        </w:rPr>
        <w:t>To be included in our proxy statement, stockholder proposals must comply with the requirements of Rule 14a-8 under the Exchange Act. With respect to a stockholder’s nomination of a candidate for our Board, the stockholder notice to our Secretary must contain certain information as set forth in our Bylaws about both the nominee and the stockholder making the nomination. With respect to any other business that the stockholder proposes, the stockholder notice must contain a brief description of such business and the reasons for conducting such business at the meeting, as well as certain other information as set forth in our Bylaws. If you wish to bring a stockholder proposal or nominate a candidate for director, you are advised to review Rule 14a-8 under the Exchange Act and our Bylaws, as applicable, which contain additional requirements about advance notice of stockholder proposals and director nominations. Pursuant to Rule 14a-4(c) under the Exchange Act, if ACI does not receive advance notice of a stockholder proposal to be brought before its next annual meeting of stockholders in accordance with the requirements of its Bylaws, the proxies solicited by ACI may confer discretionary voting authority to vote proxies on the stockholder proposal without any discussion of the matter in the proxy statement.</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7</w:t>
      </w:r>
    </w:p>
    <w:p>
      <w:pPr>
        <w:sectPr>
          <w:pgSz w:w="11900" w:h="16838" w:orient="portrait"/>
          <w:cols w:equalWidth="0" w:num="1">
            <w:col w:w="9360"/>
          </w:cols>
          <w:pgMar w:left="1260" w:top="296" w:right="1279" w:bottom="1440" w:gutter="0" w:footer="0" w:header="0"/>
        </w:sectPr>
      </w:pPr>
    </w:p>
    <w:bookmarkStart w:id="13" w:name="page14"/>
    <w:bookmarkEnd w:id="13"/>
    <w:p>
      <w:pPr>
        <w:jc w:val="center"/>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257175</wp:posOffset>
            </wp:positionV>
            <wp:extent cx="59410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Our corporate governance practices and the diverse skills and attributes that our directors bring to ACI support our business as a global payments software company. All our director nominees have served in leadership roles and, except for our CEO, all nominees are independent. Through proactive evaluation and assessment, our Board can adapt and ensure that the right skills and experience are represented on our Board.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Our corporate governance structure is designed to serve the best interests of our stockholders.</w:t>
      </w:r>
    </w:p>
    <w:p>
      <w:pPr>
        <w:spacing w:after="0" w:line="253" w:lineRule="exact"/>
        <w:rPr>
          <w:sz w:val="20"/>
          <w:szCs w:val="20"/>
          <w:color w:val="auto"/>
        </w:rPr>
      </w:pPr>
    </w:p>
    <w:p>
      <w:pPr>
        <w:ind w:left="300"/>
        <w:spacing w:after="0"/>
        <w:tabs>
          <w:tab w:leader="none" w:pos="3180" w:val="left"/>
        </w:tabs>
        <w:rPr>
          <w:sz w:val="20"/>
          <w:szCs w:val="20"/>
          <w:color w:val="auto"/>
        </w:rPr>
      </w:pPr>
      <w:r>
        <w:rPr>
          <w:rFonts w:ascii="Arial" w:cs="Arial" w:eastAsia="Arial" w:hAnsi="Arial"/>
          <w:sz w:val="17"/>
          <w:szCs w:val="17"/>
          <w:color w:val="auto"/>
        </w:rPr>
        <w:t>Governance Practices</w:t>
      </w:r>
      <w:r>
        <w:rPr>
          <w:sz w:val="20"/>
          <w:szCs w:val="20"/>
          <w:color w:val="auto"/>
        </w:rPr>
        <w:tab/>
      </w:r>
      <w:r>
        <w:rPr>
          <w:rFonts w:ascii="Arial" w:cs="Arial" w:eastAsia="Arial" w:hAnsi="Arial"/>
          <w:sz w:val="14"/>
          <w:szCs w:val="14"/>
          <w:color w:val="auto"/>
        </w:rPr>
        <w:t>•  Annual elections of directors</w:t>
      </w:r>
    </w:p>
    <w:p>
      <w:pPr>
        <w:spacing w:after="0" w:line="56"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•  Annual Board and committee evaluations</w:t>
      </w:r>
    </w:p>
    <w:p>
      <w:pPr>
        <w:spacing w:after="0" w:line="63"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•  All committee members are independent</w:t>
      </w:r>
    </w:p>
    <w:p>
      <w:pPr>
        <w:spacing w:after="0" w:line="63"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•  Majority voting standard in uncontested elections</w:t>
      </w:r>
    </w:p>
    <w:p>
      <w:pPr>
        <w:spacing w:after="0" w:line="63"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•  Directors attended at least 75% of Board and committee meetings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22860</wp:posOffset>
            </wp:positionV>
            <wp:extent cx="56438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3880" cy="8255"/>
                    </a:xfrm>
                    <a:prstGeom prst="rect">
                      <a:avLst/>
                    </a:prstGeom>
                    <a:noFill/>
                  </pic:spPr>
                </pic:pic>
              </a:graphicData>
            </a:graphic>
          </wp:anchor>
        </w:drawing>
      </w:r>
    </w:p>
    <w:p>
      <w:pPr>
        <w:spacing w:after="0" w:line="43" w:lineRule="exact"/>
        <w:rPr>
          <w:sz w:val="20"/>
          <w:szCs w:val="20"/>
          <w:color w:val="auto"/>
        </w:rPr>
      </w:pPr>
    </w:p>
    <w:p>
      <w:pPr>
        <w:ind w:left="320"/>
        <w:spacing w:after="0"/>
        <w:tabs>
          <w:tab w:leader="none" w:pos="3180" w:val="left"/>
        </w:tabs>
        <w:rPr>
          <w:sz w:val="20"/>
          <w:szCs w:val="20"/>
          <w:color w:val="auto"/>
        </w:rPr>
      </w:pPr>
      <w:r>
        <w:rPr>
          <w:rFonts w:ascii="Arial" w:cs="Arial" w:eastAsia="Arial" w:hAnsi="Arial"/>
          <w:sz w:val="16"/>
          <w:szCs w:val="16"/>
          <w:color w:val="auto"/>
        </w:rPr>
        <w:t>Stockholder Alignment</w:t>
      </w:r>
      <w:r>
        <w:rPr>
          <w:sz w:val="20"/>
          <w:szCs w:val="20"/>
          <w:color w:val="auto"/>
        </w:rPr>
        <w:tab/>
      </w:r>
      <w:r>
        <w:rPr>
          <w:rFonts w:ascii="Arial" w:cs="Arial" w:eastAsia="Arial" w:hAnsi="Arial"/>
          <w:sz w:val="14"/>
          <w:szCs w:val="14"/>
          <w:color w:val="auto"/>
        </w:rPr>
        <w:t>•  Proactive engagement with our stockholders</w:t>
      </w:r>
    </w:p>
    <w:p>
      <w:pPr>
        <w:spacing w:after="0" w:line="63"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•  Proxy access to make it easier for stockholders to nominate director candidates</w:t>
      </w:r>
    </w:p>
    <w:p>
      <w:pPr>
        <w:spacing w:after="0" w:line="63" w:lineRule="exact"/>
        <w:rPr>
          <w:sz w:val="20"/>
          <w:szCs w:val="20"/>
          <w:color w:val="auto"/>
        </w:rPr>
      </w:pPr>
    </w:p>
    <w:p>
      <w:pPr>
        <w:ind w:left="3360" w:right="420" w:hanging="155"/>
        <w:spacing w:after="0" w:line="264" w:lineRule="auto"/>
        <w:rPr>
          <w:sz w:val="20"/>
          <w:szCs w:val="20"/>
          <w:color w:val="auto"/>
        </w:rPr>
      </w:pPr>
      <w:r>
        <w:rPr>
          <w:rFonts w:ascii="Arial" w:cs="Arial" w:eastAsia="Arial" w:hAnsi="Arial"/>
          <w:sz w:val="16"/>
          <w:szCs w:val="16"/>
          <w:color w:val="auto"/>
        </w:rPr>
        <w:t>•  Prohibition of short sales, transactions in derivatives and hedging and pledging of ACI stock by our directors and executive officers</w:t>
      </w:r>
    </w:p>
    <w:p>
      <w:pPr>
        <w:spacing w:after="0" w:line="24"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•  Stock ownership guidelines for our CEO, executive officers and directors</w:t>
      </w:r>
    </w:p>
    <w:p>
      <w:pPr>
        <w:spacing w:after="0" w:line="219"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ACI’s key governance documents, including our Corporate Governance Guidelines, Code of Business Conduct and Ethics and charters for each of our Board committees, are available on our website at aciworldwide.com.</w:t>
      </w:r>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Board of Directors and Committees</w:t>
      </w:r>
    </w:p>
    <w:p>
      <w:pPr>
        <w:spacing w:after="0" w:line="12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Our Board has three standing committees: the Audit Committee, the Compensation and Leadership Development Committee, and the Nominating and Corporate Governance Committee. The following table provides membership information for each of the standing Board committees as of April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5264150</wp:posOffset>
            </wp:positionH>
            <wp:positionV relativeFrom="paragraph">
              <wp:posOffset>136525</wp:posOffset>
            </wp:positionV>
            <wp:extent cx="8255" cy="19723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1972310"/>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136525</wp:posOffset>
            </wp:positionV>
            <wp:extent cx="8255" cy="19723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197231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136525</wp:posOffset>
            </wp:positionV>
            <wp:extent cx="16510" cy="19723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510" cy="197231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136525</wp:posOffset>
            </wp:positionV>
            <wp:extent cx="8255" cy="19723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1972310"/>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136525</wp:posOffset>
            </wp:positionV>
            <wp:extent cx="8255" cy="19723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1972310"/>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136525</wp:posOffset>
            </wp:positionV>
            <wp:extent cx="8255" cy="19723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1972310"/>
                    </a:xfrm>
                    <a:prstGeom prst="rect">
                      <a:avLst/>
                    </a:prstGeom>
                    <a:noFill/>
                  </pic:spPr>
                </pic:pic>
              </a:graphicData>
            </a:graphic>
          </wp:anchor>
        </w:drawing>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520" w:type="dxa"/>
            <w:vAlign w:val="bottom"/>
            <w:shd w:val="clear" w:color="auto" w:fill="284993"/>
          </w:tcPr>
          <w:p>
            <w:pPr>
              <w:spacing w:after="0"/>
              <w:rPr>
                <w:sz w:val="16"/>
                <w:szCs w:val="16"/>
                <w:color w:val="auto"/>
              </w:rPr>
            </w:pPr>
          </w:p>
        </w:tc>
        <w:tc>
          <w:tcPr>
            <w:tcW w:w="720" w:type="dxa"/>
            <w:vAlign w:val="bottom"/>
            <w:shd w:val="clear" w:color="auto" w:fill="284993"/>
          </w:tcPr>
          <w:p>
            <w:pPr>
              <w:spacing w:after="0"/>
              <w:rPr>
                <w:sz w:val="16"/>
                <w:szCs w:val="16"/>
                <w:color w:val="auto"/>
              </w:rPr>
            </w:pPr>
          </w:p>
        </w:tc>
        <w:tc>
          <w:tcPr>
            <w:tcW w:w="1420" w:type="dxa"/>
            <w:vAlign w:val="bottom"/>
            <w:shd w:val="clear" w:color="auto" w:fill="284993"/>
          </w:tcPr>
          <w:p>
            <w:pPr>
              <w:ind w:left="120"/>
              <w:spacing w:after="0"/>
              <w:rPr>
                <w:sz w:val="20"/>
                <w:szCs w:val="20"/>
                <w:color w:val="auto"/>
              </w:rPr>
            </w:pPr>
            <w:r>
              <w:rPr>
                <w:rFonts w:ascii="Arial" w:cs="Arial" w:eastAsia="Arial" w:hAnsi="Arial"/>
                <w:sz w:val="16"/>
                <w:szCs w:val="16"/>
                <w:b w:val="1"/>
                <w:bCs w:val="1"/>
                <w:color w:val="FFFFFF"/>
              </w:rPr>
              <w:t>  Compensation</w:t>
            </w:r>
          </w:p>
        </w:tc>
        <w:tc>
          <w:tcPr>
            <w:tcW w:w="128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7"/>
              </w:rPr>
              <w:t>Nominating</w:t>
            </w:r>
          </w:p>
        </w:tc>
        <w:tc>
          <w:tcPr>
            <w:tcW w:w="1320" w:type="dxa"/>
            <w:vAlign w:val="bottom"/>
            <w:shd w:val="clear" w:color="auto" w:fill="284993"/>
          </w:tcPr>
          <w:p>
            <w:pPr>
              <w:spacing w:after="0"/>
              <w:rPr>
                <w:sz w:val="16"/>
                <w:szCs w:val="16"/>
                <w:color w:val="auto"/>
              </w:rPr>
            </w:pPr>
          </w:p>
        </w:tc>
        <w:tc>
          <w:tcPr>
            <w:tcW w:w="1020" w:type="dxa"/>
            <w:vAlign w:val="bottom"/>
            <w:shd w:val="clear" w:color="auto" w:fill="284993"/>
          </w:tcPr>
          <w:p>
            <w:pPr>
              <w:spacing w:after="0"/>
              <w:rPr>
                <w:sz w:val="16"/>
                <w:szCs w:val="16"/>
                <w:color w:val="auto"/>
              </w:rPr>
            </w:pPr>
          </w:p>
        </w:tc>
        <w:tc>
          <w:tcPr>
            <w:tcW w:w="1060" w:type="dxa"/>
            <w:vAlign w:val="bottom"/>
            <w:shd w:val="clear" w:color="auto" w:fill="284993"/>
          </w:tcPr>
          <w:p>
            <w:pPr>
              <w:jc w:val="center"/>
              <w:ind w:right="2"/>
              <w:spacing w:after="0"/>
              <w:rPr>
                <w:sz w:val="20"/>
                <w:szCs w:val="20"/>
                <w:color w:val="auto"/>
              </w:rPr>
            </w:pPr>
            <w:r>
              <w:rPr>
                <w:rFonts w:ascii="Arial" w:cs="Arial" w:eastAsia="Arial" w:hAnsi="Arial"/>
                <w:sz w:val="16"/>
                <w:szCs w:val="16"/>
                <w:b w:val="1"/>
                <w:bCs w:val="1"/>
                <w:color w:val="FFFFFF"/>
                <w:w w:val="97"/>
              </w:rPr>
              <w:t># of Other</w:t>
            </w:r>
          </w:p>
        </w:tc>
      </w:tr>
      <w:tr>
        <w:trPr>
          <w:trHeight w:val="182"/>
        </w:trPr>
        <w:tc>
          <w:tcPr>
            <w:tcW w:w="2520" w:type="dxa"/>
            <w:vAlign w:val="bottom"/>
            <w:shd w:val="clear" w:color="auto" w:fill="284993"/>
          </w:tcPr>
          <w:p>
            <w:pPr>
              <w:spacing w:after="0"/>
              <w:rPr>
                <w:sz w:val="15"/>
                <w:szCs w:val="15"/>
                <w:color w:val="auto"/>
              </w:rPr>
            </w:pPr>
          </w:p>
        </w:tc>
        <w:tc>
          <w:tcPr>
            <w:tcW w:w="720" w:type="dxa"/>
            <w:vAlign w:val="bottom"/>
            <w:shd w:val="clear" w:color="auto" w:fill="284993"/>
          </w:tcPr>
          <w:p>
            <w:pPr>
              <w:spacing w:after="0"/>
              <w:rPr>
                <w:sz w:val="15"/>
                <w:szCs w:val="15"/>
                <w:color w:val="auto"/>
              </w:rPr>
            </w:pPr>
          </w:p>
        </w:tc>
        <w:tc>
          <w:tcPr>
            <w:tcW w:w="142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8"/>
              </w:rPr>
              <w:t>and</w:t>
            </w:r>
          </w:p>
        </w:tc>
        <w:tc>
          <w:tcPr>
            <w:tcW w:w="128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8"/>
              </w:rPr>
              <w:t>and</w:t>
            </w:r>
          </w:p>
        </w:tc>
        <w:tc>
          <w:tcPr>
            <w:tcW w:w="1320" w:type="dxa"/>
            <w:vAlign w:val="bottom"/>
            <w:shd w:val="clear" w:color="auto" w:fill="284993"/>
          </w:tcPr>
          <w:p>
            <w:pPr>
              <w:spacing w:after="0"/>
              <w:rPr>
                <w:sz w:val="15"/>
                <w:szCs w:val="15"/>
                <w:color w:val="auto"/>
              </w:rPr>
            </w:pPr>
          </w:p>
        </w:tc>
        <w:tc>
          <w:tcPr>
            <w:tcW w:w="1020" w:type="dxa"/>
            <w:vAlign w:val="bottom"/>
            <w:shd w:val="clear" w:color="auto" w:fill="284993"/>
          </w:tcPr>
          <w:p>
            <w:pPr>
              <w:spacing w:after="0"/>
              <w:rPr>
                <w:sz w:val="15"/>
                <w:szCs w:val="15"/>
                <w:color w:val="auto"/>
              </w:rPr>
            </w:pPr>
          </w:p>
        </w:tc>
        <w:tc>
          <w:tcPr>
            <w:tcW w:w="1060" w:type="dxa"/>
            <w:vAlign w:val="bottom"/>
            <w:shd w:val="clear" w:color="auto" w:fill="284993"/>
          </w:tcPr>
          <w:p>
            <w:pPr>
              <w:jc w:val="center"/>
              <w:ind w:right="2"/>
              <w:spacing w:after="0" w:line="182" w:lineRule="exact"/>
              <w:rPr>
                <w:sz w:val="20"/>
                <w:szCs w:val="20"/>
                <w:color w:val="auto"/>
              </w:rPr>
            </w:pPr>
            <w:r>
              <w:rPr>
                <w:rFonts w:ascii="Arial" w:cs="Arial" w:eastAsia="Arial" w:hAnsi="Arial"/>
                <w:sz w:val="16"/>
                <w:szCs w:val="16"/>
                <w:b w:val="1"/>
                <w:bCs w:val="1"/>
                <w:color w:val="FFFFFF"/>
                <w:w w:val="95"/>
              </w:rPr>
              <w:t>Public</w:t>
            </w:r>
          </w:p>
        </w:tc>
      </w:tr>
      <w:tr>
        <w:trPr>
          <w:trHeight w:val="182"/>
        </w:trPr>
        <w:tc>
          <w:tcPr>
            <w:tcW w:w="2520" w:type="dxa"/>
            <w:vAlign w:val="bottom"/>
            <w:shd w:val="clear" w:color="auto" w:fill="284993"/>
          </w:tcPr>
          <w:p>
            <w:pPr>
              <w:spacing w:after="0"/>
              <w:rPr>
                <w:sz w:val="15"/>
                <w:szCs w:val="15"/>
                <w:color w:val="auto"/>
              </w:rPr>
            </w:pPr>
          </w:p>
        </w:tc>
        <w:tc>
          <w:tcPr>
            <w:tcW w:w="720" w:type="dxa"/>
            <w:vAlign w:val="bottom"/>
            <w:shd w:val="clear" w:color="auto" w:fill="284993"/>
          </w:tcPr>
          <w:p>
            <w:pPr>
              <w:spacing w:after="0"/>
              <w:rPr>
                <w:sz w:val="15"/>
                <w:szCs w:val="15"/>
                <w:color w:val="auto"/>
              </w:rPr>
            </w:pPr>
          </w:p>
        </w:tc>
        <w:tc>
          <w:tcPr>
            <w:tcW w:w="1420" w:type="dxa"/>
            <w:vAlign w:val="bottom"/>
            <w:shd w:val="clear" w:color="auto" w:fill="284993"/>
          </w:tcPr>
          <w:p>
            <w:pPr>
              <w:jc w:val="center"/>
              <w:ind w:left="2"/>
              <w:spacing w:after="0" w:line="182" w:lineRule="exact"/>
              <w:rPr>
                <w:sz w:val="20"/>
                <w:szCs w:val="20"/>
                <w:color w:val="auto"/>
              </w:rPr>
            </w:pPr>
            <w:r>
              <w:rPr>
                <w:rFonts w:ascii="Arial" w:cs="Arial" w:eastAsia="Arial" w:hAnsi="Arial"/>
                <w:sz w:val="16"/>
                <w:szCs w:val="16"/>
                <w:b w:val="1"/>
                <w:bCs w:val="1"/>
                <w:color w:val="FFFFFF"/>
                <w:w w:val="96"/>
              </w:rPr>
              <w:t>Leadership</w:t>
            </w:r>
          </w:p>
        </w:tc>
        <w:tc>
          <w:tcPr>
            <w:tcW w:w="128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6"/>
              </w:rPr>
              <w:t>Corporate</w:t>
            </w:r>
          </w:p>
        </w:tc>
        <w:tc>
          <w:tcPr>
            <w:tcW w:w="1320" w:type="dxa"/>
            <w:vAlign w:val="bottom"/>
            <w:shd w:val="clear" w:color="auto" w:fill="284993"/>
          </w:tcPr>
          <w:p>
            <w:pPr>
              <w:spacing w:after="0"/>
              <w:rPr>
                <w:sz w:val="15"/>
                <w:szCs w:val="15"/>
                <w:color w:val="auto"/>
              </w:rPr>
            </w:pPr>
          </w:p>
        </w:tc>
        <w:tc>
          <w:tcPr>
            <w:tcW w:w="1020" w:type="dxa"/>
            <w:vAlign w:val="bottom"/>
            <w:shd w:val="clear" w:color="auto" w:fill="284993"/>
          </w:tcPr>
          <w:p>
            <w:pPr>
              <w:spacing w:after="0"/>
              <w:rPr>
                <w:sz w:val="15"/>
                <w:szCs w:val="15"/>
                <w:color w:val="auto"/>
              </w:rPr>
            </w:pPr>
          </w:p>
        </w:tc>
        <w:tc>
          <w:tcPr>
            <w:tcW w:w="1060" w:type="dxa"/>
            <w:vAlign w:val="bottom"/>
            <w:shd w:val="clear" w:color="auto" w:fill="284993"/>
          </w:tcPr>
          <w:p>
            <w:pPr>
              <w:jc w:val="center"/>
              <w:ind w:right="2"/>
              <w:spacing w:after="0" w:line="182" w:lineRule="exact"/>
              <w:rPr>
                <w:sz w:val="20"/>
                <w:szCs w:val="20"/>
                <w:color w:val="auto"/>
              </w:rPr>
            </w:pPr>
            <w:r>
              <w:rPr>
                <w:rFonts w:ascii="Arial" w:cs="Arial" w:eastAsia="Arial" w:hAnsi="Arial"/>
                <w:sz w:val="16"/>
                <w:szCs w:val="16"/>
                <w:b w:val="1"/>
                <w:bCs w:val="1"/>
                <w:color w:val="FFFFFF"/>
                <w:w w:val="95"/>
              </w:rPr>
              <w:t>Company</w:t>
            </w:r>
          </w:p>
        </w:tc>
      </w:tr>
      <w:tr>
        <w:trPr>
          <w:trHeight w:val="209"/>
        </w:trPr>
        <w:tc>
          <w:tcPr>
            <w:tcW w:w="2520" w:type="dxa"/>
            <w:vAlign w:val="bottom"/>
            <w:shd w:val="clear" w:color="auto" w:fill="284993"/>
          </w:tcPr>
          <w:p>
            <w:pPr>
              <w:ind w:left="60"/>
              <w:spacing w:after="0"/>
              <w:rPr>
                <w:sz w:val="20"/>
                <w:szCs w:val="20"/>
                <w:color w:val="auto"/>
              </w:rPr>
            </w:pPr>
            <w:r>
              <w:rPr>
                <w:rFonts w:ascii="Arial" w:cs="Arial" w:eastAsia="Arial" w:hAnsi="Arial"/>
                <w:sz w:val="16"/>
                <w:szCs w:val="16"/>
                <w:b w:val="1"/>
                <w:bCs w:val="1"/>
                <w:color w:val="FFFFFF"/>
              </w:rPr>
              <w:t>Name</w:t>
            </w:r>
          </w:p>
        </w:tc>
        <w:tc>
          <w:tcPr>
            <w:tcW w:w="720" w:type="dxa"/>
            <w:vAlign w:val="bottom"/>
            <w:shd w:val="clear" w:color="auto" w:fill="284993"/>
          </w:tcPr>
          <w:p>
            <w:pPr>
              <w:ind w:left="140"/>
              <w:spacing w:after="0"/>
              <w:rPr>
                <w:sz w:val="20"/>
                <w:szCs w:val="20"/>
                <w:color w:val="auto"/>
              </w:rPr>
            </w:pPr>
            <w:r>
              <w:rPr>
                <w:rFonts w:ascii="Arial" w:cs="Arial" w:eastAsia="Arial" w:hAnsi="Arial"/>
                <w:sz w:val="16"/>
                <w:szCs w:val="16"/>
                <w:b w:val="1"/>
                <w:bCs w:val="1"/>
                <w:color w:val="FFFFFF"/>
              </w:rPr>
              <w:t> Audit </w:t>
            </w:r>
          </w:p>
        </w:tc>
        <w:tc>
          <w:tcPr>
            <w:tcW w:w="1420" w:type="dxa"/>
            <w:vAlign w:val="bottom"/>
            <w:shd w:val="clear" w:color="auto" w:fill="284993"/>
          </w:tcPr>
          <w:p>
            <w:pPr>
              <w:jc w:val="center"/>
              <w:ind w:left="2"/>
              <w:spacing w:after="0"/>
              <w:rPr>
                <w:sz w:val="20"/>
                <w:szCs w:val="20"/>
                <w:color w:val="auto"/>
              </w:rPr>
            </w:pPr>
            <w:r>
              <w:rPr>
                <w:rFonts w:ascii="Arial" w:cs="Arial" w:eastAsia="Arial" w:hAnsi="Arial"/>
                <w:sz w:val="16"/>
                <w:szCs w:val="16"/>
                <w:b w:val="1"/>
                <w:bCs w:val="1"/>
                <w:color w:val="FFFFFF"/>
                <w:w w:val="97"/>
              </w:rPr>
              <w:t>Development</w:t>
            </w:r>
          </w:p>
        </w:tc>
        <w:tc>
          <w:tcPr>
            <w:tcW w:w="128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0"/>
              </w:rPr>
              <w:t>  Governance </w:t>
            </w:r>
          </w:p>
        </w:tc>
        <w:tc>
          <w:tcPr>
            <w:tcW w:w="132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0"/>
              </w:rPr>
              <w:t>  Independent </w:t>
            </w:r>
          </w:p>
        </w:tc>
        <w:tc>
          <w:tcPr>
            <w:tcW w:w="1020" w:type="dxa"/>
            <w:vAlign w:val="bottom"/>
            <w:shd w:val="clear" w:color="auto" w:fill="284993"/>
          </w:tcPr>
          <w:p>
            <w:pPr>
              <w:jc w:val="center"/>
              <w:spacing w:after="0" w:line="209" w:lineRule="exact"/>
              <w:rPr>
                <w:sz w:val="20"/>
                <w:szCs w:val="20"/>
                <w:color w:val="auto"/>
              </w:rPr>
            </w:pPr>
            <w:r>
              <w:rPr>
                <w:rFonts w:ascii="Arial" w:cs="Arial" w:eastAsia="Arial" w:hAnsi="Arial"/>
                <w:sz w:val="16"/>
                <w:szCs w:val="16"/>
                <w:b w:val="1"/>
                <w:bCs w:val="1"/>
                <w:color w:val="FFFFFF"/>
                <w:w w:val="91"/>
              </w:rPr>
              <w:t>  Tenure</w:t>
            </w:r>
            <w:r>
              <w:rPr>
                <w:rFonts w:ascii="Arial" w:cs="Arial" w:eastAsia="Arial" w:hAnsi="Arial"/>
                <w:sz w:val="23"/>
                <w:szCs w:val="23"/>
                <w:b w:val="1"/>
                <w:bCs w:val="1"/>
                <w:color w:val="FFFFFF"/>
                <w:w w:val="91"/>
                <w:vertAlign w:val="superscript"/>
              </w:rPr>
              <w:t>(1)</w:t>
            </w:r>
            <w:r>
              <w:rPr>
                <w:rFonts w:ascii="Arial" w:cs="Arial" w:eastAsia="Arial" w:hAnsi="Arial"/>
                <w:sz w:val="16"/>
                <w:szCs w:val="16"/>
                <w:b w:val="1"/>
                <w:bCs w:val="1"/>
                <w:color w:val="FFFFFF"/>
                <w:w w:val="91"/>
              </w:rPr>
              <w:t xml:space="preserve"> </w:t>
            </w:r>
          </w:p>
        </w:tc>
        <w:tc>
          <w:tcPr>
            <w:tcW w:w="1060" w:type="dxa"/>
            <w:vAlign w:val="bottom"/>
            <w:shd w:val="clear" w:color="auto" w:fill="284993"/>
          </w:tcPr>
          <w:p>
            <w:pPr>
              <w:jc w:val="center"/>
              <w:spacing w:after="0" w:line="209" w:lineRule="exact"/>
              <w:rPr>
                <w:sz w:val="20"/>
                <w:szCs w:val="20"/>
                <w:color w:val="auto"/>
              </w:rPr>
            </w:pPr>
            <w:r>
              <w:rPr>
                <w:rFonts w:ascii="Arial" w:cs="Arial" w:eastAsia="Arial" w:hAnsi="Arial"/>
                <w:sz w:val="16"/>
                <w:szCs w:val="16"/>
                <w:b w:val="1"/>
                <w:bCs w:val="1"/>
                <w:color w:val="FFFFFF"/>
                <w:w w:val="92"/>
              </w:rPr>
              <w:t>Boards</w:t>
            </w:r>
            <w:r>
              <w:rPr>
                <w:rFonts w:ascii="Arial" w:cs="Arial" w:eastAsia="Arial" w:hAnsi="Arial"/>
                <w:sz w:val="23"/>
                <w:szCs w:val="23"/>
                <w:b w:val="1"/>
                <w:bCs w:val="1"/>
                <w:color w:val="FFFFFF"/>
                <w:w w:val="92"/>
                <w:vertAlign w:val="superscript"/>
              </w:rPr>
              <w:t>(4)</w:t>
            </w:r>
          </w:p>
        </w:tc>
      </w:tr>
      <w:tr>
        <w:trPr>
          <w:trHeight w:val="247"/>
        </w:trPr>
        <w:tc>
          <w:tcPr>
            <w:tcW w:w="2520" w:type="dxa"/>
            <w:vAlign w:val="bottom"/>
          </w:tcPr>
          <w:p>
            <w:pPr>
              <w:ind w:left="60"/>
              <w:spacing w:after="0"/>
              <w:rPr>
                <w:sz w:val="20"/>
                <w:szCs w:val="20"/>
                <w:color w:val="auto"/>
              </w:rPr>
            </w:pPr>
            <w:r>
              <w:rPr>
                <w:rFonts w:ascii="Arial" w:cs="Arial" w:eastAsia="Arial" w:hAnsi="Arial"/>
                <w:sz w:val="16"/>
                <w:szCs w:val="16"/>
                <w:color w:val="auto"/>
              </w:rPr>
              <w:t>Adalio T. Sanchez (Chairman)</w:t>
            </w:r>
          </w:p>
        </w:tc>
        <w:tc>
          <w:tcPr>
            <w:tcW w:w="7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3"/>
              </w:rPr>
              <w:t>Y</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060" w:type="dxa"/>
            <w:vAlign w:val="bottom"/>
          </w:tcPr>
          <w:p>
            <w:pPr>
              <w:jc w:val="center"/>
              <w:ind w:right="2"/>
              <w:spacing w:after="0"/>
              <w:rPr>
                <w:sz w:val="20"/>
                <w:szCs w:val="20"/>
                <w:color w:val="auto"/>
              </w:rPr>
            </w:pPr>
            <w:r>
              <w:rPr>
                <w:rFonts w:ascii="Arial" w:cs="Arial" w:eastAsia="Arial" w:hAnsi="Arial"/>
                <w:sz w:val="16"/>
                <w:szCs w:val="16"/>
                <w:color w:val="auto"/>
              </w:rPr>
              <w:t>2</w:t>
            </w:r>
          </w:p>
        </w:tc>
      </w:tr>
      <w:tr>
        <w:trPr>
          <w:trHeight w:val="247"/>
        </w:trPr>
        <w:tc>
          <w:tcPr>
            <w:tcW w:w="2520" w:type="dxa"/>
            <w:vAlign w:val="bottom"/>
            <w:shd w:val="clear" w:color="auto" w:fill="9DBDE4"/>
          </w:tcPr>
          <w:p>
            <w:pPr>
              <w:ind w:left="60"/>
              <w:spacing w:after="0" w:line="247" w:lineRule="exact"/>
              <w:rPr>
                <w:sz w:val="20"/>
                <w:szCs w:val="20"/>
                <w:color w:val="auto"/>
              </w:rPr>
            </w:pPr>
            <w:r>
              <w:rPr>
                <w:rFonts w:ascii="Arial" w:cs="Arial" w:eastAsia="Arial" w:hAnsi="Arial"/>
                <w:sz w:val="16"/>
                <w:szCs w:val="16"/>
                <w:color w:val="auto"/>
              </w:rPr>
              <w:t>Juan A. Benitez</w:t>
            </w:r>
            <w:r>
              <w:rPr>
                <w:rFonts w:ascii="Arial" w:cs="Arial" w:eastAsia="Arial" w:hAnsi="Arial"/>
                <w:sz w:val="23"/>
                <w:szCs w:val="23"/>
                <w:color w:val="auto"/>
                <w:vertAlign w:val="superscript"/>
              </w:rPr>
              <w:t>(2)</w:t>
            </w:r>
          </w:p>
        </w:tc>
        <w:tc>
          <w:tcPr>
            <w:tcW w:w="720" w:type="dxa"/>
            <w:vAlign w:val="bottom"/>
            <w:shd w:val="clear" w:color="auto" w:fill="9DBDE4"/>
          </w:tcPr>
          <w:p>
            <w:pPr>
              <w:spacing w:after="0"/>
              <w:rPr>
                <w:sz w:val="21"/>
                <w:szCs w:val="21"/>
                <w:color w:val="auto"/>
              </w:rPr>
            </w:pPr>
          </w:p>
        </w:tc>
        <w:tc>
          <w:tcPr>
            <w:tcW w:w="1420" w:type="dxa"/>
            <w:vAlign w:val="bottom"/>
            <w:shd w:val="clear" w:color="auto" w:fill="9DBDE4"/>
          </w:tcPr>
          <w:p>
            <w:pPr>
              <w:spacing w:after="0"/>
              <w:rPr>
                <w:sz w:val="21"/>
                <w:szCs w:val="21"/>
                <w:color w:val="auto"/>
              </w:rPr>
            </w:pPr>
          </w:p>
        </w:tc>
        <w:tc>
          <w:tcPr>
            <w:tcW w:w="1280" w:type="dxa"/>
            <w:vAlign w:val="bottom"/>
            <w:shd w:val="clear" w:color="auto" w:fill="9DBDE4"/>
          </w:tcPr>
          <w:p>
            <w:pPr>
              <w:spacing w:after="0"/>
              <w:rPr>
                <w:sz w:val="21"/>
                <w:szCs w:val="21"/>
                <w:color w:val="auto"/>
              </w:rPr>
            </w:pPr>
          </w:p>
        </w:tc>
        <w:tc>
          <w:tcPr>
            <w:tcW w:w="132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93"/>
              </w:rPr>
              <w:t>Y</w:t>
            </w:r>
          </w:p>
        </w:tc>
        <w:tc>
          <w:tcPr>
            <w:tcW w:w="102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89"/>
              </w:rPr>
              <w:t>0</w:t>
            </w:r>
          </w:p>
        </w:tc>
        <w:tc>
          <w:tcPr>
            <w:tcW w:w="1060" w:type="dxa"/>
            <w:vAlign w:val="bottom"/>
            <w:shd w:val="clear" w:color="auto" w:fill="D8D8D8"/>
          </w:tcPr>
          <w:p>
            <w:pPr>
              <w:jc w:val="center"/>
              <w:ind w:right="2"/>
              <w:spacing w:after="0"/>
              <w:rPr>
                <w:sz w:val="20"/>
                <w:szCs w:val="20"/>
                <w:color w:val="auto"/>
              </w:rPr>
            </w:pPr>
            <w:r>
              <w:rPr>
                <w:rFonts w:ascii="Arial" w:cs="Arial" w:eastAsia="Arial" w:hAnsi="Arial"/>
                <w:sz w:val="16"/>
                <w:szCs w:val="16"/>
                <w:color w:val="auto"/>
              </w:rPr>
              <w:t>0</w:t>
            </w:r>
          </w:p>
        </w:tc>
      </w:tr>
      <w:tr>
        <w:trPr>
          <w:trHeight w:val="273"/>
        </w:trPr>
        <w:tc>
          <w:tcPr>
            <w:tcW w:w="2520" w:type="dxa"/>
            <w:vAlign w:val="bottom"/>
          </w:tcPr>
          <w:p>
            <w:pPr>
              <w:ind w:left="60"/>
              <w:spacing w:after="0"/>
              <w:rPr>
                <w:sz w:val="20"/>
                <w:szCs w:val="20"/>
                <w:color w:val="auto"/>
              </w:rPr>
            </w:pPr>
            <w:r>
              <w:rPr>
                <w:rFonts w:ascii="Arial" w:cs="Arial" w:eastAsia="Arial" w:hAnsi="Arial"/>
                <w:sz w:val="16"/>
                <w:szCs w:val="16"/>
                <w:color w:val="auto"/>
              </w:rPr>
              <w:t>Janet O. Estep</w:t>
            </w:r>
          </w:p>
        </w:tc>
        <w:tc>
          <w:tcPr>
            <w:tcW w:w="7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3"/>
              </w:rPr>
              <w:t>Y</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1060" w:type="dxa"/>
            <w:vAlign w:val="bottom"/>
          </w:tcPr>
          <w:p>
            <w:pPr>
              <w:jc w:val="center"/>
              <w:ind w:right="2"/>
              <w:spacing w:after="0"/>
              <w:rPr>
                <w:sz w:val="20"/>
                <w:szCs w:val="20"/>
                <w:color w:val="auto"/>
              </w:rPr>
            </w:pPr>
            <w:r>
              <w:rPr>
                <w:rFonts w:ascii="Arial" w:cs="Arial" w:eastAsia="Arial" w:hAnsi="Arial"/>
                <w:sz w:val="16"/>
                <w:szCs w:val="16"/>
                <w:color w:val="auto"/>
              </w:rPr>
              <w:t>1</w:t>
            </w:r>
          </w:p>
        </w:tc>
      </w:tr>
      <w:tr>
        <w:trPr>
          <w:trHeight w:val="273"/>
        </w:trPr>
        <w:tc>
          <w:tcPr>
            <w:tcW w:w="2520" w:type="dxa"/>
            <w:vAlign w:val="bottom"/>
            <w:shd w:val="clear" w:color="auto" w:fill="9DBDE4"/>
          </w:tcPr>
          <w:p>
            <w:pPr>
              <w:ind w:left="60"/>
              <w:spacing w:after="0"/>
              <w:rPr>
                <w:sz w:val="20"/>
                <w:szCs w:val="20"/>
                <w:color w:val="auto"/>
              </w:rPr>
            </w:pPr>
            <w:r>
              <w:rPr>
                <w:rFonts w:ascii="Arial" w:cs="Arial" w:eastAsia="Arial" w:hAnsi="Arial"/>
                <w:sz w:val="16"/>
                <w:szCs w:val="16"/>
                <w:color w:val="auto"/>
              </w:rPr>
              <w:t>James C. Hale III</w:t>
            </w:r>
            <w:r>
              <w:rPr>
                <w:rFonts w:ascii="Arial" w:cs="Arial" w:eastAsia="Arial" w:hAnsi="Arial"/>
                <w:sz w:val="23"/>
                <w:szCs w:val="23"/>
                <w:color w:val="auto"/>
                <w:vertAlign w:val="superscript"/>
              </w:rPr>
              <w:t>(3)</w:t>
            </w:r>
          </w:p>
        </w:tc>
        <w:tc>
          <w:tcPr>
            <w:tcW w:w="720" w:type="dxa"/>
            <w:vAlign w:val="bottom"/>
            <w:shd w:val="clear" w:color="auto" w:fill="9DBDE4"/>
          </w:tcPr>
          <w:p>
            <w:pPr>
              <w:spacing w:after="0"/>
              <w:rPr>
                <w:sz w:val="23"/>
                <w:szCs w:val="23"/>
                <w:color w:val="auto"/>
              </w:rPr>
            </w:pPr>
          </w:p>
        </w:tc>
        <w:tc>
          <w:tcPr>
            <w:tcW w:w="1420" w:type="dxa"/>
            <w:vAlign w:val="bottom"/>
            <w:shd w:val="clear" w:color="auto" w:fill="9DBDE4"/>
          </w:tcPr>
          <w:p>
            <w:pPr>
              <w:spacing w:after="0"/>
              <w:rPr>
                <w:sz w:val="23"/>
                <w:szCs w:val="23"/>
                <w:color w:val="auto"/>
              </w:rPr>
            </w:pPr>
          </w:p>
        </w:tc>
        <w:tc>
          <w:tcPr>
            <w:tcW w:w="1280" w:type="dxa"/>
            <w:vAlign w:val="bottom"/>
            <w:shd w:val="clear" w:color="auto" w:fill="9DBDE4"/>
          </w:tcPr>
          <w:p>
            <w:pPr>
              <w:spacing w:after="0"/>
              <w:rPr>
                <w:sz w:val="23"/>
                <w:szCs w:val="23"/>
                <w:color w:val="auto"/>
              </w:rPr>
            </w:pPr>
          </w:p>
        </w:tc>
        <w:tc>
          <w:tcPr>
            <w:tcW w:w="132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93"/>
              </w:rPr>
              <w:t>Y</w:t>
            </w:r>
          </w:p>
        </w:tc>
        <w:tc>
          <w:tcPr>
            <w:tcW w:w="102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89"/>
              </w:rPr>
              <w:t>8</w:t>
            </w:r>
          </w:p>
        </w:tc>
        <w:tc>
          <w:tcPr>
            <w:tcW w:w="1060" w:type="dxa"/>
            <w:vAlign w:val="bottom"/>
            <w:shd w:val="clear" w:color="auto" w:fill="D8D8D8"/>
          </w:tcPr>
          <w:p>
            <w:pPr>
              <w:jc w:val="center"/>
              <w:ind w:right="2"/>
              <w:spacing w:after="0"/>
              <w:rPr>
                <w:sz w:val="20"/>
                <w:szCs w:val="20"/>
                <w:color w:val="auto"/>
              </w:rPr>
            </w:pPr>
            <w:r>
              <w:rPr>
                <w:rFonts w:ascii="Arial" w:cs="Arial" w:eastAsia="Arial" w:hAnsi="Arial"/>
                <w:sz w:val="16"/>
                <w:szCs w:val="16"/>
                <w:color w:val="auto"/>
              </w:rPr>
              <w:t>2</w:t>
            </w:r>
          </w:p>
        </w:tc>
      </w:tr>
      <w:tr>
        <w:trPr>
          <w:trHeight w:val="273"/>
        </w:trPr>
        <w:tc>
          <w:tcPr>
            <w:tcW w:w="2520" w:type="dxa"/>
            <w:vAlign w:val="bottom"/>
          </w:tcPr>
          <w:p>
            <w:pPr>
              <w:ind w:left="60"/>
              <w:spacing w:after="0"/>
              <w:rPr>
                <w:sz w:val="20"/>
                <w:szCs w:val="20"/>
                <w:color w:val="auto"/>
              </w:rPr>
            </w:pPr>
            <w:r>
              <w:rPr>
                <w:rFonts w:ascii="Arial" w:cs="Arial" w:eastAsia="Arial" w:hAnsi="Arial"/>
                <w:sz w:val="16"/>
                <w:szCs w:val="16"/>
                <w:color w:val="auto"/>
              </w:rPr>
              <w:t>Mary P. Harman</w:t>
            </w:r>
          </w:p>
        </w:tc>
        <w:tc>
          <w:tcPr>
            <w:tcW w:w="7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3"/>
              </w:rPr>
              <w:t>Y</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60" w:type="dxa"/>
            <w:vAlign w:val="bottom"/>
          </w:tcPr>
          <w:p>
            <w:pPr>
              <w:jc w:val="center"/>
              <w:ind w:right="2"/>
              <w:spacing w:after="0"/>
              <w:rPr>
                <w:sz w:val="20"/>
                <w:szCs w:val="20"/>
                <w:color w:val="auto"/>
              </w:rPr>
            </w:pPr>
            <w:r>
              <w:rPr>
                <w:rFonts w:ascii="Arial" w:cs="Arial" w:eastAsia="Arial" w:hAnsi="Arial"/>
                <w:sz w:val="16"/>
                <w:szCs w:val="16"/>
                <w:color w:val="auto"/>
              </w:rPr>
              <w:t>0</w:t>
            </w:r>
          </w:p>
        </w:tc>
      </w:tr>
      <w:tr>
        <w:trPr>
          <w:trHeight w:val="247"/>
        </w:trPr>
        <w:tc>
          <w:tcPr>
            <w:tcW w:w="2520" w:type="dxa"/>
            <w:vAlign w:val="bottom"/>
            <w:shd w:val="clear" w:color="auto" w:fill="9DBDE4"/>
          </w:tcPr>
          <w:p>
            <w:pPr>
              <w:ind w:left="60"/>
              <w:spacing w:after="0" w:line="247" w:lineRule="exact"/>
              <w:rPr>
                <w:sz w:val="20"/>
                <w:szCs w:val="20"/>
                <w:color w:val="auto"/>
              </w:rPr>
            </w:pPr>
            <w:r>
              <w:rPr>
                <w:rFonts w:ascii="Arial" w:cs="Arial" w:eastAsia="Arial" w:hAnsi="Arial"/>
                <w:sz w:val="16"/>
                <w:szCs w:val="16"/>
                <w:color w:val="auto"/>
              </w:rPr>
              <w:t>Katrinka B. McCallum</w:t>
            </w:r>
            <w:r>
              <w:rPr>
                <w:rFonts w:ascii="Arial" w:cs="Arial" w:eastAsia="Arial" w:hAnsi="Arial"/>
                <w:sz w:val="23"/>
                <w:szCs w:val="23"/>
                <w:color w:val="auto"/>
                <w:vertAlign w:val="superscript"/>
              </w:rPr>
              <w:t>(2)</w:t>
            </w:r>
          </w:p>
        </w:tc>
        <w:tc>
          <w:tcPr>
            <w:tcW w:w="720" w:type="dxa"/>
            <w:vAlign w:val="bottom"/>
            <w:shd w:val="clear" w:color="auto" w:fill="9DBDE4"/>
          </w:tcPr>
          <w:p>
            <w:pPr>
              <w:spacing w:after="0"/>
              <w:rPr>
                <w:sz w:val="21"/>
                <w:szCs w:val="21"/>
                <w:color w:val="auto"/>
              </w:rPr>
            </w:pPr>
          </w:p>
        </w:tc>
        <w:tc>
          <w:tcPr>
            <w:tcW w:w="1420" w:type="dxa"/>
            <w:vAlign w:val="bottom"/>
            <w:shd w:val="clear" w:color="auto" w:fill="9DBDE4"/>
          </w:tcPr>
          <w:p>
            <w:pPr>
              <w:spacing w:after="0"/>
              <w:rPr>
                <w:sz w:val="21"/>
                <w:szCs w:val="21"/>
                <w:color w:val="auto"/>
              </w:rPr>
            </w:pPr>
          </w:p>
        </w:tc>
        <w:tc>
          <w:tcPr>
            <w:tcW w:w="1280" w:type="dxa"/>
            <w:vAlign w:val="bottom"/>
            <w:shd w:val="clear" w:color="auto" w:fill="9DBDE4"/>
          </w:tcPr>
          <w:p>
            <w:pPr>
              <w:spacing w:after="0"/>
              <w:rPr>
                <w:sz w:val="21"/>
                <w:szCs w:val="21"/>
                <w:color w:val="auto"/>
              </w:rPr>
            </w:pPr>
          </w:p>
        </w:tc>
        <w:tc>
          <w:tcPr>
            <w:tcW w:w="132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93"/>
              </w:rPr>
              <w:t>Y</w:t>
            </w:r>
          </w:p>
        </w:tc>
        <w:tc>
          <w:tcPr>
            <w:tcW w:w="102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89"/>
              </w:rPr>
              <w:t>0</w:t>
            </w:r>
          </w:p>
        </w:tc>
        <w:tc>
          <w:tcPr>
            <w:tcW w:w="1060" w:type="dxa"/>
            <w:vAlign w:val="bottom"/>
            <w:shd w:val="clear" w:color="auto" w:fill="D8D8D8"/>
          </w:tcPr>
          <w:p>
            <w:pPr>
              <w:jc w:val="center"/>
              <w:ind w:right="2"/>
              <w:spacing w:after="0"/>
              <w:rPr>
                <w:sz w:val="20"/>
                <w:szCs w:val="20"/>
                <w:color w:val="auto"/>
              </w:rPr>
            </w:pPr>
            <w:r>
              <w:rPr>
                <w:rFonts w:ascii="Arial" w:cs="Arial" w:eastAsia="Arial" w:hAnsi="Arial"/>
                <w:sz w:val="16"/>
                <w:szCs w:val="16"/>
                <w:color w:val="auto"/>
              </w:rPr>
              <w:t>2</w:t>
            </w:r>
          </w:p>
        </w:tc>
      </w:tr>
      <w:tr>
        <w:trPr>
          <w:trHeight w:val="273"/>
        </w:trPr>
        <w:tc>
          <w:tcPr>
            <w:tcW w:w="2520" w:type="dxa"/>
            <w:vAlign w:val="bottom"/>
          </w:tcPr>
          <w:p>
            <w:pPr>
              <w:ind w:left="60"/>
              <w:spacing w:after="0"/>
              <w:rPr>
                <w:sz w:val="20"/>
                <w:szCs w:val="20"/>
                <w:color w:val="auto"/>
              </w:rPr>
            </w:pPr>
            <w:r>
              <w:rPr>
                <w:rFonts w:ascii="Arial" w:cs="Arial" w:eastAsia="Arial" w:hAnsi="Arial"/>
                <w:sz w:val="16"/>
                <w:szCs w:val="16"/>
                <w:color w:val="auto"/>
              </w:rPr>
              <w:t>Charles E. Peters, Jr</w:t>
            </w:r>
          </w:p>
        </w:tc>
        <w:tc>
          <w:tcPr>
            <w:tcW w:w="7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3"/>
              </w:rPr>
              <w:t>Y</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060" w:type="dxa"/>
            <w:vAlign w:val="bottom"/>
          </w:tcPr>
          <w:p>
            <w:pPr>
              <w:jc w:val="center"/>
              <w:ind w:right="2"/>
              <w:spacing w:after="0"/>
              <w:rPr>
                <w:sz w:val="20"/>
                <w:szCs w:val="20"/>
                <w:color w:val="auto"/>
              </w:rPr>
            </w:pPr>
            <w:r>
              <w:rPr>
                <w:rFonts w:ascii="Arial" w:cs="Arial" w:eastAsia="Arial" w:hAnsi="Arial"/>
                <w:sz w:val="16"/>
                <w:szCs w:val="16"/>
                <w:color w:val="auto"/>
              </w:rPr>
              <w:t>0</w:t>
            </w:r>
          </w:p>
        </w:tc>
      </w:tr>
      <w:tr>
        <w:trPr>
          <w:trHeight w:val="247"/>
        </w:trPr>
        <w:tc>
          <w:tcPr>
            <w:tcW w:w="2520" w:type="dxa"/>
            <w:vAlign w:val="bottom"/>
            <w:shd w:val="clear" w:color="auto" w:fill="9DBDE4"/>
          </w:tcPr>
          <w:p>
            <w:pPr>
              <w:ind w:left="60"/>
              <w:spacing w:after="0"/>
              <w:rPr>
                <w:sz w:val="20"/>
                <w:szCs w:val="20"/>
                <w:color w:val="auto"/>
              </w:rPr>
            </w:pPr>
            <w:r>
              <w:rPr>
                <w:rFonts w:ascii="Arial" w:cs="Arial" w:eastAsia="Arial" w:hAnsi="Arial"/>
                <w:sz w:val="16"/>
                <w:szCs w:val="16"/>
                <w:color w:val="auto"/>
              </w:rPr>
              <w:t>Thomas W. Warsop III</w:t>
            </w:r>
          </w:p>
        </w:tc>
        <w:tc>
          <w:tcPr>
            <w:tcW w:w="720" w:type="dxa"/>
            <w:vAlign w:val="bottom"/>
            <w:shd w:val="clear" w:color="auto" w:fill="9DBDE4"/>
          </w:tcPr>
          <w:p>
            <w:pPr>
              <w:spacing w:after="0"/>
              <w:rPr>
                <w:sz w:val="21"/>
                <w:szCs w:val="21"/>
                <w:color w:val="auto"/>
              </w:rPr>
            </w:pPr>
          </w:p>
        </w:tc>
        <w:tc>
          <w:tcPr>
            <w:tcW w:w="1420" w:type="dxa"/>
            <w:vAlign w:val="bottom"/>
            <w:shd w:val="clear" w:color="auto" w:fill="9DBDE4"/>
          </w:tcPr>
          <w:p>
            <w:pPr>
              <w:spacing w:after="0"/>
              <w:rPr>
                <w:sz w:val="21"/>
                <w:szCs w:val="21"/>
                <w:color w:val="auto"/>
              </w:rPr>
            </w:pPr>
          </w:p>
        </w:tc>
        <w:tc>
          <w:tcPr>
            <w:tcW w:w="1280" w:type="dxa"/>
            <w:vAlign w:val="bottom"/>
            <w:shd w:val="clear" w:color="auto" w:fill="9DBDE4"/>
          </w:tcPr>
          <w:p>
            <w:pPr>
              <w:spacing w:after="0"/>
              <w:rPr>
                <w:sz w:val="21"/>
                <w:szCs w:val="21"/>
                <w:color w:val="auto"/>
              </w:rPr>
            </w:pPr>
          </w:p>
        </w:tc>
        <w:tc>
          <w:tcPr>
            <w:tcW w:w="132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86"/>
              </w:rPr>
              <w:t>N</w:t>
            </w:r>
          </w:p>
        </w:tc>
        <w:tc>
          <w:tcPr>
            <w:tcW w:w="102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89"/>
              </w:rPr>
              <w:t>9</w:t>
            </w:r>
          </w:p>
        </w:tc>
        <w:tc>
          <w:tcPr>
            <w:tcW w:w="1060" w:type="dxa"/>
            <w:vAlign w:val="bottom"/>
            <w:shd w:val="clear" w:color="auto" w:fill="D8D8D8"/>
          </w:tcPr>
          <w:p>
            <w:pPr>
              <w:jc w:val="center"/>
              <w:ind w:right="2"/>
              <w:spacing w:after="0"/>
              <w:rPr>
                <w:sz w:val="20"/>
                <w:szCs w:val="20"/>
                <w:color w:val="auto"/>
              </w:rPr>
            </w:pPr>
            <w:r>
              <w:rPr>
                <w:rFonts w:ascii="Arial" w:cs="Arial" w:eastAsia="Arial" w:hAnsi="Arial"/>
                <w:sz w:val="16"/>
                <w:szCs w:val="16"/>
                <w:color w:val="auto"/>
              </w:rPr>
              <w:t>0</w:t>
            </w:r>
          </w:p>
        </w:tc>
      </w:tr>
      <w:tr>
        <w:trPr>
          <w:trHeight w:val="273"/>
        </w:trPr>
        <w:tc>
          <w:tcPr>
            <w:tcW w:w="2520" w:type="dxa"/>
            <w:vAlign w:val="bottom"/>
            <w:tcBorders>
              <w:bottom w:val="single" w:sz="8" w:color="284993"/>
            </w:tcBorders>
          </w:tcPr>
          <w:p>
            <w:pPr>
              <w:ind w:left="60"/>
              <w:spacing w:after="0"/>
              <w:rPr>
                <w:sz w:val="20"/>
                <w:szCs w:val="20"/>
                <w:color w:val="auto"/>
              </w:rPr>
            </w:pPr>
            <w:r>
              <w:rPr>
                <w:rFonts w:ascii="Arial" w:cs="Arial" w:eastAsia="Arial" w:hAnsi="Arial"/>
                <w:sz w:val="16"/>
                <w:szCs w:val="16"/>
                <w:color w:val="auto"/>
              </w:rPr>
              <w:t>Samir M. Zabaneh</w:t>
            </w:r>
          </w:p>
        </w:tc>
        <w:tc>
          <w:tcPr>
            <w:tcW w:w="720" w:type="dxa"/>
            <w:vAlign w:val="bottom"/>
            <w:tcBorders>
              <w:bottom w:val="single" w:sz="8" w:color="284993"/>
            </w:tcBorders>
          </w:tcPr>
          <w:p>
            <w:pPr>
              <w:spacing w:after="0"/>
              <w:rPr>
                <w:sz w:val="23"/>
                <w:szCs w:val="23"/>
                <w:color w:val="auto"/>
              </w:rPr>
            </w:pPr>
          </w:p>
        </w:tc>
        <w:tc>
          <w:tcPr>
            <w:tcW w:w="1420" w:type="dxa"/>
            <w:vAlign w:val="bottom"/>
            <w:tcBorders>
              <w:bottom w:val="single" w:sz="8" w:color="284993"/>
            </w:tcBorders>
          </w:tcPr>
          <w:p>
            <w:pPr>
              <w:spacing w:after="0"/>
              <w:rPr>
                <w:sz w:val="23"/>
                <w:szCs w:val="23"/>
                <w:color w:val="auto"/>
              </w:rPr>
            </w:pPr>
          </w:p>
        </w:tc>
        <w:tc>
          <w:tcPr>
            <w:tcW w:w="1280" w:type="dxa"/>
            <w:vAlign w:val="bottom"/>
            <w:tcBorders>
              <w:bottom w:val="single" w:sz="8" w:color="284993"/>
            </w:tcBorders>
          </w:tcPr>
          <w:p>
            <w:pPr>
              <w:spacing w:after="0"/>
              <w:rPr>
                <w:sz w:val="23"/>
                <w:szCs w:val="23"/>
                <w:color w:val="auto"/>
              </w:rPr>
            </w:pPr>
          </w:p>
        </w:tc>
        <w:tc>
          <w:tcPr>
            <w:tcW w:w="1320" w:type="dxa"/>
            <w:vAlign w:val="bottom"/>
            <w:tcBorders>
              <w:bottom w:val="single" w:sz="8" w:color="284993"/>
            </w:tcBorders>
          </w:tcPr>
          <w:p>
            <w:pPr>
              <w:jc w:val="center"/>
              <w:spacing w:after="0"/>
              <w:rPr>
                <w:sz w:val="20"/>
                <w:szCs w:val="20"/>
                <w:color w:val="auto"/>
              </w:rPr>
            </w:pPr>
            <w:r>
              <w:rPr>
                <w:rFonts w:ascii="Arial" w:cs="Arial" w:eastAsia="Arial" w:hAnsi="Arial"/>
                <w:sz w:val="16"/>
                <w:szCs w:val="16"/>
                <w:color w:val="auto"/>
                <w:w w:val="93"/>
              </w:rPr>
              <w:t>Y</w:t>
            </w:r>
          </w:p>
        </w:tc>
        <w:tc>
          <w:tcPr>
            <w:tcW w:w="1020" w:type="dxa"/>
            <w:vAlign w:val="bottom"/>
            <w:tcBorders>
              <w:bottom w:val="single" w:sz="8" w:color="284993"/>
            </w:tcBorders>
          </w:tcPr>
          <w:p>
            <w:pPr>
              <w:jc w:val="center"/>
              <w:spacing w:after="0"/>
              <w:rPr>
                <w:sz w:val="20"/>
                <w:szCs w:val="20"/>
                <w:color w:val="auto"/>
              </w:rPr>
            </w:pPr>
            <w:r>
              <w:rPr>
                <w:rFonts w:ascii="Arial" w:cs="Arial" w:eastAsia="Arial" w:hAnsi="Arial"/>
                <w:sz w:val="16"/>
                <w:szCs w:val="16"/>
                <w:color w:val="auto"/>
                <w:w w:val="89"/>
              </w:rPr>
              <w:t>3</w:t>
            </w:r>
          </w:p>
        </w:tc>
        <w:tc>
          <w:tcPr>
            <w:tcW w:w="1060" w:type="dxa"/>
            <w:vAlign w:val="bottom"/>
            <w:tcBorders>
              <w:bottom w:val="single" w:sz="8" w:color="284993"/>
            </w:tcBorders>
          </w:tcPr>
          <w:p>
            <w:pPr>
              <w:jc w:val="center"/>
              <w:ind w:right="2"/>
              <w:spacing w:after="0"/>
              <w:rPr>
                <w:sz w:val="20"/>
                <w:szCs w:val="20"/>
                <w:color w:val="auto"/>
              </w:rPr>
            </w:pPr>
            <w:r>
              <w:rPr>
                <w:rFonts w:ascii="Arial" w:cs="Arial" w:eastAsia="Arial" w:hAnsi="Arial"/>
                <w:sz w:val="16"/>
                <w:szCs w:val="16"/>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1806575</wp:posOffset>
            </wp:positionH>
            <wp:positionV relativeFrom="paragraph">
              <wp:posOffset>-1146175</wp:posOffset>
            </wp:positionV>
            <wp:extent cx="123825" cy="1320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3825" cy="132080"/>
                    </a:xfrm>
                    <a:prstGeom prst="rect">
                      <a:avLst/>
                    </a:prstGeom>
                    <a:noFill/>
                  </pic:spPr>
                </pic:pic>
              </a:graphicData>
            </a:graphic>
          </wp:anchor>
        </w:drawing>
        <w:drawing>
          <wp:anchor simplePos="0" relativeHeight="251657728" behindDoc="1" locked="0" layoutInCell="0" allowOverlap="1">
            <wp:simplePos x="0" y="0"/>
            <wp:positionH relativeFrom="column">
              <wp:posOffset>3333115</wp:posOffset>
            </wp:positionH>
            <wp:positionV relativeFrom="paragraph">
              <wp:posOffset>-1146175</wp:posOffset>
            </wp:positionV>
            <wp:extent cx="123825" cy="1320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3825" cy="132080"/>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-972820</wp:posOffset>
            </wp:positionV>
            <wp:extent cx="123825" cy="1320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3825" cy="13208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-972820</wp:posOffset>
            </wp:positionV>
            <wp:extent cx="123825" cy="1320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3825" cy="13208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-799465</wp:posOffset>
            </wp:positionV>
            <wp:extent cx="123825" cy="1320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3825" cy="132080"/>
                    </a:xfrm>
                    <a:prstGeom prst="rect">
                      <a:avLst/>
                    </a:prstGeom>
                    <a:noFill/>
                  </pic:spPr>
                </pic:pic>
              </a:graphicData>
            </a:graphic>
          </wp:anchor>
        </w:drawing>
        <w:drawing>
          <wp:anchor simplePos="0" relativeHeight="251657728" behindDoc="1" locked="0" layoutInCell="0" allowOverlap="1">
            <wp:simplePos x="0" y="0"/>
            <wp:positionH relativeFrom="column">
              <wp:posOffset>3333115</wp:posOffset>
            </wp:positionH>
            <wp:positionV relativeFrom="paragraph">
              <wp:posOffset>-799465</wp:posOffset>
            </wp:positionV>
            <wp:extent cx="123825" cy="1320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3825" cy="132080"/>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-469900</wp:posOffset>
            </wp:positionV>
            <wp:extent cx="123825" cy="1320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3825" cy="132080"/>
                    </a:xfrm>
                    <a:prstGeom prst="rect">
                      <a:avLst/>
                    </a:prstGeom>
                    <a:noFill/>
                  </pic:spPr>
                </pic:pic>
              </a:graphicData>
            </a:graphic>
          </wp:anchor>
        </w:drawing>
        <w:drawing>
          <wp:anchor simplePos="0" relativeHeight="251657728" behindDoc="1" locked="0" layoutInCell="0" allowOverlap="1">
            <wp:simplePos x="0" y="0"/>
            <wp:positionH relativeFrom="column">
              <wp:posOffset>3333115</wp:posOffset>
            </wp:positionH>
            <wp:positionV relativeFrom="paragraph">
              <wp:posOffset>-469900</wp:posOffset>
            </wp:positionV>
            <wp:extent cx="123825" cy="1320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3825" cy="132080"/>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-139700</wp:posOffset>
            </wp:positionV>
            <wp:extent cx="123825" cy="1320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3825" cy="13208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-139700</wp:posOffset>
            </wp:positionV>
            <wp:extent cx="123825" cy="1320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3825" cy="132080"/>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sz w:val="1"/>
          <w:szCs w:val="1"/>
          <w:color w:val="auto"/>
        </w:rPr>
        <w:drawing>
          <wp:inline distT="0" distB="0" distL="0" distR="0">
            <wp:extent cx="123825" cy="13208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3825" cy="132080"/>
                    </a:xfrm>
                    <a:prstGeom prst="rect">
                      <a:avLst/>
                    </a:prstGeom>
                    <a:noFill/>
                    <a:ln>
                      <a:noFill/>
                    </a:ln>
                  </pic:spPr>
                </pic:pic>
              </a:graphicData>
            </a:graphic>
          </wp:inline>
        </w:drawing>
      </w:r>
      <w:r>
        <w:rPr>
          <w:rFonts w:ascii="Arial" w:cs="Arial" w:eastAsia="Arial" w:hAnsi="Arial"/>
          <w:sz w:val="16"/>
          <w:szCs w:val="16"/>
          <w:color w:val="auto"/>
        </w:rPr>
        <w:t xml:space="preserve"> Chair            </w:t>
      </w:r>
      <w:r>
        <w:rPr>
          <w:sz w:val="1"/>
          <w:szCs w:val="1"/>
          <w:color w:val="auto"/>
        </w:rPr>
        <w:drawing>
          <wp:inline distT="0" distB="0" distL="0" distR="0">
            <wp:extent cx="123825" cy="13208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3825" cy="132080"/>
                    </a:xfrm>
                    <a:prstGeom prst="rect">
                      <a:avLst/>
                    </a:prstGeom>
                    <a:noFill/>
                    <a:ln>
                      <a:noFill/>
                    </a:ln>
                  </pic:spPr>
                </pic:pic>
              </a:graphicData>
            </a:graphic>
          </wp:inline>
        </w:drawing>
      </w:r>
      <w:r>
        <w:rPr>
          <w:rFonts w:ascii="Arial" w:cs="Arial" w:eastAsia="Arial" w:hAnsi="Arial"/>
          <w:sz w:val="16"/>
          <w:szCs w:val="16"/>
          <w:color w:val="auto"/>
        </w:rPr>
        <w:t xml:space="preserve"> Member</w:t>
      </w:r>
    </w:p>
    <w:p>
      <w:pPr>
        <w:ind w:left="200" w:hanging="194"/>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6"/>
          <w:szCs w:val="16"/>
          <w:color w:val="auto"/>
        </w:rPr>
        <w:t>Full years of service as of the annual meeting date</w:t>
      </w:r>
    </w:p>
    <w:p>
      <w:pPr>
        <w:spacing w:after="0" w:line="1" w:lineRule="exact"/>
        <w:rPr>
          <w:rFonts w:ascii="Arial" w:cs="Arial" w:eastAsia="Arial" w:hAnsi="Arial"/>
          <w:sz w:val="23"/>
          <w:szCs w:val="23"/>
          <w:color w:val="auto"/>
          <w:vertAlign w:val="superscript"/>
        </w:rPr>
      </w:pPr>
    </w:p>
    <w:p>
      <w:pPr>
        <w:ind w:right="120" w:firstLine="6"/>
        <w:spacing w:after="0" w:line="210" w:lineRule="auto"/>
        <w:tabs>
          <w:tab w:leader="none" w:pos="186" w:val="left"/>
        </w:tabs>
        <w:numPr>
          <w:ilvl w:val="0"/>
          <w:numId w:val="9"/>
        </w:numPr>
        <w:rPr>
          <w:rFonts w:ascii="Arial" w:cs="Arial" w:eastAsia="Arial" w:hAnsi="Arial"/>
          <w:sz w:val="22"/>
          <w:szCs w:val="22"/>
          <w:color w:val="auto"/>
          <w:vertAlign w:val="superscript"/>
        </w:rPr>
      </w:pPr>
      <w:r>
        <w:rPr>
          <w:rFonts w:ascii="Arial" w:cs="Arial" w:eastAsia="Arial" w:hAnsi="Arial"/>
          <w:sz w:val="15"/>
          <w:szCs w:val="15"/>
          <w:color w:val="auto"/>
        </w:rPr>
        <w:t>Mr. Benitez and Ms. McCallum were elected to the Board in February 2024, and their Committee assignments were not established as of the date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84455</wp:posOffset>
            </wp:positionV>
            <wp:extent cx="693420" cy="1320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3420" cy="13208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8</w:t>
      </w:r>
    </w:p>
    <w:p>
      <w:pPr>
        <w:sectPr>
          <w:pgSz w:w="11900" w:h="16838" w:orient="portrait"/>
          <w:cols w:equalWidth="0" w:num="1">
            <w:col w:w="9360"/>
          </w:cols>
          <w:pgMar w:left="1260" w:top="254" w:right="1279" w:bottom="1440" w:gutter="0" w:footer="0" w:header="0"/>
        </w:sectPr>
      </w:pPr>
    </w:p>
    <w:bookmarkStart w:id="14" w:name="page15"/>
    <w:bookmarkEnd w:id="14"/>
    <w:p>
      <w:pPr>
        <w:ind w:left="200" w:hanging="194"/>
        <w:spacing w:after="0"/>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Mr. Hale will serve the remainder of his term, which will end at the Annual Meeting.</w:t>
      </w:r>
    </w:p>
    <w:p>
      <w:pPr>
        <w:ind w:firstLine="6"/>
        <w:spacing w:after="0" w:line="210" w:lineRule="auto"/>
        <w:tabs>
          <w:tab w:leader="none" w:pos="186" w:val="left"/>
        </w:tabs>
        <w:numPr>
          <w:ilvl w:val="0"/>
          <w:numId w:val="10"/>
        </w:numPr>
        <w:rPr>
          <w:rFonts w:ascii="Arial" w:cs="Arial" w:eastAsia="Arial" w:hAnsi="Arial"/>
          <w:sz w:val="22"/>
          <w:szCs w:val="22"/>
          <w:color w:val="auto"/>
          <w:vertAlign w:val="superscript"/>
        </w:rPr>
      </w:pPr>
      <w:r>
        <w:rPr>
          <w:rFonts w:ascii="Arial" w:cs="Arial" w:eastAsia="Arial" w:hAnsi="Arial"/>
          <w:sz w:val="15"/>
          <w:szCs w:val="15"/>
          <w:color w:val="auto"/>
        </w:rPr>
        <w:t>For purposes herein, a public company is a company that has a class of securities registered pursuant to Section 12 of the Securities Exchange Act of 1934 or is subject to the requirements of Section 15(d) of the Securities 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Director Independence</w:t>
      </w:r>
    </w:p>
    <w:p>
      <w:pPr>
        <w:spacing w:after="0" w:line="124" w:lineRule="exact"/>
        <w:rPr>
          <w:sz w:val="20"/>
          <w:szCs w:val="20"/>
          <w:color w:val="auto"/>
        </w:rPr>
      </w:pPr>
    </w:p>
    <w:p>
      <w:pPr>
        <w:ind w:right="200"/>
        <w:spacing w:after="0" w:line="242" w:lineRule="auto"/>
        <w:rPr>
          <w:sz w:val="20"/>
          <w:szCs w:val="20"/>
          <w:color w:val="auto"/>
        </w:rPr>
      </w:pPr>
      <w:r>
        <w:rPr>
          <w:rFonts w:ascii="Arial" w:cs="Arial" w:eastAsia="Arial" w:hAnsi="Arial"/>
          <w:sz w:val="16"/>
          <w:szCs w:val="16"/>
          <w:color w:val="auto"/>
        </w:rPr>
        <w:t>Our Board follows the NASDAQ listing standards requirements on director independence. Our Board reviews at least annually the independence of each director. During these reviews, the Board considers transactions and relationships between each director (and his or her immediate family and affiliates) and ACI and its management to determine whether any transactions or relationships are inconsistent with a determination that the director is independent. This review is based primarily on responses of the directors to questions in a directors’ and officers’ questionnaire regarding employment, business, familial, compensation and other relationships with us and our management.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Board has determined that each of our directors is independent, except Thomas W. Warsop, III, our President and CEO.</w:t>
      </w:r>
    </w:p>
    <w:p>
      <w:pPr>
        <w:spacing w:after="0" w:line="206"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As required by NASDAQ, our independent directors meet in regularly scheduled executive sessions at which only independent directors are present.</w:t>
      </w:r>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Board Committees</w:t>
      </w:r>
    </w:p>
    <w:p>
      <w:pPr>
        <w:spacing w:after="0" w:line="124" w:lineRule="exact"/>
        <w:rPr>
          <w:sz w:val="20"/>
          <w:szCs w:val="20"/>
          <w:color w:val="auto"/>
        </w:rPr>
      </w:pPr>
    </w:p>
    <w:p>
      <w:pPr>
        <w:ind w:right="240"/>
        <w:spacing w:after="0" w:line="24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i w:val="1"/>
          <w:iCs w:val="1"/>
          <w:color w:val="auto"/>
        </w:rPr>
        <w:t>Audit Committee</w:t>
      </w:r>
      <w:r>
        <w:rPr>
          <w:rFonts w:ascii="Arial" w:cs="Arial" w:eastAsia="Arial" w:hAnsi="Arial"/>
          <w:sz w:val="16"/>
          <w:szCs w:val="16"/>
          <w:color w:val="auto"/>
        </w:rPr>
        <w:t xml:space="preserve"> operates under a formal charter, which is available on our website at </w:t>
      </w:r>
      <w:r>
        <w:rPr>
          <w:rFonts w:ascii="Arial" w:cs="Arial" w:eastAsia="Arial" w:hAnsi="Arial"/>
          <w:sz w:val="16"/>
          <w:szCs w:val="16"/>
          <w:u w:val="single" w:color="auto"/>
          <w:color w:val="auto"/>
        </w:rPr>
        <w:t>https://investor.aciworldwide.com/</w:t>
      </w:r>
      <w:r>
        <w:rPr>
          <w:rFonts w:ascii="Arial" w:cs="Arial" w:eastAsia="Arial" w:hAnsi="Arial"/>
          <w:sz w:val="16"/>
          <w:szCs w:val="16"/>
          <w:color w:val="auto"/>
        </w:rPr>
        <w:t>. Our Audit Committee assists our Board in its general oversight of financial reporting, internal controls and audit functions and is directly responsible for the appointment, retention, compensation and oversight of the work of our independent registered public accounting firm. Our Audit Committee also provides oversight of ACI’s enterprise risk management, business continuity and information security programs. The Audit Committee oversees ACI’s major financial risk exposures, including cybersecurity risks and ESG risks, and monitors the steps taken by management to control such exposures.</w:t>
      </w:r>
    </w:p>
    <w:p>
      <w:pPr>
        <w:spacing w:after="0" w:line="186"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The Audit Committee has the power to investigate any matter brought to its attention within the scope of its duties and the authority to retain counsel and advisors at our expense to fulfill its responsibilities and duties.</w:t>
      </w:r>
    </w:p>
    <w:p>
      <w:pPr>
        <w:spacing w:after="0" w:line="167" w:lineRule="exact"/>
        <w:rPr>
          <w:sz w:val="20"/>
          <w:szCs w:val="20"/>
          <w:color w:val="auto"/>
        </w:rPr>
      </w:pPr>
    </w:p>
    <w:p>
      <w:pPr>
        <w:ind w:right="20"/>
        <w:spacing w:after="0" w:line="293" w:lineRule="auto"/>
        <w:rPr>
          <w:sz w:val="20"/>
          <w:szCs w:val="20"/>
          <w:color w:val="auto"/>
        </w:rPr>
      </w:pPr>
      <w:r>
        <w:rPr>
          <w:rFonts w:ascii="Arial" w:cs="Arial" w:eastAsia="Arial" w:hAnsi="Arial"/>
          <w:sz w:val="14"/>
          <w:szCs w:val="14"/>
          <w:color w:val="auto"/>
        </w:rPr>
        <w:t>Our Audit Committee is comprised of Ms. Estep, Mr. Hale, Mr. Peters, and Mr. Zabaneh. Mr. Hale will cease to serve as a member of the Audit Committee at the end of his term as a director, which will end at the Annual Meeting. Mr. Peters is the Chair of the Committee. Each member other than Ms. Estep is an “audit committee financial expert” as defined under the rules of the SEC implementing Section 407 of the Sarbanes Oxley Act of 2002. The Audit Committee met eight times during the year ended December 31, 2023.</w:t>
      </w:r>
    </w:p>
    <w:p>
      <w:pPr>
        <w:spacing w:after="0" w:line="149"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Our Board has considered the independence and other characteristics of each member of our Audit Committee and has concluded that the composition of our Audit Committee meets the requirements for independence under the current requirements of SEC rules and regulations. Audit Committee members must satisfy additional independence criteria set forth under Rule 10A-3 under the Exchange Act. In order to be considered independent for purposes of the Rule 10A-3, an Audit Committee member may not, other than in his or her capacity as a member of the audit committee, accept consulting, advisory or other fees from us or be an affiliated person. Each of the members of our Audit Committee qualifies as an independent director pursuant to Rule 10A-3.</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See the “Report of the Audit Committee” below.</w:t>
      </w:r>
    </w:p>
    <w:p>
      <w:pPr>
        <w:spacing w:after="0" w:line="206" w:lineRule="exact"/>
        <w:rPr>
          <w:sz w:val="20"/>
          <w:szCs w:val="20"/>
          <w:color w:val="auto"/>
        </w:rPr>
      </w:pPr>
    </w:p>
    <w:p>
      <w:pPr>
        <w:ind w:right="200"/>
        <w:spacing w:after="0" w:line="24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i w:val="1"/>
          <w:iCs w:val="1"/>
          <w:color w:val="auto"/>
        </w:rPr>
        <w:t>Compensation and Leadership Development Committee</w:t>
      </w:r>
      <w:r>
        <w:rPr>
          <w:rFonts w:ascii="Arial" w:cs="Arial" w:eastAsia="Arial" w:hAnsi="Arial"/>
          <w:sz w:val="16"/>
          <w:szCs w:val="16"/>
          <w:color w:val="auto"/>
        </w:rPr>
        <w:t xml:space="preserve"> (the “Compensation Committee”) operates under a formal charter, which is available on our website at </w:t>
      </w:r>
      <w:r>
        <w:rPr>
          <w:rFonts w:ascii="Arial" w:cs="Arial" w:eastAsia="Arial" w:hAnsi="Arial"/>
          <w:sz w:val="16"/>
          <w:szCs w:val="16"/>
          <w:u w:val="single" w:color="auto"/>
          <w:color w:val="auto"/>
        </w:rPr>
        <w:t>https://investor.aciworldwide.com/</w:t>
      </w:r>
      <w:r>
        <w:rPr>
          <w:rFonts w:ascii="Arial" w:cs="Arial" w:eastAsia="Arial" w:hAnsi="Arial"/>
          <w:sz w:val="16"/>
          <w:szCs w:val="16"/>
          <w:color w:val="auto"/>
        </w:rPr>
        <w:t>. Our Compensation Committee reviews, determines and recommends salaries, performance-based incentives and other matters relating to executive compensation; reviews, evaluates and approves our equity-linked plans, including reviewing and granting equity awards to our executive officers; recommends to the independent directors CEO compensation based on the CEO’s performance; reviews and evaluates the performance of, and compensation for, executive officers other than our CEO; oversees and evaluates the integration of any of the Company’s ESG goals into the Company’s executive compensation programs; and provides general oversight of leadership development processes and strategies for executive and senior officers.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9</w:t>
      </w:r>
    </w:p>
    <w:p>
      <w:pPr>
        <w:sectPr>
          <w:pgSz w:w="11900" w:h="16838" w:orient="portrait"/>
          <w:cols w:equalWidth="0" w:num="1">
            <w:col w:w="9360"/>
          </w:cols>
          <w:pgMar w:left="1260" w:top="228" w:right="1279" w:bottom="1440" w:gutter="0" w:footer="0" w:header="0"/>
        </w:sectPr>
      </w:pPr>
    </w:p>
    <w:bookmarkStart w:id="15" w:name="page16"/>
    <w:bookmarkEnd w:id="15"/>
    <w:p>
      <w:pPr>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The Compensation Committee also has the power to investigate any matter brought to its attention within the scope of its duties and the authority to retain counsel and advisors at our expense to fulfill its responsibilities and duties.</w:t>
      </w:r>
    </w:p>
    <w:p>
      <w:pPr>
        <w:spacing w:after="0" w:line="167"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Our Compensation Committee is comprised of Mr. Hale, Ms. Harman, and Mr. Zabaneh. Mr. Zabaneh is the Chair of the Committee. Mr. Hale will cease to serve as a member of the Compensation Committee at the end of his term as a director, which will end at the Annual Meeting. Each of the Compensation Committee members meets the independence requirements set forth in the rules of NASDAQ, and the “non-employee director” standard within the meaning of Rule 16b-3(b)(3) promulgated under the Exchange Act. The Compensation Committee met six times during the year ended December 31, 2023.</w:t>
      </w:r>
    </w:p>
    <w:p>
      <w:pPr>
        <w:spacing w:after="0" w:line="182" w:lineRule="exact"/>
        <w:rPr>
          <w:sz w:val="20"/>
          <w:szCs w:val="20"/>
          <w:color w:val="auto"/>
        </w:rPr>
      </w:pPr>
    </w:p>
    <w:p>
      <w:pPr>
        <w:ind w:right="180"/>
        <w:spacing w:after="0" w:line="244" w:lineRule="auto"/>
        <w:rPr>
          <w:sz w:val="20"/>
          <w:szCs w:val="20"/>
          <w:color w:val="auto"/>
        </w:rPr>
      </w:pPr>
      <w:r>
        <w:rPr>
          <w:rFonts w:ascii="Arial" w:cs="Arial" w:eastAsia="Arial" w:hAnsi="Arial"/>
          <w:sz w:val="16"/>
          <w:szCs w:val="16"/>
          <w:color w:val="auto"/>
        </w:rPr>
        <w:t>The Compensation Committee may delegate authority to a subcommittee or an individual Compensation Committee member as the Compensation Committee deems necessary, provided that the decisions of such members will be presented to the full Compensation Committee at its next scheduled meeting. For information regarding the role of executive officers and the Compensation Committee’s compensation consultant in determining or recommending the amount or form of executive compensation, see the Compensation Discussion and Analysis.</w:t>
      </w:r>
    </w:p>
    <w:p>
      <w:pPr>
        <w:spacing w:after="0" w:line="182"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i w:val="1"/>
          <w:iCs w:val="1"/>
          <w:color w:val="auto"/>
        </w:rPr>
        <w:t>Nominating and Corporate Governance Committee</w:t>
      </w:r>
      <w:r>
        <w:rPr>
          <w:rFonts w:ascii="Arial" w:cs="Arial" w:eastAsia="Arial" w:hAnsi="Arial"/>
          <w:sz w:val="16"/>
          <w:szCs w:val="16"/>
          <w:color w:val="auto"/>
        </w:rPr>
        <w:t xml:space="preserve"> (the “Corporate Governance Committee”) operates under a formal charter, which is available on our website at </w:t>
      </w:r>
      <w:r>
        <w:rPr>
          <w:rFonts w:ascii="Arial" w:cs="Arial" w:eastAsia="Arial" w:hAnsi="Arial"/>
          <w:sz w:val="16"/>
          <w:szCs w:val="16"/>
          <w:u w:val="single" w:color="auto"/>
          <w:color w:val="auto"/>
        </w:rPr>
        <w:t>https://investor.aciworldwide.com/</w:t>
      </w:r>
      <w:r>
        <w:rPr>
          <w:rFonts w:ascii="Arial" w:cs="Arial" w:eastAsia="Arial" w:hAnsi="Arial"/>
          <w:sz w:val="16"/>
          <w:szCs w:val="16"/>
          <w:color w:val="auto"/>
        </w:rPr>
        <w:t>.</w:t>
      </w:r>
    </w:p>
    <w:p>
      <w:pPr>
        <w:spacing w:after="0" w:line="167"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The Corporate Governance Committee assists our Board in ensuring that we are governed in a manner consistent with the interests of our stockholders, including the integration of corporate responsibility and ESG principles into our business strategy and decision making. The Corporate Governance Committee conducts the Board evaluations and assessments, including assessments of stockholder nominees to the Board, and the identification and recommendation of director nominees. The Corporate Governance Committee also assists the Board in its evaluation of the Board and its committees, as well as the succession planning for our CEO and other executive officers.</w:t>
      </w:r>
    </w:p>
    <w:p>
      <w:pPr>
        <w:spacing w:after="0" w:line="186"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Corporate Governance Committee has the power to investigate any matter brought to its attention within the scope of its duties and the authority to retain counsel and advisors at our expense to fulfill its responsibilities and duties.</w:t>
      </w:r>
    </w:p>
    <w:p>
      <w:pPr>
        <w:spacing w:after="0" w:line="167"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The Corporate Governance Committee is comprised of Ms. Estep, Ms. Harman, and Mr. Peters. Ms. Harman is the Chair of the Committee. Each of the committee members meets the independence requirements set forth in the rules of NASDAQ. The Corporate Governance Committee met five times during the year ended December 31, 2023.</w:t>
      </w:r>
    </w:p>
    <w:p>
      <w:pPr>
        <w:spacing w:after="0" w:line="166"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Meeting Attendance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Our Board and committees held the following meetings during 2023:</w:t>
      </w:r>
    </w:p>
    <w:p>
      <w:pPr>
        <w:spacing w:after="0" w:line="225"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1420" w:type="dxa"/>
            <w:vAlign w:val="bottom"/>
            <w:shd w:val="clear" w:color="auto" w:fill="284993"/>
          </w:tcPr>
          <w:p>
            <w:pPr>
              <w:spacing w:after="0"/>
              <w:rPr>
                <w:sz w:val="16"/>
                <w:szCs w:val="16"/>
                <w:color w:val="auto"/>
              </w:rPr>
            </w:pPr>
          </w:p>
        </w:tc>
        <w:tc>
          <w:tcPr>
            <w:tcW w:w="960" w:type="dxa"/>
            <w:vAlign w:val="bottom"/>
            <w:shd w:val="clear" w:color="auto" w:fill="284993"/>
          </w:tcPr>
          <w:p>
            <w:pPr>
              <w:spacing w:after="0"/>
              <w:rPr>
                <w:sz w:val="16"/>
                <w:szCs w:val="16"/>
                <w:color w:val="auto"/>
              </w:rPr>
            </w:pPr>
          </w:p>
        </w:tc>
        <w:tc>
          <w:tcPr>
            <w:tcW w:w="1820" w:type="dxa"/>
            <w:vAlign w:val="bottom"/>
            <w:shd w:val="clear" w:color="auto" w:fill="284993"/>
          </w:tcPr>
          <w:p>
            <w:pPr>
              <w:spacing w:after="0"/>
              <w:rPr>
                <w:sz w:val="16"/>
                <w:szCs w:val="16"/>
                <w:color w:val="auto"/>
              </w:rPr>
            </w:pPr>
          </w:p>
        </w:tc>
        <w:tc>
          <w:tcPr>
            <w:tcW w:w="1200" w:type="dxa"/>
            <w:vAlign w:val="bottom"/>
            <w:shd w:val="clear" w:color="auto" w:fill="284993"/>
          </w:tcPr>
          <w:p>
            <w:pPr>
              <w:spacing w:after="0"/>
              <w:rPr>
                <w:sz w:val="16"/>
                <w:szCs w:val="16"/>
                <w:color w:val="auto"/>
              </w:rPr>
            </w:pPr>
          </w:p>
        </w:tc>
        <w:tc>
          <w:tcPr>
            <w:tcW w:w="1980" w:type="dxa"/>
            <w:vAlign w:val="bottom"/>
            <w:shd w:val="clear" w:color="auto" w:fill="284993"/>
          </w:tcPr>
          <w:p>
            <w:pPr>
              <w:spacing w:after="0"/>
              <w:rPr>
                <w:sz w:val="16"/>
                <w:szCs w:val="16"/>
                <w:color w:val="auto"/>
              </w:rPr>
            </w:pPr>
          </w:p>
        </w:tc>
        <w:tc>
          <w:tcPr>
            <w:tcW w:w="1400" w:type="dxa"/>
            <w:vAlign w:val="bottom"/>
            <w:shd w:val="clear" w:color="auto" w:fill="284993"/>
          </w:tcPr>
          <w:p>
            <w:pPr>
              <w:jc w:val="center"/>
              <w:ind w:left="233"/>
              <w:spacing w:after="0"/>
              <w:rPr>
                <w:sz w:val="20"/>
                <w:szCs w:val="20"/>
                <w:color w:val="auto"/>
              </w:rPr>
            </w:pPr>
            <w:r>
              <w:rPr>
                <w:rFonts w:ascii="Arial" w:cs="Arial" w:eastAsia="Arial" w:hAnsi="Arial"/>
                <w:sz w:val="17"/>
                <w:szCs w:val="17"/>
                <w:b w:val="1"/>
                <w:bCs w:val="1"/>
                <w:color w:val="FFFFFF"/>
              </w:rPr>
              <w:t> Corporate</w:t>
            </w:r>
          </w:p>
        </w:tc>
      </w:tr>
      <w:tr>
        <w:trPr>
          <w:trHeight w:val="195"/>
        </w:trPr>
        <w:tc>
          <w:tcPr>
            <w:tcW w:w="1420" w:type="dxa"/>
            <w:vAlign w:val="bottom"/>
            <w:shd w:val="clear" w:color="auto" w:fill="284993"/>
          </w:tcPr>
          <w:p>
            <w:pPr>
              <w:spacing w:after="0"/>
              <w:rPr>
                <w:sz w:val="16"/>
                <w:szCs w:val="16"/>
                <w:color w:val="auto"/>
              </w:rPr>
            </w:pPr>
          </w:p>
        </w:tc>
        <w:tc>
          <w:tcPr>
            <w:tcW w:w="960" w:type="dxa"/>
            <w:vAlign w:val="bottom"/>
            <w:shd w:val="clear" w:color="auto" w:fill="284993"/>
          </w:tcPr>
          <w:p>
            <w:pPr>
              <w:spacing w:after="0"/>
              <w:rPr>
                <w:sz w:val="16"/>
                <w:szCs w:val="16"/>
                <w:color w:val="auto"/>
              </w:rPr>
            </w:pPr>
          </w:p>
        </w:tc>
        <w:tc>
          <w:tcPr>
            <w:tcW w:w="1820" w:type="dxa"/>
            <w:vAlign w:val="bottom"/>
            <w:shd w:val="clear" w:color="auto" w:fill="284993"/>
          </w:tcPr>
          <w:p>
            <w:pPr>
              <w:jc w:val="center"/>
              <w:ind w:left="93"/>
              <w:spacing w:after="0"/>
              <w:rPr>
                <w:sz w:val="20"/>
                <w:szCs w:val="20"/>
                <w:color w:val="auto"/>
              </w:rPr>
            </w:pPr>
            <w:r>
              <w:rPr>
                <w:rFonts w:ascii="Arial" w:cs="Arial" w:eastAsia="Arial" w:hAnsi="Arial"/>
                <w:sz w:val="17"/>
                <w:szCs w:val="17"/>
                <w:b w:val="1"/>
                <w:bCs w:val="1"/>
                <w:color w:val="FFFFFF"/>
              </w:rPr>
              <w:t> </w:t>
            </w:r>
          </w:p>
        </w:tc>
        <w:tc>
          <w:tcPr>
            <w:tcW w:w="1200" w:type="dxa"/>
            <w:vAlign w:val="bottom"/>
            <w:shd w:val="clear" w:color="auto" w:fill="284993"/>
          </w:tcPr>
          <w:p>
            <w:pPr>
              <w:jc w:val="center"/>
              <w:spacing w:after="0"/>
              <w:rPr>
                <w:sz w:val="20"/>
                <w:szCs w:val="20"/>
                <w:color w:val="auto"/>
              </w:rPr>
            </w:pPr>
            <w:r>
              <w:rPr>
                <w:rFonts w:ascii="Arial" w:cs="Arial" w:eastAsia="Arial" w:hAnsi="Arial"/>
                <w:sz w:val="17"/>
                <w:szCs w:val="17"/>
                <w:b w:val="1"/>
                <w:bCs w:val="1"/>
                <w:color w:val="FFFFFF"/>
              </w:rPr>
              <w:t> </w:t>
            </w:r>
          </w:p>
        </w:tc>
        <w:tc>
          <w:tcPr>
            <w:tcW w:w="1980" w:type="dxa"/>
            <w:vAlign w:val="bottom"/>
            <w:shd w:val="clear" w:color="auto" w:fill="284993"/>
          </w:tcPr>
          <w:p>
            <w:pPr>
              <w:jc w:val="center"/>
              <w:spacing w:after="0"/>
              <w:rPr>
                <w:sz w:val="20"/>
                <w:szCs w:val="20"/>
                <w:color w:val="auto"/>
              </w:rPr>
            </w:pPr>
            <w:r>
              <w:rPr>
                <w:rFonts w:ascii="Arial" w:cs="Arial" w:eastAsia="Arial" w:hAnsi="Arial"/>
                <w:sz w:val="17"/>
                <w:szCs w:val="17"/>
                <w:b w:val="1"/>
                <w:bCs w:val="1"/>
                <w:color w:val="FFFFFF"/>
              </w:rPr>
              <w:t> </w:t>
            </w:r>
          </w:p>
        </w:tc>
        <w:tc>
          <w:tcPr>
            <w:tcW w:w="1400" w:type="dxa"/>
            <w:vAlign w:val="bottom"/>
            <w:shd w:val="clear" w:color="auto" w:fill="284993"/>
          </w:tcPr>
          <w:p>
            <w:pPr>
              <w:jc w:val="center"/>
              <w:ind w:left="273"/>
              <w:spacing w:after="0"/>
              <w:rPr>
                <w:sz w:val="20"/>
                <w:szCs w:val="20"/>
                <w:color w:val="auto"/>
              </w:rPr>
            </w:pPr>
            <w:r>
              <w:rPr>
                <w:rFonts w:ascii="Arial" w:cs="Arial" w:eastAsia="Arial" w:hAnsi="Arial"/>
                <w:sz w:val="17"/>
                <w:szCs w:val="17"/>
                <w:b w:val="1"/>
                <w:bCs w:val="1"/>
                <w:color w:val="FFFFFF"/>
              </w:rPr>
              <w:t> </w:t>
            </w:r>
          </w:p>
        </w:tc>
      </w:tr>
      <w:tr>
        <w:trPr>
          <w:trHeight w:val="227"/>
        </w:trPr>
        <w:tc>
          <w:tcPr>
            <w:tcW w:w="1420" w:type="dxa"/>
            <w:vAlign w:val="bottom"/>
            <w:shd w:val="clear" w:color="auto" w:fill="284993"/>
          </w:tcPr>
          <w:p>
            <w:pPr>
              <w:jc w:val="right"/>
              <w:spacing w:after="0"/>
              <w:rPr>
                <w:sz w:val="20"/>
                <w:szCs w:val="20"/>
                <w:color w:val="auto"/>
              </w:rPr>
            </w:pPr>
            <w:r>
              <w:rPr>
                <w:rFonts w:ascii="Arial" w:cs="Arial" w:eastAsia="Arial" w:hAnsi="Arial"/>
                <w:sz w:val="17"/>
                <w:szCs w:val="17"/>
                <w:b w:val="1"/>
                <w:bCs w:val="1"/>
                <w:color w:val="FFFFFF"/>
                <w:w w:val="95"/>
              </w:rPr>
              <w:t>   Type of Meeting</w:t>
            </w:r>
          </w:p>
        </w:tc>
        <w:tc>
          <w:tcPr>
            <w:tcW w:w="960" w:type="dxa"/>
            <w:vAlign w:val="bottom"/>
            <w:shd w:val="clear" w:color="auto" w:fill="284993"/>
          </w:tcPr>
          <w:p>
            <w:pPr>
              <w:spacing w:after="0"/>
              <w:rPr>
                <w:sz w:val="19"/>
                <w:szCs w:val="19"/>
                <w:color w:val="auto"/>
              </w:rPr>
            </w:pPr>
          </w:p>
        </w:tc>
        <w:tc>
          <w:tcPr>
            <w:tcW w:w="1820" w:type="dxa"/>
            <w:vAlign w:val="bottom"/>
            <w:shd w:val="clear" w:color="auto" w:fill="284993"/>
          </w:tcPr>
          <w:p>
            <w:pPr>
              <w:jc w:val="center"/>
              <w:ind w:left="113"/>
              <w:spacing w:after="0"/>
              <w:rPr>
                <w:sz w:val="20"/>
                <w:szCs w:val="20"/>
                <w:color w:val="auto"/>
              </w:rPr>
            </w:pPr>
            <w:r>
              <w:rPr>
                <w:rFonts w:ascii="Arial" w:cs="Arial" w:eastAsia="Arial" w:hAnsi="Arial"/>
                <w:sz w:val="17"/>
                <w:szCs w:val="17"/>
                <w:b w:val="1"/>
                <w:bCs w:val="1"/>
                <w:color w:val="FFFFFF"/>
              </w:rPr>
              <w:t>Full Board </w:t>
            </w:r>
          </w:p>
        </w:tc>
        <w:tc>
          <w:tcPr>
            <w:tcW w:w="1200" w:type="dxa"/>
            <w:vAlign w:val="bottom"/>
            <w:shd w:val="clear" w:color="auto" w:fill="284993"/>
          </w:tcPr>
          <w:p>
            <w:pPr>
              <w:jc w:val="center"/>
              <w:spacing w:after="0"/>
              <w:rPr>
                <w:sz w:val="20"/>
                <w:szCs w:val="20"/>
                <w:color w:val="auto"/>
              </w:rPr>
            </w:pPr>
            <w:r>
              <w:rPr>
                <w:rFonts w:ascii="Arial" w:cs="Arial" w:eastAsia="Arial" w:hAnsi="Arial"/>
                <w:sz w:val="17"/>
                <w:szCs w:val="17"/>
                <w:b w:val="1"/>
                <w:bCs w:val="1"/>
                <w:color w:val="FFFFFF"/>
              </w:rPr>
              <w:t>Audit </w:t>
            </w:r>
          </w:p>
        </w:tc>
        <w:tc>
          <w:tcPr>
            <w:tcW w:w="1980" w:type="dxa"/>
            <w:vAlign w:val="bottom"/>
            <w:shd w:val="clear" w:color="auto" w:fill="284993"/>
          </w:tcPr>
          <w:p>
            <w:pPr>
              <w:jc w:val="center"/>
              <w:spacing w:after="0"/>
              <w:rPr>
                <w:sz w:val="20"/>
                <w:szCs w:val="20"/>
                <w:color w:val="auto"/>
              </w:rPr>
            </w:pPr>
            <w:r>
              <w:rPr>
                <w:rFonts w:ascii="Arial" w:cs="Arial" w:eastAsia="Arial" w:hAnsi="Arial"/>
                <w:sz w:val="17"/>
                <w:szCs w:val="17"/>
                <w:b w:val="1"/>
                <w:bCs w:val="1"/>
                <w:color w:val="FFFFFF"/>
              </w:rPr>
              <w:t>Compensation </w:t>
            </w:r>
          </w:p>
        </w:tc>
        <w:tc>
          <w:tcPr>
            <w:tcW w:w="1400" w:type="dxa"/>
            <w:vAlign w:val="bottom"/>
            <w:shd w:val="clear" w:color="auto" w:fill="284993"/>
          </w:tcPr>
          <w:p>
            <w:pPr>
              <w:jc w:val="center"/>
              <w:ind w:left="233"/>
              <w:spacing w:after="0"/>
              <w:rPr>
                <w:sz w:val="20"/>
                <w:szCs w:val="20"/>
                <w:color w:val="auto"/>
              </w:rPr>
            </w:pPr>
            <w:r>
              <w:rPr>
                <w:rFonts w:ascii="Arial" w:cs="Arial" w:eastAsia="Arial" w:hAnsi="Arial"/>
                <w:sz w:val="17"/>
                <w:szCs w:val="17"/>
                <w:b w:val="1"/>
                <w:bCs w:val="1"/>
                <w:color w:val="FFFFFF"/>
              </w:rPr>
              <w:t>Governance</w:t>
            </w:r>
          </w:p>
        </w:tc>
      </w:tr>
      <w:tr>
        <w:trPr>
          <w:trHeight w:val="195"/>
        </w:trPr>
        <w:tc>
          <w:tcPr>
            <w:tcW w:w="1420" w:type="dxa"/>
            <w:vAlign w:val="bottom"/>
            <w:tcBorders>
              <w:bottom w:val="single" w:sz="8" w:color="284993"/>
            </w:tcBorders>
          </w:tcPr>
          <w:p>
            <w:pPr>
              <w:jc w:val="right"/>
              <w:spacing w:after="0"/>
              <w:rPr>
                <w:sz w:val="20"/>
                <w:szCs w:val="20"/>
                <w:color w:val="auto"/>
              </w:rPr>
            </w:pPr>
            <w:r>
              <w:rPr>
                <w:rFonts w:ascii="Arial" w:cs="Arial" w:eastAsia="Arial" w:hAnsi="Arial"/>
                <w:sz w:val="17"/>
                <w:szCs w:val="17"/>
                <w:color w:val="auto"/>
              </w:rPr>
              <w:t>Total Meetings in</w:t>
            </w:r>
          </w:p>
        </w:tc>
        <w:tc>
          <w:tcPr>
            <w:tcW w:w="960" w:type="dxa"/>
            <w:vAlign w:val="bottom"/>
            <w:tcBorders>
              <w:bottom w:val="single" w:sz="8" w:color="284993"/>
            </w:tcBorders>
          </w:tcPr>
          <w:p>
            <w:pPr>
              <w:jc w:val="right"/>
              <w:ind w:right="473"/>
              <w:spacing w:after="0"/>
              <w:rPr>
                <w:sz w:val="20"/>
                <w:szCs w:val="20"/>
                <w:color w:val="auto"/>
              </w:rPr>
            </w:pPr>
            <w:r>
              <w:rPr>
                <w:rFonts w:ascii="Arial" w:cs="Arial" w:eastAsia="Arial" w:hAnsi="Arial"/>
                <w:sz w:val="17"/>
                <w:szCs w:val="17"/>
                <w:color w:val="auto"/>
              </w:rPr>
              <w:t>2023</w:t>
            </w:r>
          </w:p>
        </w:tc>
        <w:tc>
          <w:tcPr>
            <w:tcW w:w="1820" w:type="dxa"/>
            <w:vAlign w:val="bottom"/>
            <w:tcBorders>
              <w:bottom w:val="single" w:sz="8" w:color="284993"/>
            </w:tcBorders>
          </w:tcPr>
          <w:p>
            <w:pPr>
              <w:jc w:val="center"/>
              <w:ind w:left="93"/>
              <w:spacing w:after="0"/>
              <w:rPr>
                <w:sz w:val="20"/>
                <w:szCs w:val="20"/>
                <w:color w:val="auto"/>
              </w:rPr>
            </w:pPr>
            <w:r>
              <w:rPr>
                <w:rFonts w:ascii="Arial" w:cs="Arial" w:eastAsia="Arial" w:hAnsi="Arial"/>
                <w:sz w:val="17"/>
                <w:szCs w:val="17"/>
                <w:color w:val="auto"/>
              </w:rPr>
              <w:t>16</w:t>
            </w:r>
          </w:p>
        </w:tc>
        <w:tc>
          <w:tcPr>
            <w:tcW w:w="1200" w:type="dxa"/>
            <w:vAlign w:val="bottom"/>
            <w:tcBorders>
              <w:bottom w:val="single" w:sz="8" w:color="284993"/>
            </w:tcBorders>
          </w:tcPr>
          <w:p>
            <w:pPr>
              <w:jc w:val="center"/>
              <w:spacing w:after="0"/>
              <w:rPr>
                <w:sz w:val="20"/>
                <w:szCs w:val="20"/>
                <w:color w:val="auto"/>
              </w:rPr>
            </w:pPr>
            <w:r>
              <w:rPr>
                <w:rFonts w:ascii="Arial" w:cs="Arial" w:eastAsia="Arial" w:hAnsi="Arial"/>
                <w:sz w:val="17"/>
                <w:szCs w:val="17"/>
                <w:color w:val="auto"/>
              </w:rPr>
              <w:t>8</w:t>
            </w:r>
          </w:p>
        </w:tc>
        <w:tc>
          <w:tcPr>
            <w:tcW w:w="1980" w:type="dxa"/>
            <w:vAlign w:val="bottom"/>
            <w:tcBorders>
              <w:bottom w:val="single" w:sz="8" w:color="284993"/>
            </w:tcBorders>
          </w:tcPr>
          <w:p>
            <w:pPr>
              <w:jc w:val="center"/>
              <w:spacing w:after="0"/>
              <w:rPr>
                <w:sz w:val="20"/>
                <w:szCs w:val="20"/>
                <w:color w:val="auto"/>
              </w:rPr>
            </w:pPr>
            <w:r>
              <w:rPr>
                <w:rFonts w:ascii="Arial" w:cs="Arial" w:eastAsia="Arial" w:hAnsi="Arial"/>
                <w:sz w:val="17"/>
                <w:szCs w:val="17"/>
                <w:color w:val="auto"/>
              </w:rPr>
              <w:t>6</w:t>
            </w:r>
          </w:p>
        </w:tc>
        <w:tc>
          <w:tcPr>
            <w:tcW w:w="1400" w:type="dxa"/>
            <w:vAlign w:val="bottom"/>
            <w:tcBorders>
              <w:bottom w:val="single" w:sz="8" w:color="284993"/>
            </w:tcBorders>
          </w:tcPr>
          <w:p>
            <w:pPr>
              <w:jc w:val="center"/>
              <w:ind w:left="253"/>
              <w:spacing w:after="0"/>
              <w:rPr>
                <w:sz w:val="20"/>
                <w:szCs w:val="20"/>
                <w:color w:val="auto"/>
              </w:rPr>
            </w:pPr>
            <w:r>
              <w:rPr>
                <w:rFonts w:ascii="Arial" w:cs="Arial" w:eastAsia="Arial" w:hAnsi="Arial"/>
                <w:sz w:val="17"/>
                <w:szCs w:val="17"/>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4645025</wp:posOffset>
            </wp:positionH>
            <wp:positionV relativeFrom="paragraph">
              <wp:posOffset>-511175</wp:posOffset>
            </wp:positionV>
            <wp:extent cx="8255" cy="5118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51181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-511175</wp:posOffset>
            </wp:positionV>
            <wp:extent cx="8255" cy="5118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511810"/>
                    </a:xfrm>
                    <a:prstGeom prst="rect">
                      <a:avLst/>
                    </a:prstGeom>
                    <a:noFill/>
                  </pic:spPr>
                </pic:pic>
              </a:graphicData>
            </a:graphic>
          </wp:anchor>
        </w:drawing>
        <w:drawing>
          <wp:anchor simplePos="0" relativeHeight="251657728" behindDoc="1" locked="0" layoutInCell="0" allowOverlap="1">
            <wp:simplePos x="0" y="0"/>
            <wp:positionH relativeFrom="column">
              <wp:posOffset>2623820</wp:posOffset>
            </wp:positionH>
            <wp:positionV relativeFrom="paragraph">
              <wp:posOffset>-511175</wp:posOffset>
            </wp:positionV>
            <wp:extent cx="8255" cy="5118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51181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-511175</wp:posOffset>
            </wp:positionV>
            <wp:extent cx="8255" cy="5118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51181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Each director attended at least 75% of Board and applicable committee meetings in 2023.</w:t>
      </w:r>
    </w:p>
    <w:p>
      <w:pPr>
        <w:spacing w:after="0" w:line="206" w:lineRule="exact"/>
        <w:rPr>
          <w:sz w:val="20"/>
          <w:szCs w:val="20"/>
          <w:color w:val="auto"/>
        </w:rPr>
      </w:pPr>
    </w:p>
    <w:p>
      <w:pPr>
        <w:jc w:val="both"/>
        <w:ind w:right="280"/>
        <w:spacing w:after="0" w:line="264" w:lineRule="auto"/>
        <w:rPr>
          <w:sz w:val="20"/>
          <w:szCs w:val="20"/>
          <w:color w:val="auto"/>
        </w:rPr>
      </w:pPr>
      <w:r>
        <w:rPr>
          <w:rFonts w:ascii="Arial" w:cs="Arial" w:eastAsia="Arial" w:hAnsi="Arial"/>
          <w:sz w:val="16"/>
          <w:szCs w:val="16"/>
          <w:color w:val="auto"/>
        </w:rPr>
        <w:t>Director nominees are expected to attend our annual meetings of stockholders. All of the 2023 director nominees attended our 2023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Board Leadership Structure</w:t>
      </w:r>
    </w:p>
    <w:p>
      <w:pPr>
        <w:spacing w:after="0" w:line="124"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Mr. Sanchez is the Chairman of the Board. Mr. Warsop III, our CEO, is the only member of the Board who is not an independent director. We believe that this leadership structure enhances the accountability of our CEO to the Board and strengthens the Board’s independence from management.</w:t>
      </w:r>
    </w:p>
    <w:p>
      <w:pPr>
        <w:spacing w:after="0" w:line="166"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Board Evaluation and Nomination Process</w:t>
      </w:r>
    </w:p>
    <w:p>
      <w:pPr>
        <w:spacing w:after="0" w:line="124" w:lineRule="exact"/>
        <w:rPr>
          <w:sz w:val="20"/>
          <w:szCs w:val="20"/>
          <w:color w:val="auto"/>
        </w:rPr>
      </w:pPr>
    </w:p>
    <w:p>
      <w:pPr>
        <w:ind w:right="260"/>
        <w:spacing w:after="0" w:line="264" w:lineRule="auto"/>
        <w:rPr>
          <w:sz w:val="20"/>
          <w:szCs w:val="20"/>
          <w:color w:val="auto"/>
        </w:rPr>
      </w:pPr>
      <w:r>
        <w:rPr>
          <w:rFonts w:ascii="Arial" w:cs="Arial" w:eastAsia="Arial" w:hAnsi="Arial"/>
          <w:sz w:val="16"/>
          <w:szCs w:val="16"/>
          <w:color w:val="auto"/>
        </w:rPr>
        <w:t>The Board believes that a continuous evaluation process allows it to assess its effectiveness and proactively identify gaps in desired skills and attributes represented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220980</wp:posOffset>
            </wp:positionV>
            <wp:extent cx="701675" cy="1320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1675" cy="13208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10</w:t>
      </w:r>
    </w:p>
    <w:p>
      <w:pPr>
        <w:sectPr>
          <w:pgSz w:w="11900" w:h="16838" w:orient="portrait"/>
          <w:cols w:equalWidth="0" w:num="1">
            <w:col w:w="9360"/>
          </w:cols>
          <w:pgMar w:left="1260" w:top="296" w:right="1279" w:bottom="1440" w:gutter="0" w:footer="0" w:header="0"/>
        </w:sectPr>
      </w:pPr>
    </w:p>
    <w:bookmarkStart w:id="16" w:name="page17"/>
    <w:bookmarkEnd w:id="16"/>
    <w:p>
      <w:pPr>
        <w:jc w:val="both"/>
        <w:ind w:right="180"/>
        <w:spacing w:after="0" w:line="25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The Corporate Governance Committee oversees an annual review process. An evaluation is completed with respect to each director, each committee and the Board as a whole. Additionally, interviews are held with each director and an independent board assessment firm.</w:t>
      </w:r>
    </w:p>
    <w:p>
      <w:pPr>
        <w:spacing w:after="0" w:line="166"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Corporate Responsibility and Sustainability</w:t>
      </w:r>
    </w:p>
    <w:p>
      <w:pPr>
        <w:spacing w:after="0" w:line="124" w:lineRule="exact"/>
        <w:rPr>
          <w:sz w:val="20"/>
          <w:szCs w:val="20"/>
          <w:color w:val="auto"/>
        </w:rPr>
      </w:pPr>
    </w:p>
    <w:p>
      <w:pPr>
        <w:ind w:right="420"/>
        <w:spacing w:after="0" w:line="251" w:lineRule="auto"/>
        <w:rPr>
          <w:sz w:val="20"/>
          <w:szCs w:val="20"/>
          <w:color w:val="auto"/>
        </w:rPr>
      </w:pPr>
      <w:r>
        <w:rPr>
          <w:rFonts w:ascii="Arial" w:cs="Arial" w:eastAsia="Arial" w:hAnsi="Arial"/>
          <w:sz w:val="16"/>
          <w:szCs w:val="16"/>
          <w:color w:val="auto"/>
        </w:rPr>
        <w:t>ACI believes businesses have an increasingly important mandate to operate responsibly, and we aim to operate in a way that is socially, environmentally and financially sustainable. We find ways to improve the lives of our employees and positively impact the communities in which we live and work.</w:t>
      </w:r>
    </w:p>
    <w:p>
      <w:pPr>
        <w:spacing w:after="0" w:line="166"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ESG Governance</w:t>
      </w:r>
    </w:p>
    <w:p>
      <w:pPr>
        <w:spacing w:after="0" w:line="124"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ACI’s ESG governance structure includes four groups. The Board of Directors, through the Nominating and Corporate Governance Committee, has oversight responsibility to implement and review the Company’s ESG programs and practices. Various committees of the Board also review relevant aspects of the Company’s ESG programs and practices. The Board reviews progress made against our ESG priorities and provides the final review and approval of our annual sustainability report. Executive Leadership Team members provide guidance and manage the execution of ESG priorities, especially those aligned to their business units. Key Senior Leadership Team members are dedicated to advancing ESG priorities. They also provide day-to-day initiative management. Working groups assembled from employee volunteers help advance the implementation of specific initiatives.</w:t>
      </w:r>
    </w:p>
    <w:p>
      <w:pPr>
        <w:spacing w:after="0" w:line="332"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Sustainable Solutions</w:t>
      </w:r>
    </w:p>
    <w:p>
      <w:pPr>
        <w:spacing w:after="0" w:line="124"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We recognize the essential role digital payment systems play in our modern economy and how they can open life’s possibilities to everyone, including people historically disadvantaged by location, education, disability, race, gender, ethnicity, wealth or circumstance. We are proud that our core products and services can help ensure inclusive and equitable access to the digital economy and can eliminate the need for paper-based bills and payments, saving trees the world needs to provide oxygen, improve air quality, conserve water, support wildlife and mitigate climate change.</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Corporate Social Responsibility Initiatives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Some of our key environmental efforts include reducing our energy use and waste production through the implementation of LED lighting, managed HVAC systems, electronic signature and agreement software and more efficient data center technology. We have also adopted a single-stream recycling program in the U.S. and have programs in place globally to reduce paper and plastic consumption. We also work with credible vendors for responsible processing and recycling of electronic devices. In 2021, we completed an office optimization initiative that reduced our global office footprint and further lessened our energy use and waste production. In 2022, we continued to invest in energy improvements while also advancing our sustainability reporting. We published an enhanced Sustainability Report to provide all stakeholders with a more detailed narrative of our environmental, social and governance efforts. The report includes our first energy usage data and detailed appendices aligned to Sustainability Standards Board (SASB) and Global Reporting Initiative (GRI) reporting standards. In 2023, we inventoried our Scope 1 and Scope 2 greenhouse gas (GHG) emissions. The data shows that nearly all of our emissions come from purchased electricity. Our emissions analysis is included in our 2023 Sustainability Report.</w:t>
      </w:r>
    </w:p>
    <w:p>
      <w:pPr>
        <w:spacing w:after="0" w:line="185" w:lineRule="exact"/>
        <w:rPr>
          <w:sz w:val="20"/>
          <w:szCs w:val="20"/>
          <w:color w:val="auto"/>
        </w:rPr>
      </w:pPr>
    </w:p>
    <w:p>
      <w:pPr>
        <w:ind w:right="80"/>
        <w:spacing w:after="0"/>
        <w:rPr>
          <w:sz w:val="20"/>
          <w:szCs w:val="20"/>
          <w:color w:val="auto"/>
        </w:rPr>
      </w:pPr>
      <w:r>
        <w:rPr>
          <w:rFonts w:ascii="Arial" w:cs="Arial" w:eastAsia="Arial" w:hAnsi="Arial"/>
          <w:sz w:val="16"/>
          <w:szCs w:val="16"/>
          <w:color w:val="auto"/>
        </w:rPr>
        <w:t>Financial inclusion, gender parity in payments and STEM education are our social areas of focus. We have philanthropic relationships with Girls Who Code and Code.org to introduce more children from underrepresented groups to computer science. We also donate to Kiva, a non-profit that facilitates small loans to low-income entrepreneurs and students globally. We are a sponsor of Women in Payments and Paytech, organizations dedicated to giving women in the industry more opportunities to excel. In 2022, we launched RISE (Represent, Include, Strengthen, Development), a multi-faceted leadership development program that aims to inspire and empower high-potential ACI leaders from underrepresented groups to actively participate in business decision making, accelerating their professional advancement and ACI’s growth journey. In addition, our thousands of team members located in 49 countries around the world have a powerful impact in their own communities when they use their eight hours of paid volunteer time a month to give back to a variety of non-governmental organizations.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11</w:t>
      </w:r>
    </w:p>
    <w:p>
      <w:pPr>
        <w:sectPr>
          <w:pgSz w:w="11900" w:h="16838" w:orient="portrait"/>
          <w:cols w:equalWidth="0" w:num="1">
            <w:col w:w="9360"/>
          </w:cols>
          <w:pgMar w:left="1260" w:top="296" w:right="1279" w:bottom="1440" w:gutter="0" w:footer="0" w:header="0"/>
        </w:sectPr>
      </w:pPr>
    </w:p>
    <w:bookmarkStart w:id="17" w:name="page18"/>
    <w:bookmarkEnd w:id="17"/>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Board Diversity</w:t>
      </w:r>
    </w:p>
    <w:p>
      <w:pPr>
        <w:spacing w:after="0" w:line="124" w:lineRule="exact"/>
        <w:rPr>
          <w:sz w:val="20"/>
          <w:szCs w:val="20"/>
          <w:color w:val="auto"/>
        </w:rPr>
      </w:pPr>
    </w:p>
    <w:p>
      <w:pPr>
        <w:ind w:right="140"/>
        <w:spacing w:after="0" w:line="336" w:lineRule="auto"/>
        <w:rPr>
          <w:sz w:val="20"/>
          <w:szCs w:val="20"/>
          <w:color w:val="auto"/>
        </w:rPr>
      </w:pPr>
      <w:r>
        <w:rPr>
          <w:rFonts w:ascii="Arial" w:cs="Arial" w:eastAsia="Arial" w:hAnsi="Arial"/>
          <w:sz w:val="14"/>
          <w:szCs w:val="14"/>
          <w:color w:val="auto"/>
        </w:rPr>
        <w:t>The Board is committed to diversity and inclusiveness, including in respect of the composition of the Board itself. Three of the eight, or 37.5%, of the director nominees self-identify as gender diverse. Three of the director nominees self-identify as other than white</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The following Board Diversity Matrix sets forth diversity statistics regarding each of the director nominees, which comprise our current directors other than Mr. Hale, who will serve the remainder of his term, which will end with the Annual Meeting.</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Board Diversity Matrix (Director Nominees)</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760" w:type="dxa"/>
            <w:vAlign w:val="bottom"/>
            <w:shd w:val="clear" w:color="auto" w:fill="284993"/>
          </w:tcPr>
          <w:p>
            <w:pPr>
              <w:ind w:left="60"/>
              <w:spacing w:after="0"/>
              <w:rPr>
                <w:sz w:val="20"/>
                <w:szCs w:val="20"/>
                <w:color w:val="auto"/>
              </w:rPr>
            </w:pPr>
            <w:r>
              <w:rPr>
                <w:rFonts w:ascii="Arial" w:cs="Arial" w:eastAsia="Arial" w:hAnsi="Arial"/>
                <w:sz w:val="16"/>
                <w:szCs w:val="16"/>
                <w:b w:val="1"/>
                <w:bCs w:val="1"/>
                <w:color w:val="FFFFFF"/>
              </w:rPr>
              <w:t>Size:</w:t>
            </w:r>
          </w:p>
        </w:tc>
        <w:tc>
          <w:tcPr>
            <w:tcW w:w="1540" w:type="dxa"/>
            <w:vAlign w:val="bottom"/>
            <w:shd w:val="clear" w:color="auto" w:fill="284993"/>
          </w:tcPr>
          <w:p>
            <w:pPr>
              <w:spacing w:after="0"/>
              <w:rPr>
                <w:sz w:val="16"/>
                <w:szCs w:val="16"/>
                <w:color w:val="auto"/>
              </w:rPr>
            </w:pPr>
          </w:p>
        </w:tc>
        <w:tc>
          <w:tcPr>
            <w:tcW w:w="1080" w:type="dxa"/>
            <w:vAlign w:val="bottom"/>
            <w:shd w:val="clear" w:color="auto" w:fill="284993"/>
          </w:tcPr>
          <w:p>
            <w:pPr>
              <w:spacing w:after="0"/>
              <w:rPr>
                <w:sz w:val="16"/>
                <w:szCs w:val="16"/>
                <w:color w:val="auto"/>
              </w:rPr>
            </w:pPr>
          </w:p>
        </w:tc>
        <w:tc>
          <w:tcPr>
            <w:tcW w:w="1460" w:type="dxa"/>
            <w:vAlign w:val="bottom"/>
            <w:shd w:val="clear" w:color="auto" w:fill="284993"/>
          </w:tcPr>
          <w:p>
            <w:pPr>
              <w:spacing w:after="0"/>
              <w:rPr>
                <w:sz w:val="16"/>
                <w:szCs w:val="16"/>
                <w:color w:val="auto"/>
              </w:rPr>
            </w:pPr>
          </w:p>
        </w:tc>
        <w:tc>
          <w:tcPr>
            <w:tcW w:w="1500" w:type="dxa"/>
            <w:vAlign w:val="bottom"/>
            <w:shd w:val="clear" w:color="auto" w:fill="284993"/>
          </w:tcPr>
          <w:p>
            <w:pPr>
              <w:spacing w:after="0"/>
              <w:rPr>
                <w:sz w:val="16"/>
                <w:szCs w:val="16"/>
                <w:color w:val="auto"/>
              </w:rPr>
            </w:pPr>
          </w:p>
        </w:tc>
        <w:tc>
          <w:tcPr>
            <w:tcW w:w="20" w:type="dxa"/>
            <w:vAlign w:val="bottom"/>
          </w:tcPr>
          <w:p>
            <w:pPr>
              <w:spacing w:after="0"/>
              <w:rPr>
                <w:sz w:val="16"/>
                <w:szCs w:val="16"/>
                <w:color w:val="auto"/>
              </w:rPr>
            </w:pPr>
          </w:p>
        </w:tc>
      </w:tr>
      <w:tr>
        <w:trPr>
          <w:trHeight w:val="182"/>
        </w:trPr>
        <w:tc>
          <w:tcPr>
            <w:tcW w:w="3760" w:type="dxa"/>
            <w:vAlign w:val="bottom"/>
            <w:shd w:val="clear" w:color="auto" w:fill="9DBDE4"/>
          </w:tcPr>
          <w:p>
            <w:pPr>
              <w:ind w:left="60"/>
              <w:spacing w:after="0" w:line="182" w:lineRule="exact"/>
              <w:rPr>
                <w:sz w:val="20"/>
                <w:szCs w:val="20"/>
                <w:color w:val="auto"/>
              </w:rPr>
            </w:pPr>
            <w:r>
              <w:rPr>
                <w:rFonts w:ascii="Arial" w:cs="Arial" w:eastAsia="Arial" w:hAnsi="Arial"/>
                <w:sz w:val="16"/>
                <w:szCs w:val="16"/>
                <w:color w:val="auto"/>
              </w:rPr>
              <w:t>Total Number of Director Nominees</w:t>
            </w:r>
          </w:p>
        </w:tc>
        <w:tc>
          <w:tcPr>
            <w:tcW w:w="1540" w:type="dxa"/>
            <w:vAlign w:val="bottom"/>
            <w:shd w:val="clear" w:color="auto" w:fill="9DBDE4"/>
          </w:tcPr>
          <w:p>
            <w:pPr>
              <w:spacing w:after="0"/>
              <w:rPr>
                <w:sz w:val="15"/>
                <w:szCs w:val="15"/>
                <w:color w:val="auto"/>
              </w:rPr>
            </w:pPr>
          </w:p>
        </w:tc>
        <w:tc>
          <w:tcPr>
            <w:tcW w:w="1080" w:type="dxa"/>
            <w:vAlign w:val="bottom"/>
            <w:shd w:val="clear" w:color="auto" w:fill="9DBDE4"/>
          </w:tcPr>
          <w:p>
            <w:pPr>
              <w:spacing w:after="0"/>
              <w:rPr>
                <w:sz w:val="15"/>
                <w:szCs w:val="15"/>
                <w:color w:val="auto"/>
              </w:rPr>
            </w:pPr>
          </w:p>
        </w:tc>
        <w:tc>
          <w:tcPr>
            <w:tcW w:w="1460" w:type="dxa"/>
            <w:vAlign w:val="bottom"/>
            <w:shd w:val="clear" w:color="auto" w:fill="9DBDE4"/>
          </w:tcPr>
          <w:p>
            <w:pPr>
              <w:jc w:val="center"/>
              <w:ind w:right="402"/>
              <w:spacing w:after="0" w:line="182" w:lineRule="exact"/>
              <w:rPr>
                <w:sz w:val="20"/>
                <w:szCs w:val="20"/>
                <w:color w:val="auto"/>
              </w:rPr>
            </w:pPr>
            <w:r>
              <w:rPr>
                <w:rFonts w:ascii="Arial" w:cs="Arial" w:eastAsia="Arial" w:hAnsi="Arial"/>
                <w:sz w:val="16"/>
                <w:szCs w:val="16"/>
                <w:color w:val="auto"/>
              </w:rPr>
              <w:t>8</w:t>
            </w:r>
          </w:p>
        </w:tc>
        <w:tc>
          <w:tcPr>
            <w:tcW w:w="1500" w:type="dxa"/>
            <w:vAlign w:val="bottom"/>
            <w:shd w:val="clear" w:color="auto" w:fill="9DBDE4"/>
          </w:tcPr>
          <w:p>
            <w:pPr>
              <w:spacing w:after="0"/>
              <w:rPr>
                <w:sz w:val="15"/>
                <w:szCs w:val="15"/>
                <w:color w:val="auto"/>
              </w:rPr>
            </w:pPr>
          </w:p>
        </w:tc>
        <w:tc>
          <w:tcPr>
            <w:tcW w:w="20" w:type="dxa"/>
            <w:vAlign w:val="bottom"/>
          </w:tcPr>
          <w:p>
            <w:pPr>
              <w:spacing w:after="0"/>
              <w:rPr>
                <w:sz w:val="15"/>
                <w:szCs w:val="15"/>
                <w:color w:val="auto"/>
              </w:rPr>
            </w:pPr>
          </w:p>
        </w:tc>
      </w:tr>
      <w:tr>
        <w:trPr>
          <w:trHeight w:val="168"/>
        </w:trPr>
        <w:tc>
          <w:tcPr>
            <w:tcW w:w="3760" w:type="dxa"/>
            <w:vAlign w:val="bottom"/>
          </w:tcPr>
          <w:p>
            <w:pPr>
              <w:spacing w:after="0"/>
              <w:rPr>
                <w:sz w:val="14"/>
                <w:szCs w:val="14"/>
                <w:color w:val="auto"/>
              </w:rPr>
            </w:pPr>
          </w:p>
        </w:tc>
        <w:tc>
          <w:tcPr>
            <w:tcW w:w="1540" w:type="dxa"/>
            <w:vAlign w:val="bottom"/>
            <w:shd w:val="clear" w:color="auto" w:fill="284993"/>
          </w:tcPr>
          <w:p>
            <w:pPr>
              <w:jc w:val="center"/>
              <w:ind w:left="262"/>
              <w:spacing w:after="0" w:line="168" w:lineRule="exact"/>
              <w:rPr>
                <w:sz w:val="20"/>
                <w:szCs w:val="20"/>
                <w:color w:val="auto"/>
              </w:rPr>
            </w:pPr>
            <w:r>
              <w:rPr>
                <w:rFonts w:ascii="Arial" w:cs="Arial" w:eastAsia="Arial" w:hAnsi="Arial"/>
                <w:sz w:val="16"/>
                <w:szCs w:val="16"/>
                <w:b w:val="1"/>
                <w:bCs w:val="1"/>
                <w:color w:val="FFFFFF"/>
              </w:rPr>
              <w:t> </w:t>
            </w:r>
          </w:p>
        </w:tc>
        <w:tc>
          <w:tcPr>
            <w:tcW w:w="1080" w:type="dxa"/>
            <w:vAlign w:val="bottom"/>
            <w:shd w:val="clear" w:color="auto" w:fill="284993"/>
          </w:tcPr>
          <w:p>
            <w:pPr>
              <w:spacing w:after="0"/>
              <w:rPr>
                <w:sz w:val="14"/>
                <w:szCs w:val="14"/>
                <w:color w:val="auto"/>
              </w:rPr>
            </w:pPr>
          </w:p>
        </w:tc>
        <w:tc>
          <w:tcPr>
            <w:tcW w:w="1460" w:type="dxa"/>
            <w:vAlign w:val="bottom"/>
            <w:shd w:val="clear" w:color="auto" w:fill="284993"/>
          </w:tcPr>
          <w:p>
            <w:pPr>
              <w:spacing w:after="0"/>
              <w:rPr>
                <w:sz w:val="14"/>
                <w:szCs w:val="14"/>
                <w:color w:val="auto"/>
              </w:rPr>
            </w:pPr>
          </w:p>
        </w:tc>
        <w:tc>
          <w:tcPr>
            <w:tcW w:w="1500" w:type="dxa"/>
            <w:vAlign w:val="bottom"/>
            <w:shd w:val="clear" w:color="auto" w:fill="284993"/>
          </w:tcPr>
          <w:p>
            <w:pPr>
              <w:jc w:val="center"/>
              <w:ind w:left="162"/>
              <w:spacing w:after="0" w:line="168" w:lineRule="exact"/>
              <w:rPr>
                <w:sz w:val="20"/>
                <w:szCs w:val="20"/>
                <w:color w:val="auto"/>
              </w:rPr>
            </w:pPr>
            <w:r>
              <w:rPr>
                <w:rFonts w:ascii="Arial" w:cs="Arial" w:eastAsia="Arial" w:hAnsi="Arial"/>
                <w:sz w:val="16"/>
                <w:szCs w:val="16"/>
                <w:b w:val="1"/>
                <w:bCs w:val="1"/>
                <w:color w:val="FFFFFF"/>
                <w:w w:val="97"/>
              </w:rPr>
              <w:t>Did not</w:t>
            </w:r>
          </w:p>
        </w:tc>
        <w:tc>
          <w:tcPr>
            <w:tcW w:w="20" w:type="dxa"/>
            <w:vAlign w:val="bottom"/>
          </w:tcPr>
          <w:p>
            <w:pPr>
              <w:spacing w:after="0"/>
              <w:rPr>
                <w:sz w:val="14"/>
                <w:szCs w:val="14"/>
                <w:color w:val="auto"/>
              </w:rPr>
            </w:pPr>
          </w:p>
        </w:tc>
      </w:tr>
      <w:tr>
        <w:trPr>
          <w:trHeight w:val="209"/>
        </w:trPr>
        <w:tc>
          <w:tcPr>
            <w:tcW w:w="3760" w:type="dxa"/>
            <w:vAlign w:val="bottom"/>
          </w:tcPr>
          <w:p>
            <w:pPr>
              <w:spacing w:after="0"/>
              <w:rPr>
                <w:sz w:val="18"/>
                <w:szCs w:val="18"/>
                <w:color w:val="auto"/>
              </w:rPr>
            </w:pPr>
          </w:p>
        </w:tc>
        <w:tc>
          <w:tcPr>
            <w:tcW w:w="1540" w:type="dxa"/>
            <w:vAlign w:val="bottom"/>
            <w:shd w:val="clear" w:color="auto" w:fill="284993"/>
          </w:tcPr>
          <w:p>
            <w:pPr>
              <w:ind w:left="640"/>
              <w:spacing w:after="0"/>
              <w:rPr>
                <w:sz w:val="20"/>
                <w:szCs w:val="20"/>
                <w:color w:val="auto"/>
              </w:rPr>
            </w:pPr>
            <w:r>
              <w:rPr>
                <w:rFonts w:ascii="Arial" w:cs="Arial" w:eastAsia="Arial" w:hAnsi="Arial"/>
                <w:sz w:val="16"/>
                <w:szCs w:val="16"/>
                <w:b w:val="1"/>
                <w:bCs w:val="1"/>
                <w:color w:val="FFFFFF"/>
              </w:rPr>
              <w:t>Female </w:t>
            </w:r>
          </w:p>
        </w:tc>
        <w:tc>
          <w:tcPr>
            <w:tcW w:w="1080" w:type="dxa"/>
            <w:vAlign w:val="bottom"/>
            <w:shd w:val="clear" w:color="auto" w:fill="284993"/>
          </w:tcPr>
          <w:p>
            <w:pPr>
              <w:ind w:left="320"/>
              <w:spacing w:after="0"/>
              <w:rPr>
                <w:sz w:val="20"/>
                <w:szCs w:val="20"/>
                <w:color w:val="auto"/>
              </w:rPr>
            </w:pPr>
            <w:r>
              <w:rPr>
                <w:rFonts w:ascii="Arial" w:cs="Arial" w:eastAsia="Arial" w:hAnsi="Arial"/>
                <w:sz w:val="16"/>
                <w:szCs w:val="16"/>
                <w:b w:val="1"/>
                <w:bCs w:val="1"/>
                <w:color w:val="FFFFFF"/>
              </w:rPr>
              <w:t> Male </w:t>
            </w:r>
          </w:p>
        </w:tc>
        <w:tc>
          <w:tcPr>
            <w:tcW w:w="1460" w:type="dxa"/>
            <w:vAlign w:val="bottom"/>
            <w:shd w:val="clear" w:color="auto" w:fill="284993"/>
          </w:tcPr>
          <w:p>
            <w:pPr>
              <w:jc w:val="center"/>
              <w:ind w:left="2"/>
              <w:spacing w:after="0"/>
              <w:rPr>
                <w:sz w:val="20"/>
                <w:szCs w:val="20"/>
                <w:color w:val="auto"/>
              </w:rPr>
            </w:pPr>
            <w:r>
              <w:rPr>
                <w:rFonts w:ascii="Arial" w:cs="Arial" w:eastAsia="Arial" w:hAnsi="Arial"/>
                <w:sz w:val="16"/>
                <w:szCs w:val="16"/>
                <w:b w:val="1"/>
                <w:bCs w:val="1"/>
                <w:color w:val="FFFFFF"/>
                <w:w w:val="97"/>
              </w:rPr>
              <w:t> Non-Binary </w:t>
            </w:r>
          </w:p>
        </w:tc>
        <w:tc>
          <w:tcPr>
            <w:tcW w:w="1500" w:type="dxa"/>
            <w:vAlign w:val="bottom"/>
            <w:shd w:val="clear" w:color="auto" w:fill="284993"/>
          </w:tcPr>
          <w:p>
            <w:pPr>
              <w:jc w:val="center"/>
              <w:ind w:left="122"/>
              <w:spacing w:after="0"/>
              <w:rPr>
                <w:sz w:val="20"/>
                <w:szCs w:val="20"/>
                <w:color w:val="auto"/>
              </w:rPr>
            </w:pPr>
            <w:r>
              <w:rPr>
                <w:rFonts w:ascii="Arial" w:cs="Arial" w:eastAsia="Arial" w:hAnsi="Arial"/>
                <w:sz w:val="16"/>
                <w:szCs w:val="16"/>
                <w:b w:val="1"/>
                <w:bCs w:val="1"/>
                <w:color w:val="FFFFFF"/>
                <w:w w:val="96"/>
              </w:rPr>
              <w:t>Disclose Gender</w:t>
            </w:r>
          </w:p>
        </w:tc>
        <w:tc>
          <w:tcPr>
            <w:tcW w:w="20" w:type="dxa"/>
            <w:vAlign w:val="bottom"/>
          </w:tcPr>
          <w:p>
            <w:pPr>
              <w:spacing w:after="0"/>
              <w:rPr>
                <w:sz w:val="18"/>
                <w:szCs w:val="18"/>
                <w:color w:val="auto"/>
              </w:rPr>
            </w:pPr>
          </w:p>
        </w:tc>
      </w:tr>
      <w:tr>
        <w:trPr>
          <w:trHeight w:val="195"/>
        </w:trPr>
        <w:tc>
          <w:tcPr>
            <w:tcW w:w="3760" w:type="dxa"/>
            <w:vAlign w:val="bottom"/>
            <w:shd w:val="clear" w:color="auto" w:fill="284993"/>
          </w:tcPr>
          <w:p>
            <w:pPr>
              <w:ind w:left="60"/>
              <w:spacing w:after="0"/>
              <w:rPr>
                <w:sz w:val="20"/>
                <w:szCs w:val="20"/>
                <w:color w:val="auto"/>
              </w:rPr>
            </w:pPr>
            <w:r>
              <w:rPr>
                <w:rFonts w:ascii="Arial" w:cs="Arial" w:eastAsia="Arial" w:hAnsi="Arial"/>
                <w:sz w:val="16"/>
                <w:szCs w:val="16"/>
                <w:b w:val="1"/>
                <w:bCs w:val="1"/>
                <w:color w:val="FFFFFF"/>
              </w:rPr>
              <w:t>Gender Identity:</w:t>
            </w:r>
          </w:p>
        </w:tc>
        <w:tc>
          <w:tcPr>
            <w:tcW w:w="1540" w:type="dxa"/>
            <w:vAlign w:val="bottom"/>
            <w:shd w:val="clear" w:color="auto" w:fill="284993"/>
          </w:tcPr>
          <w:p>
            <w:pPr>
              <w:spacing w:after="0"/>
              <w:rPr>
                <w:sz w:val="16"/>
                <w:szCs w:val="16"/>
                <w:color w:val="auto"/>
              </w:rPr>
            </w:pPr>
          </w:p>
        </w:tc>
        <w:tc>
          <w:tcPr>
            <w:tcW w:w="1080" w:type="dxa"/>
            <w:vAlign w:val="bottom"/>
            <w:shd w:val="clear" w:color="auto" w:fill="284993"/>
          </w:tcPr>
          <w:p>
            <w:pPr>
              <w:spacing w:after="0"/>
              <w:rPr>
                <w:sz w:val="16"/>
                <w:szCs w:val="16"/>
                <w:color w:val="auto"/>
              </w:rPr>
            </w:pPr>
          </w:p>
        </w:tc>
        <w:tc>
          <w:tcPr>
            <w:tcW w:w="1460" w:type="dxa"/>
            <w:vAlign w:val="bottom"/>
            <w:shd w:val="clear" w:color="auto" w:fill="284993"/>
          </w:tcPr>
          <w:p>
            <w:pPr>
              <w:spacing w:after="0"/>
              <w:rPr>
                <w:sz w:val="16"/>
                <w:szCs w:val="16"/>
                <w:color w:val="auto"/>
              </w:rPr>
            </w:pPr>
          </w:p>
        </w:tc>
        <w:tc>
          <w:tcPr>
            <w:tcW w:w="1500" w:type="dxa"/>
            <w:vAlign w:val="bottom"/>
            <w:shd w:val="clear" w:color="auto" w:fill="284993"/>
          </w:tcPr>
          <w:p>
            <w:pPr>
              <w:spacing w:after="0"/>
              <w:rPr>
                <w:sz w:val="16"/>
                <w:szCs w:val="16"/>
                <w:color w:val="auto"/>
              </w:rPr>
            </w:pPr>
          </w:p>
        </w:tc>
        <w:tc>
          <w:tcPr>
            <w:tcW w:w="20" w:type="dxa"/>
            <w:vAlign w:val="bottom"/>
          </w:tcPr>
          <w:p>
            <w:pPr>
              <w:spacing w:after="0"/>
              <w:rPr>
                <w:sz w:val="16"/>
                <w:szCs w:val="16"/>
                <w:color w:val="auto"/>
              </w:rPr>
            </w:pPr>
          </w:p>
        </w:tc>
      </w:tr>
      <w:tr>
        <w:trPr>
          <w:trHeight w:val="182"/>
        </w:trPr>
        <w:tc>
          <w:tcPr>
            <w:tcW w:w="3760" w:type="dxa"/>
            <w:vAlign w:val="bottom"/>
          </w:tcPr>
          <w:p>
            <w:pPr>
              <w:ind w:left="60"/>
              <w:spacing w:after="0" w:line="182" w:lineRule="exact"/>
              <w:rPr>
                <w:sz w:val="20"/>
                <w:szCs w:val="20"/>
                <w:color w:val="auto"/>
              </w:rPr>
            </w:pPr>
            <w:r>
              <w:rPr>
                <w:rFonts w:ascii="Arial" w:cs="Arial" w:eastAsia="Arial" w:hAnsi="Arial"/>
                <w:sz w:val="16"/>
                <w:szCs w:val="16"/>
                <w:color w:val="auto"/>
              </w:rPr>
              <w:t>Directors</w:t>
            </w:r>
          </w:p>
        </w:tc>
        <w:tc>
          <w:tcPr>
            <w:tcW w:w="1540" w:type="dxa"/>
            <w:vAlign w:val="bottom"/>
          </w:tcPr>
          <w:p>
            <w:pPr>
              <w:jc w:val="center"/>
              <w:ind w:left="242"/>
              <w:spacing w:after="0" w:line="182" w:lineRule="exact"/>
              <w:rPr>
                <w:sz w:val="20"/>
                <w:szCs w:val="20"/>
                <w:color w:val="auto"/>
              </w:rPr>
            </w:pPr>
            <w:r>
              <w:rPr>
                <w:rFonts w:ascii="Arial" w:cs="Arial" w:eastAsia="Arial" w:hAnsi="Arial"/>
                <w:sz w:val="16"/>
                <w:szCs w:val="16"/>
                <w:color w:val="auto"/>
              </w:rPr>
              <w:t>3</w:t>
            </w:r>
          </w:p>
        </w:tc>
        <w:tc>
          <w:tcPr>
            <w:tcW w:w="1080" w:type="dxa"/>
            <w:vAlign w:val="bottom"/>
          </w:tcPr>
          <w:p>
            <w:pPr>
              <w:jc w:val="center"/>
              <w:spacing w:after="0" w:line="182" w:lineRule="exact"/>
              <w:rPr>
                <w:sz w:val="20"/>
                <w:szCs w:val="20"/>
                <w:color w:val="auto"/>
              </w:rPr>
            </w:pPr>
            <w:r>
              <w:rPr>
                <w:rFonts w:ascii="Arial" w:cs="Arial" w:eastAsia="Arial" w:hAnsi="Arial"/>
                <w:sz w:val="16"/>
                <w:szCs w:val="16"/>
                <w:color w:val="auto"/>
                <w:w w:val="89"/>
              </w:rPr>
              <w:t>5</w:t>
            </w:r>
          </w:p>
        </w:tc>
        <w:tc>
          <w:tcPr>
            <w:tcW w:w="1460" w:type="dxa"/>
            <w:vAlign w:val="bottom"/>
          </w:tcPr>
          <w:p>
            <w:pPr>
              <w:jc w:val="center"/>
              <w:ind w:left="2"/>
              <w:spacing w:after="0" w:line="182" w:lineRule="exact"/>
              <w:rPr>
                <w:sz w:val="20"/>
                <w:szCs w:val="20"/>
                <w:color w:val="auto"/>
              </w:rPr>
            </w:pPr>
            <w:r>
              <w:rPr>
                <w:rFonts w:ascii="Arial" w:cs="Arial" w:eastAsia="Arial" w:hAnsi="Arial"/>
                <w:sz w:val="16"/>
                <w:szCs w:val="16"/>
                <w:color w:val="auto"/>
              </w:rPr>
              <w:t>-</w:t>
            </w:r>
          </w:p>
        </w:tc>
        <w:tc>
          <w:tcPr>
            <w:tcW w:w="1500" w:type="dxa"/>
            <w:vAlign w:val="bottom"/>
          </w:tcPr>
          <w:p>
            <w:pPr>
              <w:jc w:val="center"/>
              <w:ind w:left="162"/>
              <w:spacing w:after="0" w:line="18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2"/>
        </w:trPr>
        <w:tc>
          <w:tcPr>
            <w:tcW w:w="3760" w:type="dxa"/>
            <w:vAlign w:val="bottom"/>
            <w:shd w:val="clear" w:color="auto" w:fill="284993"/>
          </w:tcPr>
          <w:p>
            <w:pPr>
              <w:ind w:left="60"/>
              <w:spacing w:after="0" w:line="182" w:lineRule="exact"/>
              <w:rPr>
                <w:sz w:val="20"/>
                <w:szCs w:val="20"/>
                <w:color w:val="auto"/>
              </w:rPr>
            </w:pPr>
            <w:r>
              <w:rPr>
                <w:rFonts w:ascii="Arial" w:cs="Arial" w:eastAsia="Arial" w:hAnsi="Arial"/>
                <w:sz w:val="16"/>
                <w:szCs w:val="16"/>
                <w:b w:val="1"/>
                <w:bCs w:val="1"/>
                <w:color w:val="FFFFFF"/>
              </w:rPr>
              <w:t>Demographic Background:</w:t>
            </w:r>
          </w:p>
        </w:tc>
        <w:tc>
          <w:tcPr>
            <w:tcW w:w="1540" w:type="dxa"/>
            <w:vAlign w:val="bottom"/>
            <w:shd w:val="clear" w:color="auto" w:fill="284993"/>
          </w:tcPr>
          <w:p>
            <w:pPr>
              <w:spacing w:after="0"/>
              <w:rPr>
                <w:sz w:val="15"/>
                <w:szCs w:val="15"/>
                <w:color w:val="auto"/>
              </w:rPr>
            </w:pPr>
          </w:p>
        </w:tc>
        <w:tc>
          <w:tcPr>
            <w:tcW w:w="1080" w:type="dxa"/>
            <w:vAlign w:val="bottom"/>
            <w:shd w:val="clear" w:color="auto" w:fill="284993"/>
          </w:tcPr>
          <w:p>
            <w:pPr>
              <w:spacing w:after="0"/>
              <w:rPr>
                <w:sz w:val="15"/>
                <w:szCs w:val="15"/>
                <w:color w:val="auto"/>
              </w:rPr>
            </w:pPr>
          </w:p>
        </w:tc>
        <w:tc>
          <w:tcPr>
            <w:tcW w:w="1460" w:type="dxa"/>
            <w:vAlign w:val="bottom"/>
            <w:shd w:val="clear" w:color="auto" w:fill="284993"/>
          </w:tcPr>
          <w:p>
            <w:pPr>
              <w:spacing w:after="0"/>
              <w:rPr>
                <w:sz w:val="15"/>
                <w:szCs w:val="15"/>
                <w:color w:val="auto"/>
              </w:rPr>
            </w:pPr>
          </w:p>
        </w:tc>
        <w:tc>
          <w:tcPr>
            <w:tcW w:w="1500" w:type="dxa"/>
            <w:vAlign w:val="bottom"/>
            <w:shd w:val="clear" w:color="auto" w:fill="284993"/>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3760" w:type="dxa"/>
            <w:vAlign w:val="bottom"/>
            <w:shd w:val="clear" w:color="auto" w:fill="9DBDE4"/>
          </w:tcPr>
          <w:p>
            <w:pPr>
              <w:ind w:left="60"/>
              <w:spacing w:after="0" w:line="182" w:lineRule="exact"/>
              <w:rPr>
                <w:sz w:val="20"/>
                <w:szCs w:val="20"/>
                <w:color w:val="auto"/>
              </w:rPr>
            </w:pPr>
            <w:r>
              <w:rPr>
                <w:rFonts w:ascii="Arial" w:cs="Arial" w:eastAsia="Arial" w:hAnsi="Arial"/>
                <w:sz w:val="16"/>
                <w:szCs w:val="16"/>
                <w:color w:val="auto"/>
              </w:rPr>
              <w:t>African American or Black</w:t>
            </w:r>
          </w:p>
        </w:tc>
        <w:tc>
          <w:tcPr>
            <w:tcW w:w="1540" w:type="dxa"/>
            <w:vAlign w:val="bottom"/>
            <w:shd w:val="clear" w:color="auto" w:fill="9DBDE4"/>
          </w:tcPr>
          <w:p>
            <w:pPr>
              <w:jc w:val="center"/>
              <w:ind w:left="242"/>
              <w:spacing w:after="0" w:line="182" w:lineRule="exact"/>
              <w:rPr>
                <w:sz w:val="20"/>
                <w:szCs w:val="20"/>
                <w:color w:val="auto"/>
              </w:rPr>
            </w:pPr>
            <w:r>
              <w:rPr>
                <w:rFonts w:ascii="Arial" w:cs="Arial" w:eastAsia="Arial" w:hAnsi="Arial"/>
                <w:sz w:val="16"/>
                <w:szCs w:val="16"/>
                <w:color w:val="auto"/>
              </w:rPr>
              <w:t>-</w:t>
            </w:r>
          </w:p>
        </w:tc>
        <w:tc>
          <w:tcPr>
            <w:tcW w:w="1080" w:type="dxa"/>
            <w:vAlign w:val="bottom"/>
            <w:shd w:val="clear" w:color="auto" w:fill="9DBDE4"/>
          </w:tcPr>
          <w:p>
            <w:pPr>
              <w:jc w:val="center"/>
              <w:spacing w:after="0" w:line="182" w:lineRule="exact"/>
              <w:rPr>
                <w:sz w:val="20"/>
                <w:szCs w:val="20"/>
                <w:color w:val="auto"/>
              </w:rPr>
            </w:pPr>
            <w:r>
              <w:rPr>
                <w:rFonts w:ascii="Arial" w:cs="Arial" w:eastAsia="Arial" w:hAnsi="Arial"/>
                <w:sz w:val="16"/>
                <w:szCs w:val="16"/>
                <w:color w:val="auto"/>
              </w:rPr>
              <w:t>-</w:t>
            </w:r>
          </w:p>
        </w:tc>
        <w:tc>
          <w:tcPr>
            <w:tcW w:w="1460" w:type="dxa"/>
            <w:vAlign w:val="bottom"/>
            <w:shd w:val="clear" w:color="auto" w:fill="9DBDE4"/>
          </w:tcPr>
          <w:p>
            <w:pPr>
              <w:jc w:val="center"/>
              <w:ind w:left="2"/>
              <w:spacing w:after="0" w:line="182" w:lineRule="exact"/>
              <w:rPr>
                <w:sz w:val="20"/>
                <w:szCs w:val="20"/>
                <w:color w:val="auto"/>
              </w:rPr>
            </w:pPr>
            <w:r>
              <w:rPr>
                <w:rFonts w:ascii="Arial" w:cs="Arial" w:eastAsia="Arial" w:hAnsi="Arial"/>
                <w:sz w:val="16"/>
                <w:szCs w:val="16"/>
                <w:color w:val="auto"/>
              </w:rPr>
              <w:t>-</w:t>
            </w:r>
          </w:p>
        </w:tc>
        <w:tc>
          <w:tcPr>
            <w:tcW w:w="1500" w:type="dxa"/>
            <w:vAlign w:val="bottom"/>
            <w:shd w:val="clear" w:color="auto" w:fill="9DBDE4"/>
          </w:tcPr>
          <w:p>
            <w:pPr>
              <w:jc w:val="center"/>
              <w:ind w:left="162"/>
              <w:spacing w:after="0" w:line="18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2"/>
        </w:trPr>
        <w:tc>
          <w:tcPr>
            <w:tcW w:w="3760" w:type="dxa"/>
            <w:vAlign w:val="bottom"/>
          </w:tcPr>
          <w:p>
            <w:pPr>
              <w:ind w:left="60"/>
              <w:spacing w:after="0" w:line="182" w:lineRule="exact"/>
              <w:rPr>
                <w:sz w:val="20"/>
                <w:szCs w:val="20"/>
                <w:color w:val="auto"/>
              </w:rPr>
            </w:pPr>
            <w:r>
              <w:rPr>
                <w:rFonts w:ascii="Arial" w:cs="Arial" w:eastAsia="Arial" w:hAnsi="Arial"/>
                <w:sz w:val="16"/>
                <w:szCs w:val="16"/>
                <w:color w:val="auto"/>
              </w:rPr>
              <w:t>Alaskan Native or Native American</w:t>
            </w:r>
          </w:p>
        </w:tc>
        <w:tc>
          <w:tcPr>
            <w:tcW w:w="1540" w:type="dxa"/>
            <w:vAlign w:val="bottom"/>
          </w:tcPr>
          <w:p>
            <w:pPr>
              <w:jc w:val="center"/>
              <w:ind w:left="242"/>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center"/>
              <w:spacing w:after="0" w:line="182" w:lineRule="exact"/>
              <w:rPr>
                <w:sz w:val="20"/>
                <w:szCs w:val="20"/>
                <w:color w:val="auto"/>
              </w:rPr>
            </w:pPr>
            <w:r>
              <w:rPr>
                <w:rFonts w:ascii="Arial" w:cs="Arial" w:eastAsia="Arial" w:hAnsi="Arial"/>
                <w:sz w:val="16"/>
                <w:szCs w:val="16"/>
                <w:color w:val="auto"/>
              </w:rPr>
              <w:t>-</w:t>
            </w:r>
          </w:p>
        </w:tc>
        <w:tc>
          <w:tcPr>
            <w:tcW w:w="1460" w:type="dxa"/>
            <w:vAlign w:val="bottom"/>
          </w:tcPr>
          <w:p>
            <w:pPr>
              <w:jc w:val="center"/>
              <w:ind w:left="2"/>
              <w:spacing w:after="0" w:line="182" w:lineRule="exact"/>
              <w:rPr>
                <w:sz w:val="20"/>
                <w:szCs w:val="20"/>
                <w:color w:val="auto"/>
              </w:rPr>
            </w:pPr>
            <w:r>
              <w:rPr>
                <w:rFonts w:ascii="Arial" w:cs="Arial" w:eastAsia="Arial" w:hAnsi="Arial"/>
                <w:sz w:val="16"/>
                <w:szCs w:val="16"/>
                <w:color w:val="auto"/>
              </w:rPr>
              <w:t>-</w:t>
            </w:r>
          </w:p>
        </w:tc>
        <w:tc>
          <w:tcPr>
            <w:tcW w:w="1500" w:type="dxa"/>
            <w:vAlign w:val="bottom"/>
          </w:tcPr>
          <w:p>
            <w:pPr>
              <w:jc w:val="center"/>
              <w:ind w:left="162"/>
              <w:spacing w:after="0" w:line="18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2"/>
        </w:trPr>
        <w:tc>
          <w:tcPr>
            <w:tcW w:w="3760" w:type="dxa"/>
            <w:vAlign w:val="bottom"/>
            <w:shd w:val="clear" w:color="auto" w:fill="9DBDE4"/>
          </w:tcPr>
          <w:p>
            <w:pPr>
              <w:ind w:left="60"/>
              <w:spacing w:after="0" w:line="182" w:lineRule="exact"/>
              <w:rPr>
                <w:sz w:val="20"/>
                <w:szCs w:val="20"/>
                <w:color w:val="auto"/>
              </w:rPr>
            </w:pPr>
            <w:r>
              <w:rPr>
                <w:rFonts w:ascii="Arial" w:cs="Arial" w:eastAsia="Arial" w:hAnsi="Arial"/>
                <w:sz w:val="16"/>
                <w:szCs w:val="16"/>
                <w:color w:val="auto"/>
              </w:rPr>
              <w:t>Asian</w:t>
            </w:r>
          </w:p>
        </w:tc>
        <w:tc>
          <w:tcPr>
            <w:tcW w:w="1540" w:type="dxa"/>
            <w:vAlign w:val="bottom"/>
            <w:shd w:val="clear" w:color="auto" w:fill="9DBDE4"/>
          </w:tcPr>
          <w:p>
            <w:pPr>
              <w:jc w:val="center"/>
              <w:ind w:left="242"/>
              <w:spacing w:after="0" w:line="182" w:lineRule="exact"/>
              <w:rPr>
                <w:sz w:val="20"/>
                <w:szCs w:val="20"/>
                <w:color w:val="auto"/>
              </w:rPr>
            </w:pPr>
            <w:r>
              <w:rPr>
                <w:rFonts w:ascii="Arial" w:cs="Arial" w:eastAsia="Arial" w:hAnsi="Arial"/>
                <w:sz w:val="16"/>
                <w:szCs w:val="16"/>
                <w:color w:val="auto"/>
              </w:rPr>
              <w:t>-</w:t>
            </w:r>
          </w:p>
        </w:tc>
        <w:tc>
          <w:tcPr>
            <w:tcW w:w="1080" w:type="dxa"/>
            <w:vAlign w:val="bottom"/>
            <w:shd w:val="clear" w:color="auto" w:fill="9DBDE4"/>
          </w:tcPr>
          <w:p>
            <w:pPr>
              <w:jc w:val="center"/>
              <w:spacing w:after="0" w:line="182" w:lineRule="exact"/>
              <w:rPr>
                <w:sz w:val="20"/>
                <w:szCs w:val="20"/>
                <w:color w:val="auto"/>
              </w:rPr>
            </w:pPr>
            <w:r>
              <w:rPr>
                <w:rFonts w:ascii="Arial" w:cs="Arial" w:eastAsia="Arial" w:hAnsi="Arial"/>
                <w:sz w:val="16"/>
                <w:szCs w:val="16"/>
                <w:color w:val="auto"/>
              </w:rPr>
              <w:t>-</w:t>
            </w:r>
          </w:p>
        </w:tc>
        <w:tc>
          <w:tcPr>
            <w:tcW w:w="1460" w:type="dxa"/>
            <w:vAlign w:val="bottom"/>
            <w:shd w:val="clear" w:color="auto" w:fill="9DBDE4"/>
          </w:tcPr>
          <w:p>
            <w:pPr>
              <w:jc w:val="center"/>
              <w:ind w:left="2"/>
              <w:spacing w:after="0" w:line="182" w:lineRule="exact"/>
              <w:rPr>
                <w:sz w:val="20"/>
                <w:szCs w:val="20"/>
                <w:color w:val="auto"/>
              </w:rPr>
            </w:pPr>
            <w:r>
              <w:rPr>
                <w:rFonts w:ascii="Arial" w:cs="Arial" w:eastAsia="Arial" w:hAnsi="Arial"/>
                <w:sz w:val="16"/>
                <w:szCs w:val="16"/>
                <w:color w:val="auto"/>
              </w:rPr>
              <w:t>-</w:t>
            </w:r>
          </w:p>
        </w:tc>
        <w:tc>
          <w:tcPr>
            <w:tcW w:w="1500" w:type="dxa"/>
            <w:vAlign w:val="bottom"/>
            <w:shd w:val="clear" w:color="auto" w:fill="9DBDE4"/>
          </w:tcPr>
          <w:p>
            <w:pPr>
              <w:jc w:val="center"/>
              <w:ind w:left="162"/>
              <w:spacing w:after="0" w:line="18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2"/>
        </w:trPr>
        <w:tc>
          <w:tcPr>
            <w:tcW w:w="3760" w:type="dxa"/>
            <w:vAlign w:val="bottom"/>
          </w:tcPr>
          <w:p>
            <w:pPr>
              <w:ind w:left="60"/>
              <w:spacing w:after="0" w:line="182" w:lineRule="exact"/>
              <w:rPr>
                <w:sz w:val="20"/>
                <w:szCs w:val="20"/>
                <w:color w:val="auto"/>
              </w:rPr>
            </w:pPr>
            <w:r>
              <w:rPr>
                <w:rFonts w:ascii="Arial" w:cs="Arial" w:eastAsia="Arial" w:hAnsi="Arial"/>
                <w:sz w:val="16"/>
                <w:szCs w:val="16"/>
                <w:color w:val="auto"/>
              </w:rPr>
              <w:t>Hispanic or Latinx</w:t>
            </w:r>
          </w:p>
        </w:tc>
        <w:tc>
          <w:tcPr>
            <w:tcW w:w="1540" w:type="dxa"/>
            <w:vAlign w:val="bottom"/>
          </w:tcPr>
          <w:p>
            <w:pPr>
              <w:jc w:val="center"/>
              <w:ind w:left="242"/>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center"/>
              <w:spacing w:after="0" w:line="182" w:lineRule="exact"/>
              <w:rPr>
                <w:sz w:val="20"/>
                <w:szCs w:val="20"/>
                <w:color w:val="auto"/>
              </w:rPr>
            </w:pPr>
            <w:r>
              <w:rPr>
                <w:rFonts w:ascii="Arial" w:cs="Arial" w:eastAsia="Arial" w:hAnsi="Arial"/>
                <w:sz w:val="16"/>
                <w:szCs w:val="16"/>
                <w:color w:val="auto"/>
                <w:w w:val="89"/>
              </w:rPr>
              <w:t>2</w:t>
            </w:r>
          </w:p>
        </w:tc>
        <w:tc>
          <w:tcPr>
            <w:tcW w:w="1460" w:type="dxa"/>
            <w:vAlign w:val="bottom"/>
          </w:tcPr>
          <w:p>
            <w:pPr>
              <w:jc w:val="center"/>
              <w:ind w:left="2"/>
              <w:spacing w:after="0" w:line="182" w:lineRule="exact"/>
              <w:rPr>
                <w:sz w:val="20"/>
                <w:szCs w:val="20"/>
                <w:color w:val="auto"/>
              </w:rPr>
            </w:pPr>
            <w:r>
              <w:rPr>
                <w:rFonts w:ascii="Arial" w:cs="Arial" w:eastAsia="Arial" w:hAnsi="Arial"/>
                <w:sz w:val="16"/>
                <w:szCs w:val="16"/>
                <w:color w:val="auto"/>
              </w:rPr>
              <w:t>-</w:t>
            </w:r>
          </w:p>
        </w:tc>
        <w:tc>
          <w:tcPr>
            <w:tcW w:w="1500" w:type="dxa"/>
            <w:vAlign w:val="bottom"/>
          </w:tcPr>
          <w:p>
            <w:pPr>
              <w:jc w:val="center"/>
              <w:ind w:left="162"/>
              <w:spacing w:after="0" w:line="18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2"/>
        </w:trPr>
        <w:tc>
          <w:tcPr>
            <w:tcW w:w="3760" w:type="dxa"/>
            <w:vAlign w:val="bottom"/>
            <w:shd w:val="clear" w:color="auto" w:fill="9DBDE4"/>
          </w:tcPr>
          <w:p>
            <w:pPr>
              <w:ind w:left="60"/>
              <w:spacing w:after="0" w:line="182" w:lineRule="exact"/>
              <w:rPr>
                <w:sz w:val="20"/>
                <w:szCs w:val="20"/>
                <w:color w:val="auto"/>
              </w:rPr>
            </w:pPr>
            <w:r>
              <w:rPr>
                <w:rFonts w:ascii="Arial" w:cs="Arial" w:eastAsia="Arial" w:hAnsi="Arial"/>
                <w:sz w:val="16"/>
                <w:szCs w:val="16"/>
                <w:color w:val="auto"/>
              </w:rPr>
              <w:t>Middle Eastern</w:t>
            </w:r>
          </w:p>
        </w:tc>
        <w:tc>
          <w:tcPr>
            <w:tcW w:w="1540" w:type="dxa"/>
            <w:vAlign w:val="bottom"/>
            <w:shd w:val="clear" w:color="auto" w:fill="9DBDE4"/>
          </w:tcPr>
          <w:p>
            <w:pPr>
              <w:jc w:val="center"/>
              <w:ind w:left="242"/>
              <w:spacing w:after="0" w:line="182" w:lineRule="exact"/>
              <w:rPr>
                <w:sz w:val="20"/>
                <w:szCs w:val="20"/>
                <w:color w:val="auto"/>
              </w:rPr>
            </w:pPr>
            <w:r>
              <w:rPr>
                <w:rFonts w:ascii="Arial" w:cs="Arial" w:eastAsia="Arial" w:hAnsi="Arial"/>
                <w:sz w:val="16"/>
                <w:szCs w:val="16"/>
                <w:color w:val="auto"/>
              </w:rPr>
              <w:t>-</w:t>
            </w:r>
          </w:p>
        </w:tc>
        <w:tc>
          <w:tcPr>
            <w:tcW w:w="1080" w:type="dxa"/>
            <w:vAlign w:val="bottom"/>
            <w:shd w:val="clear" w:color="auto" w:fill="9DBDE4"/>
          </w:tcPr>
          <w:p>
            <w:pPr>
              <w:jc w:val="center"/>
              <w:spacing w:after="0" w:line="182" w:lineRule="exact"/>
              <w:rPr>
                <w:sz w:val="20"/>
                <w:szCs w:val="20"/>
                <w:color w:val="auto"/>
              </w:rPr>
            </w:pPr>
            <w:r>
              <w:rPr>
                <w:rFonts w:ascii="Arial" w:cs="Arial" w:eastAsia="Arial" w:hAnsi="Arial"/>
                <w:sz w:val="16"/>
                <w:szCs w:val="16"/>
                <w:color w:val="auto"/>
                <w:w w:val="89"/>
              </w:rPr>
              <w:t>1</w:t>
            </w:r>
          </w:p>
        </w:tc>
        <w:tc>
          <w:tcPr>
            <w:tcW w:w="1460" w:type="dxa"/>
            <w:vAlign w:val="bottom"/>
            <w:shd w:val="clear" w:color="auto" w:fill="9DBDE4"/>
          </w:tcPr>
          <w:p>
            <w:pPr>
              <w:jc w:val="center"/>
              <w:ind w:left="2"/>
              <w:spacing w:after="0" w:line="182" w:lineRule="exact"/>
              <w:rPr>
                <w:sz w:val="20"/>
                <w:szCs w:val="20"/>
                <w:color w:val="auto"/>
              </w:rPr>
            </w:pPr>
            <w:r>
              <w:rPr>
                <w:rFonts w:ascii="Arial" w:cs="Arial" w:eastAsia="Arial" w:hAnsi="Arial"/>
                <w:sz w:val="16"/>
                <w:szCs w:val="16"/>
                <w:color w:val="auto"/>
              </w:rPr>
              <w:t>-</w:t>
            </w:r>
          </w:p>
        </w:tc>
        <w:tc>
          <w:tcPr>
            <w:tcW w:w="1500" w:type="dxa"/>
            <w:vAlign w:val="bottom"/>
            <w:shd w:val="clear" w:color="auto" w:fill="9DBDE4"/>
          </w:tcPr>
          <w:p>
            <w:pPr>
              <w:jc w:val="center"/>
              <w:ind w:left="162"/>
              <w:spacing w:after="0" w:line="18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2"/>
        </w:trPr>
        <w:tc>
          <w:tcPr>
            <w:tcW w:w="3760" w:type="dxa"/>
            <w:vAlign w:val="bottom"/>
          </w:tcPr>
          <w:p>
            <w:pPr>
              <w:ind w:left="60"/>
              <w:spacing w:after="0" w:line="182" w:lineRule="exact"/>
              <w:rPr>
                <w:sz w:val="20"/>
                <w:szCs w:val="20"/>
                <w:color w:val="auto"/>
              </w:rPr>
            </w:pPr>
            <w:r>
              <w:rPr>
                <w:rFonts w:ascii="Arial" w:cs="Arial" w:eastAsia="Arial" w:hAnsi="Arial"/>
                <w:sz w:val="16"/>
                <w:szCs w:val="16"/>
                <w:color w:val="auto"/>
              </w:rPr>
              <w:t>Native Hawaiian or Pacific Islander</w:t>
            </w:r>
          </w:p>
        </w:tc>
        <w:tc>
          <w:tcPr>
            <w:tcW w:w="1540" w:type="dxa"/>
            <w:vAlign w:val="bottom"/>
          </w:tcPr>
          <w:p>
            <w:pPr>
              <w:jc w:val="center"/>
              <w:ind w:left="242"/>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center"/>
              <w:spacing w:after="0" w:line="182" w:lineRule="exact"/>
              <w:rPr>
                <w:sz w:val="20"/>
                <w:szCs w:val="20"/>
                <w:color w:val="auto"/>
              </w:rPr>
            </w:pPr>
            <w:r>
              <w:rPr>
                <w:rFonts w:ascii="Arial" w:cs="Arial" w:eastAsia="Arial" w:hAnsi="Arial"/>
                <w:sz w:val="16"/>
                <w:szCs w:val="16"/>
                <w:color w:val="auto"/>
              </w:rPr>
              <w:t>-</w:t>
            </w:r>
          </w:p>
        </w:tc>
        <w:tc>
          <w:tcPr>
            <w:tcW w:w="1460" w:type="dxa"/>
            <w:vAlign w:val="bottom"/>
          </w:tcPr>
          <w:p>
            <w:pPr>
              <w:jc w:val="center"/>
              <w:ind w:left="2"/>
              <w:spacing w:after="0" w:line="182" w:lineRule="exact"/>
              <w:rPr>
                <w:sz w:val="20"/>
                <w:szCs w:val="20"/>
                <w:color w:val="auto"/>
              </w:rPr>
            </w:pPr>
            <w:r>
              <w:rPr>
                <w:rFonts w:ascii="Arial" w:cs="Arial" w:eastAsia="Arial" w:hAnsi="Arial"/>
                <w:sz w:val="16"/>
                <w:szCs w:val="16"/>
                <w:color w:val="auto"/>
              </w:rPr>
              <w:t>-</w:t>
            </w:r>
          </w:p>
        </w:tc>
        <w:tc>
          <w:tcPr>
            <w:tcW w:w="1500" w:type="dxa"/>
            <w:vAlign w:val="bottom"/>
          </w:tcPr>
          <w:p>
            <w:pPr>
              <w:jc w:val="center"/>
              <w:ind w:left="162"/>
              <w:spacing w:after="0" w:line="18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2"/>
        </w:trPr>
        <w:tc>
          <w:tcPr>
            <w:tcW w:w="3760" w:type="dxa"/>
            <w:vAlign w:val="bottom"/>
            <w:shd w:val="clear" w:color="auto" w:fill="9DBDE4"/>
          </w:tcPr>
          <w:p>
            <w:pPr>
              <w:ind w:left="60"/>
              <w:spacing w:after="0" w:line="182" w:lineRule="exact"/>
              <w:rPr>
                <w:sz w:val="20"/>
                <w:szCs w:val="20"/>
                <w:color w:val="auto"/>
              </w:rPr>
            </w:pPr>
            <w:r>
              <w:rPr>
                <w:rFonts w:ascii="Arial" w:cs="Arial" w:eastAsia="Arial" w:hAnsi="Arial"/>
                <w:sz w:val="16"/>
                <w:szCs w:val="16"/>
                <w:color w:val="auto"/>
              </w:rPr>
              <w:t>White</w:t>
            </w:r>
          </w:p>
        </w:tc>
        <w:tc>
          <w:tcPr>
            <w:tcW w:w="1540" w:type="dxa"/>
            <w:vAlign w:val="bottom"/>
            <w:shd w:val="clear" w:color="auto" w:fill="9DBDE4"/>
          </w:tcPr>
          <w:p>
            <w:pPr>
              <w:jc w:val="center"/>
              <w:ind w:left="242"/>
              <w:spacing w:after="0" w:line="182" w:lineRule="exact"/>
              <w:rPr>
                <w:sz w:val="20"/>
                <w:szCs w:val="20"/>
                <w:color w:val="auto"/>
              </w:rPr>
            </w:pPr>
            <w:r>
              <w:rPr>
                <w:rFonts w:ascii="Arial" w:cs="Arial" w:eastAsia="Arial" w:hAnsi="Arial"/>
                <w:sz w:val="16"/>
                <w:szCs w:val="16"/>
                <w:color w:val="auto"/>
              </w:rPr>
              <w:t>3</w:t>
            </w:r>
          </w:p>
        </w:tc>
        <w:tc>
          <w:tcPr>
            <w:tcW w:w="1080" w:type="dxa"/>
            <w:vAlign w:val="bottom"/>
            <w:shd w:val="clear" w:color="auto" w:fill="9DBDE4"/>
          </w:tcPr>
          <w:p>
            <w:pPr>
              <w:jc w:val="center"/>
              <w:spacing w:after="0" w:line="182" w:lineRule="exact"/>
              <w:rPr>
                <w:sz w:val="20"/>
                <w:szCs w:val="20"/>
                <w:color w:val="auto"/>
              </w:rPr>
            </w:pPr>
            <w:r>
              <w:rPr>
                <w:rFonts w:ascii="Arial" w:cs="Arial" w:eastAsia="Arial" w:hAnsi="Arial"/>
                <w:sz w:val="16"/>
                <w:szCs w:val="16"/>
                <w:color w:val="auto"/>
                <w:w w:val="89"/>
              </w:rPr>
              <w:t>2</w:t>
            </w:r>
          </w:p>
        </w:tc>
        <w:tc>
          <w:tcPr>
            <w:tcW w:w="1460" w:type="dxa"/>
            <w:vAlign w:val="bottom"/>
            <w:shd w:val="clear" w:color="auto" w:fill="9DBDE4"/>
          </w:tcPr>
          <w:p>
            <w:pPr>
              <w:jc w:val="center"/>
              <w:ind w:left="2"/>
              <w:spacing w:after="0" w:line="182" w:lineRule="exact"/>
              <w:rPr>
                <w:sz w:val="20"/>
                <w:szCs w:val="20"/>
                <w:color w:val="auto"/>
              </w:rPr>
            </w:pPr>
            <w:r>
              <w:rPr>
                <w:rFonts w:ascii="Arial" w:cs="Arial" w:eastAsia="Arial" w:hAnsi="Arial"/>
                <w:sz w:val="16"/>
                <w:szCs w:val="16"/>
                <w:color w:val="auto"/>
              </w:rPr>
              <w:t>-</w:t>
            </w:r>
          </w:p>
        </w:tc>
        <w:tc>
          <w:tcPr>
            <w:tcW w:w="1500" w:type="dxa"/>
            <w:vAlign w:val="bottom"/>
            <w:shd w:val="clear" w:color="auto" w:fill="9DBDE4"/>
          </w:tcPr>
          <w:p>
            <w:pPr>
              <w:jc w:val="center"/>
              <w:ind w:left="162"/>
              <w:spacing w:after="0" w:line="18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2"/>
        </w:trPr>
        <w:tc>
          <w:tcPr>
            <w:tcW w:w="3760" w:type="dxa"/>
            <w:vAlign w:val="bottom"/>
          </w:tcPr>
          <w:p>
            <w:pPr>
              <w:ind w:left="60"/>
              <w:spacing w:after="0" w:line="182" w:lineRule="exact"/>
              <w:rPr>
                <w:sz w:val="20"/>
                <w:szCs w:val="20"/>
                <w:color w:val="auto"/>
              </w:rPr>
            </w:pPr>
            <w:r>
              <w:rPr>
                <w:rFonts w:ascii="Arial" w:cs="Arial" w:eastAsia="Arial" w:hAnsi="Arial"/>
                <w:sz w:val="16"/>
                <w:szCs w:val="16"/>
                <w:color w:val="auto"/>
              </w:rPr>
              <w:t>Two or More Races or Ethnicities</w:t>
            </w:r>
          </w:p>
        </w:tc>
        <w:tc>
          <w:tcPr>
            <w:tcW w:w="1540" w:type="dxa"/>
            <w:vAlign w:val="bottom"/>
          </w:tcPr>
          <w:p>
            <w:pPr>
              <w:jc w:val="center"/>
              <w:ind w:left="242"/>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center"/>
              <w:spacing w:after="0" w:line="182" w:lineRule="exact"/>
              <w:rPr>
                <w:sz w:val="20"/>
                <w:szCs w:val="20"/>
                <w:color w:val="auto"/>
              </w:rPr>
            </w:pPr>
            <w:r>
              <w:rPr>
                <w:rFonts w:ascii="Arial" w:cs="Arial" w:eastAsia="Arial" w:hAnsi="Arial"/>
                <w:sz w:val="16"/>
                <w:szCs w:val="16"/>
                <w:color w:val="auto"/>
              </w:rPr>
              <w:t>-</w:t>
            </w:r>
          </w:p>
        </w:tc>
        <w:tc>
          <w:tcPr>
            <w:tcW w:w="1460" w:type="dxa"/>
            <w:vAlign w:val="bottom"/>
          </w:tcPr>
          <w:p>
            <w:pPr>
              <w:jc w:val="center"/>
              <w:ind w:left="2"/>
              <w:spacing w:after="0" w:line="182" w:lineRule="exact"/>
              <w:rPr>
                <w:sz w:val="20"/>
                <w:szCs w:val="20"/>
                <w:color w:val="auto"/>
              </w:rPr>
            </w:pPr>
            <w:r>
              <w:rPr>
                <w:rFonts w:ascii="Arial" w:cs="Arial" w:eastAsia="Arial" w:hAnsi="Arial"/>
                <w:sz w:val="16"/>
                <w:szCs w:val="16"/>
                <w:color w:val="auto"/>
              </w:rPr>
              <w:t>-</w:t>
            </w:r>
          </w:p>
        </w:tc>
        <w:tc>
          <w:tcPr>
            <w:tcW w:w="1500" w:type="dxa"/>
            <w:vAlign w:val="bottom"/>
          </w:tcPr>
          <w:p>
            <w:pPr>
              <w:jc w:val="center"/>
              <w:ind w:left="162"/>
              <w:spacing w:after="0" w:line="18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2"/>
        </w:trPr>
        <w:tc>
          <w:tcPr>
            <w:tcW w:w="3760" w:type="dxa"/>
            <w:vAlign w:val="bottom"/>
            <w:shd w:val="clear" w:color="auto" w:fill="9DBDE4"/>
          </w:tcPr>
          <w:p>
            <w:pPr>
              <w:ind w:left="60"/>
              <w:spacing w:after="0" w:line="182" w:lineRule="exact"/>
              <w:rPr>
                <w:sz w:val="20"/>
                <w:szCs w:val="20"/>
                <w:color w:val="auto"/>
              </w:rPr>
            </w:pPr>
            <w:r>
              <w:rPr>
                <w:rFonts w:ascii="Arial" w:cs="Arial" w:eastAsia="Arial" w:hAnsi="Arial"/>
                <w:sz w:val="16"/>
                <w:szCs w:val="16"/>
                <w:color w:val="auto"/>
              </w:rPr>
              <w:t>LGBTQ+</w:t>
            </w:r>
          </w:p>
        </w:tc>
        <w:tc>
          <w:tcPr>
            <w:tcW w:w="1540" w:type="dxa"/>
            <w:vAlign w:val="bottom"/>
            <w:shd w:val="clear" w:color="auto" w:fill="9DBDE4"/>
          </w:tcPr>
          <w:p>
            <w:pPr>
              <w:spacing w:after="0"/>
              <w:rPr>
                <w:sz w:val="15"/>
                <w:szCs w:val="15"/>
                <w:color w:val="auto"/>
              </w:rPr>
            </w:pPr>
          </w:p>
        </w:tc>
        <w:tc>
          <w:tcPr>
            <w:tcW w:w="1080" w:type="dxa"/>
            <w:vAlign w:val="bottom"/>
            <w:shd w:val="clear" w:color="auto" w:fill="9DBDE4"/>
          </w:tcPr>
          <w:p>
            <w:pPr>
              <w:spacing w:after="0"/>
              <w:rPr>
                <w:sz w:val="15"/>
                <w:szCs w:val="15"/>
                <w:color w:val="auto"/>
              </w:rPr>
            </w:pPr>
          </w:p>
        </w:tc>
        <w:tc>
          <w:tcPr>
            <w:tcW w:w="1460" w:type="dxa"/>
            <w:vAlign w:val="bottom"/>
            <w:shd w:val="clear" w:color="auto" w:fill="9DBDE4"/>
          </w:tcPr>
          <w:p>
            <w:pPr>
              <w:jc w:val="center"/>
              <w:ind w:right="402"/>
              <w:spacing w:after="0" w:line="182" w:lineRule="exact"/>
              <w:rPr>
                <w:sz w:val="20"/>
                <w:szCs w:val="20"/>
                <w:color w:val="auto"/>
              </w:rPr>
            </w:pPr>
            <w:r>
              <w:rPr>
                <w:rFonts w:ascii="Arial" w:cs="Arial" w:eastAsia="Arial" w:hAnsi="Arial"/>
                <w:sz w:val="16"/>
                <w:szCs w:val="16"/>
                <w:color w:val="auto"/>
              </w:rPr>
              <w:t>-</w:t>
            </w:r>
          </w:p>
        </w:tc>
        <w:tc>
          <w:tcPr>
            <w:tcW w:w="1500" w:type="dxa"/>
            <w:vAlign w:val="bottom"/>
            <w:shd w:val="clear" w:color="auto" w:fill="9DBDE4"/>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3760" w:type="dxa"/>
            <w:vAlign w:val="bottom"/>
            <w:tcBorders>
              <w:bottom w:val="single" w:sz="8" w:color="284993"/>
            </w:tcBorders>
          </w:tcPr>
          <w:p>
            <w:pPr>
              <w:ind w:left="60"/>
              <w:spacing w:after="0" w:line="182" w:lineRule="exact"/>
              <w:rPr>
                <w:sz w:val="20"/>
                <w:szCs w:val="20"/>
                <w:color w:val="auto"/>
              </w:rPr>
            </w:pPr>
            <w:r>
              <w:rPr>
                <w:rFonts w:ascii="Arial" w:cs="Arial" w:eastAsia="Arial" w:hAnsi="Arial"/>
                <w:sz w:val="16"/>
                <w:szCs w:val="16"/>
                <w:color w:val="auto"/>
              </w:rPr>
              <w:t>Did Not Disclose Demographic Background</w:t>
            </w:r>
          </w:p>
        </w:tc>
        <w:tc>
          <w:tcPr>
            <w:tcW w:w="1540" w:type="dxa"/>
            <w:vAlign w:val="bottom"/>
            <w:tcBorders>
              <w:bottom w:val="single" w:sz="8" w:color="284993"/>
            </w:tcBorders>
          </w:tcPr>
          <w:p>
            <w:pPr>
              <w:spacing w:after="0"/>
              <w:rPr>
                <w:sz w:val="15"/>
                <w:szCs w:val="15"/>
                <w:color w:val="auto"/>
              </w:rPr>
            </w:pPr>
          </w:p>
        </w:tc>
        <w:tc>
          <w:tcPr>
            <w:tcW w:w="1080" w:type="dxa"/>
            <w:vAlign w:val="bottom"/>
            <w:tcBorders>
              <w:bottom w:val="single" w:sz="8" w:color="284993"/>
            </w:tcBorders>
          </w:tcPr>
          <w:p>
            <w:pPr>
              <w:spacing w:after="0"/>
              <w:rPr>
                <w:sz w:val="15"/>
                <w:szCs w:val="15"/>
                <w:color w:val="auto"/>
              </w:rPr>
            </w:pPr>
          </w:p>
        </w:tc>
        <w:tc>
          <w:tcPr>
            <w:tcW w:w="1460" w:type="dxa"/>
            <w:vAlign w:val="bottom"/>
            <w:tcBorders>
              <w:bottom w:val="single" w:sz="8" w:color="284993"/>
            </w:tcBorders>
          </w:tcPr>
          <w:p>
            <w:pPr>
              <w:jc w:val="center"/>
              <w:ind w:right="402"/>
              <w:spacing w:after="0" w:line="182"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284993"/>
            </w:tcBorders>
          </w:tcPr>
          <w:p>
            <w:pPr>
              <w:spacing w:after="0"/>
              <w:rPr>
                <w:sz w:val="15"/>
                <w:szCs w:val="15"/>
                <w:color w:val="auto"/>
              </w:rPr>
            </w:pPr>
          </w:p>
        </w:tc>
        <w:tc>
          <w:tcPr>
            <w:tcW w:w="20" w:type="dxa"/>
            <w:vAlign w:val="bottom"/>
            <w:tcBorders>
              <w:bottom w:val="single" w:sz="8" w:color="284993"/>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2400935</wp:posOffset>
            </wp:positionH>
            <wp:positionV relativeFrom="paragraph">
              <wp:posOffset>-1757045</wp:posOffset>
            </wp:positionV>
            <wp:extent cx="3556635" cy="17576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56635" cy="175768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Board’s Role in Risk Oversight</w:t>
      </w:r>
    </w:p>
    <w:p>
      <w:pPr>
        <w:spacing w:after="0" w:line="124"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Risk is inherent with every business and we face a number of risks, including strategic, financial, operational, cybersecurity, privacy, legal/compliance, governance and reputational risks. Our management is responsible for the day-to-day management of the risks that we face. Our Board as a whole has responsibility for the oversight of enterprise risk management. Our Board provides broad oversight of ACI’s risk management programs. In this oversight role, our Board considers the implementation and effectiveness of the Company’s risk management processes. The involvement of our full Board in the risk oversight process allows our Board to assess management’s tolerance for risk and also to determine what constitutes an appropriate level of risk for ACI.</w:t>
      </w:r>
    </w:p>
    <w:p>
      <w:pPr>
        <w:spacing w:after="0" w:line="186" w:lineRule="exact"/>
        <w:rPr>
          <w:sz w:val="20"/>
          <w:szCs w:val="20"/>
          <w:color w:val="auto"/>
        </w:rPr>
      </w:pPr>
    </w:p>
    <w:p>
      <w:pPr>
        <w:ind w:right="340"/>
        <w:spacing w:after="0" w:line="264" w:lineRule="auto"/>
        <w:rPr>
          <w:sz w:val="20"/>
          <w:szCs w:val="20"/>
          <w:color w:val="auto"/>
        </w:rPr>
      </w:pPr>
      <w:r>
        <w:rPr>
          <w:rFonts w:ascii="Arial" w:cs="Arial" w:eastAsia="Arial" w:hAnsi="Arial"/>
          <w:sz w:val="16"/>
          <w:szCs w:val="16"/>
          <w:color w:val="auto"/>
        </w:rPr>
        <w:t>While our Board provides broad oversight, various committees of the Board oversee risk management in their respective areas and regularly report on their activities to the entire Board.</w:t>
      </w:r>
    </w:p>
    <w:p>
      <w:pPr>
        <w:spacing w:after="0" w:line="167" w:lineRule="exact"/>
        <w:rPr>
          <w:sz w:val="20"/>
          <w:szCs w:val="20"/>
          <w:color w:val="auto"/>
        </w:rPr>
      </w:pPr>
    </w:p>
    <w:p>
      <w:pPr>
        <w:ind w:right="120"/>
        <w:spacing w:after="0" w:line="287" w:lineRule="auto"/>
        <w:rPr>
          <w:sz w:val="20"/>
          <w:szCs w:val="20"/>
          <w:color w:val="auto"/>
        </w:rPr>
      </w:pPr>
      <w:r>
        <w:rPr>
          <w:rFonts w:ascii="Arial" w:cs="Arial" w:eastAsia="Arial" w:hAnsi="Arial"/>
          <w:sz w:val="14"/>
          <w:szCs w:val="14"/>
          <w:color w:val="auto"/>
        </w:rPr>
        <w:t>The Audit Committee focuses on assessing and mitigating financial risk, including internal controls, and receives an annual risk assessment report from ACI’s internal auditors. As part of its annual audit, ACI’s independent registered accounting firm, Deloitte &amp; Touche LLP, also provides the Audit Committee with a risk assessment identifying risks of material misstatements and related controls. The Audit Committee reviews these and other reports on risks facing the Company at its meetings throughout the year. The Audit Committee also reviews with management ACI’s enterprise risk management, business continuity and information security programs.</w:t>
      </w:r>
    </w:p>
    <w:p>
      <w:pPr>
        <w:spacing w:after="0" w:line="155"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The Compensation Committee reviews and oversees the management of potential material risks related to ACI’s compensation policies and practices. Compensia, the independent compensation consultant retained by the Compensation Committee, provides an annual assessment of such risks. The Compensation Committee reviews this annual assessment and evaluates such risks as it considers compensation and benefits matters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81280</wp:posOffset>
            </wp:positionV>
            <wp:extent cx="701675" cy="1320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1675" cy="13208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12</w:t>
      </w:r>
    </w:p>
    <w:p>
      <w:pPr>
        <w:sectPr>
          <w:pgSz w:w="11900" w:h="16838" w:orient="portrait"/>
          <w:cols w:equalWidth="0" w:num="1">
            <w:col w:w="9380"/>
          </w:cols>
          <w:pgMar w:left="1260" w:top="286" w:right="1259" w:bottom="1440" w:gutter="0" w:footer="0" w:header="0"/>
        </w:sectPr>
      </w:pPr>
    </w:p>
    <w:bookmarkStart w:id="18" w:name="page19"/>
    <w:bookmarkEnd w:id="18"/>
    <w:p>
      <w:pPr>
        <w:ind w:right="180"/>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The oversight roles of the Board and the committees are supported by management reporting processes that are designed to provide the Board and the committees with visibility into the identification, assessment and management of critical risks.</w:t>
      </w:r>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Code of Business Conduct and Ethics</w:t>
      </w:r>
    </w:p>
    <w:p>
      <w:pPr>
        <w:spacing w:after="0" w:line="124"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 xml:space="preserve">Under our Code of Business Conduct and Ethics our directors and employees, including our executive officers, must promptly report any transaction, relationship, or circumstance that creates or may create a conflict of interest. Any conflict of interest for our non-director and non-executive officer employees is prohibited unless a waiver is obtained from our General Counsel. Conflicts of interest involving our directors and executive officers are prohibited unless waived by our Board. Any waiver of a conflict of interest involving one of our directors or executive officers will be promptly disclosed in accordance with applicable law and NASDAQ listing requirements. The full text of our Code of Business Conduct and Ethics is, and any amendment to or waiver from a provision of our Code of Business Conduct and Ethics will be, posted on our website at </w:t>
      </w:r>
      <w:r>
        <w:rPr>
          <w:rFonts w:ascii="Arial" w:cs="Arial" w:eastAsia="Arial" w:hAnsi="Arial"/>
          <w:sz w:val="16"/>
          <w:szCs w:val="16"/>
          <w:u w:val="single" w:color="auto"/>
          <w:color w:val="auto"/>
        </w:rPr>
        <w:t>https://investor.aciworldwide.com/corporate-govemance</w:t>
      </w:r>
      <w:r>
        <w:rPr>
          <w:rFonts w:ascii="Arial" w:cs="Arial" w:eastAsia="Arial" w:hAnsi="Arial"/>
          <w:sz w:val="16"/>
          <w:szCs w:val="16"/>
          <w:color w:val="auto"/>
        </w:rPr>
        <w:t>.</w:t>
      </w:r>
    </w:p>
    <w:p>
      <w:pPr>
        <w:spacing w:after="0" w:line="188" w:lineRule="exact"/>
        <w:rPr>
          <w:sz w:val="20"/>
          <w:szCs w:val="20"/>
          <w:color w:val="auto"/>
        </w:rPr>
      </w:pPr>
    </w:p>
    <w:p>
      <w:pPr>
        <w:ind w:right="160"/>
        <w:spacing w:after="0" w:line="242" w:lineRule="auto"/>
        <w:rPr>
          <w:sz w:val="20"/>
          <w:szCs w:val="20"/>
          <w:color w:val="auto"/>
        </w:rPr>
      </w:pPr>
      <w:r>
        <w:rPr>
          <w:rFonts w:ascii="Arial" w:cs="Arial" w:eastAsia="Arial" w:hAnsi="Arial"/>
          <w:sz w:val="16"/>
          <w:szCs w:val="16"/>
          <w:color w:val="auto"/>
        </w:rPr>
        <w:t xml:space="preserve">We also have a Code of Ethics for the CEO and Senior Financial Officers that requires that our CEO, CFO, Chief Accounting Officer, Controller and persons performing similar functions avoid actual and apparent conflicts of interest in personal and professional relationships and that they disclose to the Audit Committee any material transaction or relationship that reasonably could be expected to give rise to a conflict. The full text of our Code of Ethics for the CEO and Senior Financial Officers is, and any amendment to or waiver from a provision of our Code of Ethics for the CEO and Senior Financial Officers will be, posted on our website at </w:t>
      </w:r>
      <w:r>
        <w:rPr>
          <w:rFonts w:ascii="Arial" w:cs="Arial" w:eastAsia="Arial" w:hAnsi="Arial"/>
          <w:sz w:val="16"/>
          <w:szCs w:val="16"/>
          <w:u w:val="single" w:color="auto"/>
          <w:color w:val="auto"/>
        </w:rPr>
        <w:t>https://investor.aciworldwide.com/corporate-governance</w:t>
      </w:r>
      <w:r>
        <w:rPr>
          <w:rFonts w:ascii="Arial" w:cs="Arial" w:eastAsia="Arial" w:hAnsi="Arial"/>
          <w:sz w:val="16"/>
          <w:szCs w:val="16"/>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Compensation Risk Analysis</w:t>
      </w:r>
    </w:p>
    <w:p>
      <w:pPr>
        <w:spacing w:after="0" w:line="124"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The Compensation Committee has concluded that ACI’s compensation policies and practices do not create risks that are reasonably likely to have a material adverse effect on ACI. The Compensation Committee believes that the following features of its compensation program help ensure that management performance is focused on long-term stockholder value creation without encouraging unnecessary or excessive risk-taking:</w:t>
      </w:r>
    </w:p>
    <w:p>
      <w:pPr>
        <w:spacing w:after="0" w:line="207" w:lineRule="exact"/>
        <w:rPr>
          <w:sz w:val="20"/>
          <w:szCs w:val="20"/>
          <w:color w:val="auto"/>
        </w:rPr>
      </w:pPr>
    </w:p>
    <w:p>
      <w:pPr>
        <w:ind w:left="360" w:hanging="263"/>
        <w:spacing w:after="0"/>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balance of fixed and variable compensation, with variable compensation tied to both short-term and long-term objectives;</w:t>
      </w:r>
    </w:p>
    <w:p>
      <w:pPr>
        <w:spacing w:after="0" w:line="231" w:lineRule="exact"/>
        <w:rPr>
          <w:rFonts w:ascii="Arial" w:cs="Arial" w:eastAsia="Arial" w:hAnsi="Arial"/>
          <w:sz w:val="16"/>
          <w:szCs w:val="16"/>
          <w:color w:val="auto"/>
        </w:rPr>
      </w:pPr>
    </w:p>
    <w:p>
      <w:pPr>
        <w:ind w:left="360" w:hanging="263"/>
        <w:spacing w:after="0"/>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Annual incentive awards tied to ACI’s financial performance, with caps on payout amounts;</w:t>
      </w:r>
    </w:p>
    <w:p>
      <w:pPr>
        <w:spacing w:after="0" w:line="231" w:lineRule="exact"/>
        <w:rPr>
          <w:rFonts w:ascii="Arial" w:cs="Arial" w:eastAsia="Arial" w:hAnsi="Arial"/>
          <w:sz w:val="16"/>
          <w:szCs w:val="16"/>
          <w:color w:val="auto"/>
        </w:rPr>
      </w:pPr>
    </w:p>
    <w:p>
      <w:pPr>
        <w:ind w:left="360" w:right="580" w:hanging="263"/>
        <w:spacing w:after="0" w:line="264" w:lineRule="auto"/>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use of time-based and performance-based equity awards that generally vest, if at all, over several years and align our executives’ interests with those of our stockholders;</w:t>
      </w:r>
    </w:p>
    <w:p>
      <w:pPr>
        <w:spacing w:after="0" w:line="192" w:lineRule="exact"/>
        <w:rPr>
          <w:rFonts w:ascii="Arial" w:cs="Arial" w:eastAsia="Arial" w:hAnsi="Arial"/>
          <w:sz w:val="16"/>
          <w:szCs w:val="16"/>
          <w:color w:val="auto"/>
        </w:rPr>
      </w:pPr>
    </w:p>
    <w:p>
      <w:pPr>
        <w:ind w:left="360" w:hanging="263"/>
        <w:spacing w:after="0"/>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Compensation Committee’s ability to exercise discretion in determining incentive program payouts;</w:t>
      </w:r>
    </w:p>
    <w:p>
      <w:pPr>
        <w:spacing w:after="0" w:line="231" w:lineRule="exact"/>
        <w:rPr>
          <w:rFonts w:ascii="Arial" w:cs="Arial" w:eastAsia="Arial" w:hAnsi="Arial"/>
          <w:sz w:val="16"/>
          <w:szCs w:val="16"/>
          <w:color w:val="auto"/>
        </w:rPr>
      </w:pPr>
    </w:p>
    <w:p>
      <w:pPr>
        <w:ind w:left="360" w:right="160" w:hanging="263"/>
        <w:spacing w:after="0" w:line="264" w:lineRule="auto"/>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recoupment and forfeiture policy pertaining to annual incentive payouts and long-term incentive equity awards applicable to all employees, including our executive officers; and</w:t>
      </w:r>
    </w:p>
    <w:p>
      <w:pPr>
        <w:spacing w:after="0" w:line="192" w:lineRule="exact"/>
        <w:rPr>
          <w:rFonts w:ascii="Arial" w:cs="Arial" w:eastAsia="Arial" w:hAnsi="Arial"/>
          <w:sz w:val="16"/>
          <w:szCs w:val="16"/>
          <w:color w:val="auto"/>
        </w:rPr>
      </w:pPr>
    </w:p>
    <w:p>
      <w:pPr>
        <w:ind w:left="360" w:hanging="263"/>
        <w:spacing w:after="0"/>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Stock ownership guidelines for our executive officers that further align our executives’ interests with those of our stockholders.</w:t>
      </w:r>
    </w:p>
    <w:p>
      <w:pPr>
        <w:spacing w:after="0" w:line="143" w:lineRule="exact"/>
        <w:rPr>
          <w:rFonts w:ascii="Arial" w:cs="Arial" w:eastAsia="Arial" w:hAnsi="Arial"/>
          <w:sz w:val="16"/>
          <w:szCs w:val="16"/>
          <w:color w:val="auto"/>
        </w:rPr>
      </w:pPr>
    </w:p>
    <w:p>
      <w:pPr>
        <w:ind w:left="7460"/>
        <w:spacing w:after="0"/>
        <w:rPr>
          <w:rFonts w:ascii="Arial" w:cs="Arial" w:eastAsia="Arial" w:hAnsi="Arial"/>
          <w:sz w:val="16"/>
          <w:szCs w:val="16"/>
          <w:color w:val="auto"/>
        </w:rPr>
      </w:pPr>
      <w:r>
        <w:rPr>
          <w:rFonts w:ascii="Arial" w:cs="Arial" w:eastAsia="Arial" w:hAnsi="Arial"/>
          <w:sz w:val="13"/>
          <w:szCs w:val="13"/>
          <w:color w:val="auto"/>
        </w:rPr>
        <w:t>2024 PROXY STATEMENT</w:t>
      </w:r>
      <w:r>
        <w:rPr>
          <w:rFonts w:ascii="Arial" w:cs="Arial" w:eastAsia="Arial" w:hAnsi="Arial"/>
          <w:sz w:val="13"/>
          <w:szCs w:val="13"/>
          <w:b w:val="1"/>
          <w:bCs w:val="1"/>
          <w:color w:val="284993"/>
        </w:rPr>
        <w:t xml:space="preserve">  13</w:t>
      </w:r>
    </w:p>
    <w:p>
      <w:pPr>
        <w:sectPr>
          <w:pgSz w:w="11900" w:h="16838" w:orient="portrait"/>
          <w:cols w:equalWidth="0" w:num="1">
            <w:col w:w="9360"/>
          </w:cols>
          <w:pgMar w:left="1260" w:top="296" w:right="127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257175</wp:posOffset>
            </wp:positionV>
            <wp:extent cx="59410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 xml:space="preserve">Our Board has nominated for election as directors </w:t>
      </w:r>
      <w:r>
        <w:rPr>
          <w:rFonts w:ascii="Arial" w:cs="Arial" w:eastAsia="Arial" w:hAnsi="Arial"/>
          <w:sz w:val="16"/>
          <w:szCs w:val="16"/>
          <w:b w:val="1"/>
          <w:bCs w:val="1"/>
          <w:color w:val="auto"/>
        </w:rPr>
        <w:t>Adalio T. Sanchez, Juan A. Benitez, Janet O. Estep, Mary P. Harman, Katrinka</w:t>
      </w:r>
      <w:r>
        <w:rPr>
          <w:rFonts w:ascii="Arial" w:cs="Arial" w:eastAsia="Arial" w:hAnsi="Arial"/>
          <w:sz w:val="16"/>
          <w:szCs w:val="16"/>
          <w:color w:val="auto"/>
        </w:rPr>
        <w:t xml:space="preserve"> </w:t>
      </w:r>
      <w:r>
        <w:rPr>
          <w:rFonts w:ascii="Arial" w:cs="Arial" w:eastAsia="Arial" w:hAnsi="Arial"/>
          <w:sz w:val="16"/>
          <w:szCs w:val="16"/>
          <w:b w:val="1"/>
          <w:bCs w:val="1"/>
          <w:color w:val="auto"/>
        </w:rPr>
        <w:t>B. McCallum, Charles E. Peters, Jr, Thomas W. Warsop III</w:t>
      </w:r>
      <w:r>
        <w:rPr>
          <w:rFonts w:ascii="Arial" w:cs="Arial" w:eastAsia="Arial" w:hAnsi="Arial"/>
          <w:sz w:val="16"/>
          <w:szCs w:val="16"/>
          <w:color w:val="auto"/>
        </w:rPr>
        <w:t>, and</w:t>
      </w:r>
      <w:r>
        <w:rPr>
          <w:rFonts w:ascii="Arial" w:cs="Arial" w:eastAsia="Arial" w:hAnsi="Arial"/>
          <w:sz w:val="16"/>
          <w:szCs w:val="16"/>
          <w:b w:val="1"/>
          <w:bCs w:val="1"/>
          <w:color w:val="auto"/>
        </w:rPr>
        <w:t xml:space="preserve"> Samir M. Zabaneh</w:t>
      </w:r>
      <w:r>
        <w:rPr>
          <w:rFonts w:ascii="Arial" w:cs="Arial" w:eastAsia="Arial" w:hAnsi="Arial"/>
          <w:sz w:val="16"/>
          <w:szCs w:val="16"/>
          <w:color w:val="auto"/>
        </w:rPr>
        <w:t>, each to serve until the 2025 Annual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and thereafter until his or her respective successor is duly elected and qualified. We expect that each of the nominees will be available for election, but if any of them is unwilling or unable to serve as a candidate at the time the election occurs, it is intended that each share represented by proxy at the Annual Meeting will be voted for the election of another nominee to be designated by the Board to fill any such vacancy.</w:t>
      </w:r>
    </w:p>
    <w:p>
      <w:pPr>
        <w:spacing w:after="0" w:line="173"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General</w:t>
      </w:r>
    </w:p>
    <w:p>
      <w:pPr>
        <w:spacing w:after="0" w:line="124" w:lineRule="exact"/>
        <w:rPr>
          <w:sz w:val="20"/>
          <w:szCs w:val="20"/>
          <w:color w:val="auto"/>
        </w:rPr>
      </w:pPr>
    </w:p>
    <w:p>
      <w:pPr>
        <w:ind w:right="660"/>
        <w:spacing w:after="0" w:line="264" w:lineRule="auto"/>
        <w:rPr>
          <w:sz w:val="20"/>
          <w:szCs w:val="20"/>
          <w:color w:val="auto"/>
        </w:rPr>
      </w:pPr>
      <w:r>
        <w:rPr>
          <w:rFonts w:ascii="Arial" w:cs="Arial" w:eastAsia="Arial" w:hAnsi="Arial"/>
          <w:sz w:val="16"/>
          <w:szCs w:val="16"/>
          <w:color w:val="auto"/>
        </w:rPr>
        <w:t>Our Corporate Governance Committee considers, and our Board selects, nominees with a view to establishing a Board that is comprised of members who: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5941060" cy="9817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41060" cy="981710"/>
                    </a:xfrm>
                    <a:prstGeom prst="rect">
                      <a:avLst/>
                    </a:prstGeom>
                    <a:noFill/>
                  </pic:spPr>
                </pic:pic>
              </a:graphicData>
            </a:graphic>
          </wp:anchor>
        </w:drawing>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6"/>
          <w:szCs w:val="16"/>
          <w:color w:val="FFFFFF"/>
        </w:rPr>
        <w:t xml:space="preserve">•  </w:t>
      </w:r>
      <w:r>
        <w:rPr>
          <w:rFonts w:ascii="Arial" w:cs="Arial" w:eastAsia="Arial" w:hAnsi="Arial"/>
          <w:sz w:val="16"/>
          <w:szCs w:val="16"/>
          <w:b w:val="1"/>
          <w:bCs w:val="1"/>
          <w:color w:val="FFFFFF"/>
        </w:rPr>
        <w:t>Possess the skills and attributes described below</w:t>
      </w:r>
    </w:p>
    <w:p>
      <w:pPr>
        <w:spacing w:after="0" w:line="37"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FFFFFF"/>
        </w:rPr>
        <w:t>•  Are independent and free of any conflicts of interest</w:t>
      </w:r>
    </w:p>
    <w:p>
      <w:pPr>
        <w:spacing w:after="0" w:line="37" w:lineRule="exact"/>
        <w:rPr>
          <w:sz w:val="20"/>
          <w:szCs w:val="20"/>
          <w:color w:val="auto"/>
        </w:rPr>
      </w:pPr>
    </w:p>
    <w:p>
      <w:pPr>
        <w:ind w:left="240"/>
        <w:spacing w:after="0"/>
        <w:rPr>
          <w:sz w:val="20"/>
          <w:szCs w:val="20"/>
          <w:color w:val="auto"/>
        </w:rPr>
      </w:pPr>
      <w:r>
        <w:rPr>
          <w:rFonts w:ascii="Arial" w:cs="Arial" w:eastAsia="Arial" w:hAnsi="Arial"/>
          <w:sz w:val="16"/>
          <w:szCs w:val="16"/>
          <w:color w:val="FFFFFF"/>
        </w:rPr>
        <w:t xml:space="preserve">•  </w:t>
      </w:r>
      <w:r>
        <w:rPr>
          <w:rFonts w:ascii="Arial" w:cs="Arial" w:eastAsia="Arial" w:hAnsi="Arial"/>
          <w:sz w:val="16"/>
          <w:szCs w:val="16"/>
          <w:b w:val="1"/>
          <w:bCs w:val="1"/>
          <w:color w:val="FFFFFF"/>
        </w:rPr>
        <w:t>Are willing and able to devote sufficient time to the affairs of ACI</w:t>
      </w:r>
    </w:p>
    <w:p>
      <w:pPr>
        <w:spacing w:after="0" w:line="37" w:lineRule="exact"/>
        <w:rPr>
          <w:sz w:val="20"/>
          <w:szCs w:val="20"/>
          <w:color w:val="auto"/>
        </w:rPr>
      </w:pPr>
    </w:p>
    <w:p>
      <w:pPr>
        <w:ind w:left="240" w:right="2360"/>
        <w:spacing w:after="0" w:line="328" w:lineRule="auto"/>
        <w:rPr>
          <w:sz w:val="20"/>
          <w:szCs w:val="20"/>
          <w:color w:val="auto"/>
        </w:rPr>
      </w:pPr>
      <w:r>
        <w:rPr>
          <w:rFonts w:ascii="Arial" w:cs="Arial" w:eastAsia="Arial" w:hAnsi="Arial"/>
          <w:sz w:val="16"/>
          <w:szCs w:val="16"/>
          <w:b w:val="1"/>
          <w:bCs w:val="1"/>
          <w:color w:val="FFFFFF"/>
        </w:rPr>
        <w:t xml:space="preserve">•  Have the capacity and desire to represent the balanced, best interest of our stockholders </w:t>
      </w:r>
      <w:r>
        <w:rPr>
          <w:rFonts w:ascii="Arial" w:cs="Arial" w:eastAsia="Arial" w:hAnsi="Arial"/>
          <w:sz w:val="16"/>
          <w:szCs w:val="16"/>
          <w:color w:val="FFFFFF"/>
        </w:rPr>
        <w:t xml:space="preserve">•  </w:t>
      </w:r>
      <w:r>
        <w:rPr>
          <w:rFonts w:ascii="Arial" w:cs="Arial" w:eastAsia="Arial" w:hAnsi="Arial"/>
          <w:sz w:val="16"/>
          <w:szCs w:val="16"/>
          <w:b w:val="1"/>
          <w:bCs w:val="1"/>
          <w:color w:val="FFFFFF"/>
        </w:rPr>
        <w:t>Bring diverse perspectives to our Board</w:t>
      </w:r>
    </w:p>
    <w:p>
      <w:pPr>
        <w:spacing w:after="0" w:line="200" w:lineRule="exact"/>
        <w:rPr>
          <w:sz w:val="20"/>
          <w:szCs w:val="20"/>
          <w:color w:val="auto"/>
        </w:rPr>
      </w:pPr>
    </w:p>
    <w:p>
      <w:pPr>
        <w:spacing w:after="0" w:line="391"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color w:val="auto"/>
        </w:rPr>
        <w:t>We believe that each director nominee brings these qualifications to our Board, providing a diverse complement of specific business skills and experience aligned with our business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72390</wp:posOffset>
            </wp:positionV>
            <wp:extent cx="693420" cy="1320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3420" cy="13208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14</w:t>
      </w:r>
    </w:p>
    <w:p>
      <w:pPr>
        <w:sectPr>
          <w:pgSz w:w="11900" w:h="16838" w:orient="portrait"/>
          <w:cols w:equalWidth="0" w:num="1">
            <w:col w:w="9320"/>
          </w:cols>
          <w:pgMar w:left="1260" w:top="254" w:right="1319" w:bottom="1440" w:gutter="0" w:footer="0" w:header="0"/>
        </w:sectPr>
      </w:pPr>
    </w:p>
    <w:bookmarkStart w:id="20" w:name="page21"/>
    <w:bookmarkEnd w:id="20"/>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Specific Skills and Attributes to be Represented on the Board</w:t>
      </w:r>
    </w:p>
    <w:p>
      <w:pPr>
        <w:spacing w:after="0" w:line="124"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To effectively serve ACI’s business and long-term strategy, the Board believes it is important that the following key skills and attributes be represented on the Board as a whole: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560" w:type="dxa"/>
            <w:vAlign w:val="bottom"/>
            <w:shd w:val="clear" w:color="auto" w:fill="284993"/>
          </w:tcPr>
          <w:p>
            <w:pPr>
              <w:spacing w:after="0"/>
              <w:rPr>
                <w:sz w:val="16"/>
                <w:szCs w:val="16"/>
                <w:color w:val="auto"/>
              </w:rPr>
            </w:pPr>
          </w:p>
        </w:tc>
        <w:tc>
          <w:tcPr>
            <w:tcW w:w="4660" w:type="dxa"/>
            <w:vAlign w:val="bottom"/>
            <w:shd w:val="clear" w:color="auto" w:fill="284993"/>
          </w:tcPr>
          <w:p>
            <w:pPr>
              <w:spacing w:after="0"/>
              <w:rPr>
                <w:sz w:val="16"/>
                <w:szCs w:val="16"/>
                <w:color w:val="auto"/>
              </w:rPr>
            </w:pPr>
          </w:p>
        </w:tc>
        <w:tc>
          <w:tcPr>
            <w:tcW w:w="1120" w:type="dxa"/>
            <w:vAlign w:val="bottom"/>
            <w:shd w:val="clear" w:color="auto" w:fill="284993"/>
          </w:tcPr>
          <w:p>
            <w:pPr>
              <w:jc w:val="center"/>
              <w:ind w:left="102"/>
              <w:spacing w:after="0"/>
              <w:rPr>
                <w:sz w:val="20"/>
                <w:szCs w:val="20"/>
                <w:color w:val="auto"/>
              </w:rPr>
            </w:pPr>
            <w:r>
              <w:rPr>
                <w:rFonts w:ascii="Arial" w:cs="Arial" w:eastAsia="Arial" w:hAnsi="Arial"/>
                <w:sz w:val="16"/>
                <w:szCs w:val="16"/>
                <w:b w:val="1"/>
                <w:bCs w:val="1"/>
                <w:color w:val="FFFFFF"/>
                <w:w w:val="96"/>
              </w:rPr>
              <w:t>Represented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60" w:type="dxa"/>
            <w:vAlign w:val="bottom"/>
            <w:shd w:val="clear" w:color="auto" w:fill="284993"/>
          </w:tcPr>
          <w:p>
            <w:pPr>
              <w:spacing w:after="0"/>
              <w:rPr>
                <w:sz w:val="15"/>
                <w:szCs w:val="15"/>
                <w:color w:val="auto"/>
              </w:rPr>
            </w:pPr>
          </w:p>
        </w:tc>
        <w:tc>
          <w:tcPr>
            <w:tcW w:w="4660" w:type="dxa"/>
            <w:vAlign w:val="bottom"/>
            <w:shd w:val="clear" w:color="auto" w:fill="284993"/>
          </w:tcPr>
          <w:p>
            <w:pPr>
              <w:spacing w:after="0"/>
              <w:rPr>
                <w:sz w:val="15"/>
                <w:szCs w:val="15"/>
                <w:color w:val="auto"/>
              </w:rPr>
            </w:pPr>
          </w:p>
        </w:tc>
        <w:tc>
          <w:tcPr>
            <w:tcW w:w="1120" w:type="dxa"/>
            <w:vAlign w:val="bottom"/>
            <w:shd w:val="clear" w:color="auto" w:fill="284993"/>
          </w:tcPr>
          <w:p>
            <w:pPr>
              <w:jc w:val="center"/>
              <w:ind w:left="102"/>
              <w:spacing w:after="0" w:line="182" w:lineRule="exact"/>
              <w:rPr>
                <w:sz w:val="20"/>
                <w:szCs w:val="20"/>
                <w:color w:val="auto"/>
              </w:rPr>
            </w:pPr>
            <w:r>
              <w:rPr>
                <w:rFonts w:ascii="Arial" w:cs="Arial" w:eastAsia="Arial" w:hAnsi="Arial"/>
                <w:sz w:val="16"/>
                <w:szCs w:val="16"/>
                <w:b w:val="1"/>
                <w:bCs w:val="1"/>
                <w:color w:val="FFFFFF"/>
                <w:w w:val="96"/>
              </w:rPr>
              <w:t>by # of</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60" w:type="dxa"/>
            <w:vAlign w:val="bottom"/>
            <w:shd w:val="clear" w:color="auto" w:fill="284993"/>
          </w:tcPr>
          <w:p>
            <w:pPr>
              <w:spacing w:after="0"/>
              <w:rPr>
                <w:sz w:val="15"/>
                <w:szCs w:val="15"/>
                <w:color w:val="auto"/>
              </w:rPr>
            </w:pPr>
          </w:p>
        </w:tc>
        <w:tc>
          <w:tcPr>
            <w:tcW w:w="4660" w:type="dxa"/>
            <w:vAlign w:val="bottom"/>
            <w:shd w:val="clear" w:color="auto" w:fill="284993"/>
          </w:tcPr>
          <w:p>
            <w:pPr>
              <w:spacing w:after="0"/>
              <w:rPr>
                <w:sz w:val="15"/>
                <w:szCs w:val="15"/>
                <w:color w:val="auto"/>
              </w:rPr>
            </w:pPr>
          </w:p>
        </w:tc>
        <w:tc>
          <w:tcPr>
            <w:tcW w:w="1120" w:type="dxa"/>
            <w:vAlign w:val="bottom"/>
            <w:shd w:val="clear" w:color="auto" w:fill="284993"/>
          </w:tcPr>
          <w:p>
            <w:pPr>
              <w:jc w:val="center"/>
              <w:ind w:left="82"/>
              <w:spacing w:after="0" w:line="182" w:lineRule="exact"/>
              <w:rPr>
                <w:sz w:val="20"/>
                <w:szCs w:val="20"/>
                <w:color w:val="auto"/>
              </w:rPr>
            </w:pPr>
            <w:r>
              <w:rPr>
                <w:rFonts w:ascii="Arial" w:cs="Arial" w:eastAsia="Arial" w:hAnsi="Arial"/>
                <w:sz w:val="16"/>
                <w:szCs w:val="16"/>
                <w:b w:val="1"/>
                <w:bCs w:val="1"/>
                <w:color w:val="FFFFFF"/>
                <w:w w:val="97"/>
              </w:rPr>
              <w:t>Director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60" w:type="dxa"/>
            <w:vAlign w:val="bottom"/>
            <w:shd w:val="clear" w:color="auto" w:fill="284993"/>
          </w:tcPr>
          <w:p>
            <w:pPr>
              <w:spacing w:after="0"/>
              <w:rPr>
                <w:sz w:val="15"/>
                <w:szCs w:val="15"/>
                <w:color w:val="auto"/>
              </w:rPr>
            </w:pPr>
          </w:p>
        </w:tc>
        <w:tc>
          <w:tcPr>
            <w:tcW w:w="4660" w:type="dxa"/>
            <w:vAlign w:val="bottom"/>
            <w:shd w:val="clear" w:color="auto" w:fill="284993"/>
          </w:tcPr>
          <w:p>
            <w:pPr>
              <w:spacing w:after="0"/>
              <w:rPr>
                <w:sz w:val="15"/>
                <w:szCs w:val="15"/>
                <w:color w:val="auto"/>
              </w:rPr>
            </w:pPr>
          </w:p>
        </w:tc>
        <w:tc>
          <w:tcPr>
            <w:tcW w:w="1120" w:type="dxa"/>
            <w:vAlign w:val="bottom"/>
            <w:shd w:val="clear" w:color="auto" w:fill="284993"/>
          </w:tcPr>
          <w:p>
            <w:pPr>
              <w:jc w:val="center"/>
              <w:ind w:left="102"/>
              <w:spacing w:after="0" w:line="182" w:lineRule="exact"/>
              <w:rPr>
                <w:sz w:val="20"/>
                <w:szCs w:val="20"/>
                <w:color w:val="auto"/>
              </w:rPr>
            </w:pPr>
            <w:r>
              <w:rPr>
                <w:rFonts w:ascii="Arial" w:cs="Arial" w:eastAsia="Arial" w:hAnsi="Arial"/>
                <w:sz w:val="16"/>
                <w:szCs w:val="16"/>
                <w:b w:val="1"/>
                <w:bCs w:val="1"/>
                <w:color w:val="FFFFFF"/>
                <w:w w:val="96"/>
              </w:rPr>
              <w:t>Nominees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shd w:val="clear" w:color="auto" w:fill="284993"/>
          </w:tcPr>
          <w:p>
            <w:pPr>
              <w:spacing w:after="0"/>
              <w:rPr>
                <w:sz w:val="20"/>
                <w:szCs w:val="20"/>
                <w:color w:val="auto"/>
              </w:rPr>
            </w:pPr>
            <w:r>
              <w:rPr>
                <w:rFonts w:ascii="Arial" w:cs="Arial" w:eastAsia="Arial" w:hAnsi="Arial"/>
                <w:sz w:val="16"/>
                <w:szCs w:val="16"/>
                <w:b w:val="1"/>
                <w:bCs w:val="1"/>
                <w:color w:val="FFFFFF"/>
              </w:rPr>
              <w:t>   Skills and Attributes</w:t>
            </w:r>
          </w:p>
        </w:tc>
        <w:tc>
          <w:tcPr>
            <w:tcW w:w="4660" w:type="dxa"/>
            <w:vAlign w:val="bottom"/>
            <w:shd w:val="clear" w:color="auto" w:fill="284993"/>
          </w:tcPr>
          <w:p>
            <w:pPr>
              <w:ind w:left="420"/>
              <w:spacing w:after="0"/>
              <w:rPr>
                <w:sz w:val="20"/>
                <w:szCs w:val="20"/>
                <w:color w:val="auto"/>
              </w:rPr>
            </w:pPr>
            <w:r>
              <w:rPr>
                <w:rFonts w:ascii="Arial" w:cs="Arial" w:eastAsia="Arial" w:hAnsi="Arial"/>
                <w:sz w:val="16"/>
                <w:szCs w:val="16"/>
                <w:b w:val="1"/>
                <w:bCs w:val="1"/>
                <w:color w:val="FFFFFF"/>
              </w:rPr>
              <w:t>Importance to ACI</w:t>
            </w:r>
          </w:p>
        </w:tc>
        <w:tc>
          <w:tcPr>
            <w:tcW w:w="1120" w:type="dxa"/>
            <w:vAlign w:val="bottom"/>
            <w:shd w:val="clear" w:color="auto" w:fill="284993"/>
          </w:tcPr>
          <w:p>
            <w:pPr>
              <w:jc w:val="center"/>
              <w:ind w:left="102"/>
              <w:spacing w:after="0"/>
              <w:rPr>
                <w:sz w:val="20"/>
                <w:szCs w:val="20"/>
                <w:color w:val="auto"/>
              </w:rPr>
            </w:pPr>
            <w:r>
              <w:rPr>
                <w:rFonts w:ascii="Arial" w:cs="Arial" w:eastAsia="Arial" w:hAnsi="Arial"/>
                <w:sz w:val="16"/>
                <w:szCs w:val="16"/>
                <w:b w:val="1"/>
                <w:bCs w:val="1"/>
                <w:color w:val="FFFFFF"/>
                <w:w w:val="96"/>
              </w:rPr>
              <w:t>(out of 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60" w:type="dxa"/>
            <w:vAlign w:val="bottom"/>
            <w:tcBorders>
              <w:bottom w:val="single" w:sz="8" w:color="284993"/>
            </w:tcBorders>
          </w:tcPr>
          <w:p>
            <w:pPr>
              <w:ind w:left="80"/>
              <w:spacing w:after="0"/>
              <w:rPr>
                <w:sz w:val="20"/>
                <w:szCs w:val="20"/>
                <w:color w:val="auto"/>
              </w:rPr>
            </w:pPr>
            <w:r>
              <w:rPr>
                <w:rFonts w:ascii="Arial" w:cs="Arial" w:eastAsia="Arial" w:hAnsi="Arial"/>
                <w:sz w:val="17"/>
                <w:szCs w:val="17"/>
                <w:b w:val="1"/>
                <w:bCs w:val="1"/>
                <w:color w:val="284993"/>
              </w:rPr>
              <w:t>•  Payments Industry Knowledge</w:t>
            </w:r>
          </w:p>
        </w:tc>
        <w:tc>
          <w:tcPr>
            <w:tcW w:w="4660" w:type="dxa"/>
            <w:vAlign w:val="bottom"/>
            <w:tcBorders>
              <w:bottom w:val="single" w:sz="8" w:color="284993"/>
            </w:tcBorders>
          </w:tcPr>
          <w:p>
            <w:pPr>
              <w:ind w:left="420"/>
              <w:spacing w:after="0"/>
              <w:rPr>
                <w:sz w:val="20"/>
                <w:szCs w:val="20"/>
                <w:color w:val="auto"/>
              </w:rPr>
            </w:pPr>
            <w:r>
              <w:rPr>
                <w:rFonts w:ascii="Arial" w:cs="Arial" w:eastAsia="Arial" w:hAnsi="Arial"/>
                <w:sz w:val="16"/>
                <w:szCs w:val="16"/>
                <w:color w:val="auto"/>
              </w:rPr>
              <w:t>ACI provides mission-critical real-time payments solutions.</w:t>
            </w:r>
          </w:p>
        </w:tc>
        <w:tc>
          <w:tcPr>
            <w:tcW w:w="1120" w:type="dxa"/>
            <w:vAlign w:val="bottom"/>
            <w:tcBorders>
              <w:bottom w:val="single" w:sz="8" w:color="284993"/>
            </w:tcBorders>
          </w:tcPr>
          <w:p>
            <w:pPr>
              <w:jc w:val="center"/>
              <w:ind w:left="102"/>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60" w:type="dxa"/>
            <w:vAlign w:val="bottom"/>
          </w:tcPr>
          <w:p>
            <w:pPr>
              <w:ind w:left="80"/>
              <w:spacing w:after="0" w:line="169" w:lineRule="exact"/>
              <w:rPr>
                <w:sz w:val="20"/>
                <w:szCs w:val="20"/>
                <w:color w:val="auto"/>
              </w:rPr>
            </w:pPr>
            <w:r>
              <w:rPr>
                <w:rFonts w:ascii="Arial" w:cs="Arial" w:eastAsia="Arial" w:hAnsi="Arial"/>
                <w:sz w:val="17"/>
                <w:szCs w:val="17"/>
                <w:b w:val="1"/>
                <w:bCs w:val="1"/>
                <w:color w:val="284993"/>
              </w:rPr>
              <w:t>•  Financial Services Industry</w:t>
            </w:r>
          </w:p>
        </w:tc>
        <w:tc>
          <w:tcPr>
            <w:tcW w:w="4660" w:type="dxa"/>
            <w:vAlign w:val="bottom"/>
          </w:tcPr>
          <w:p>
            <w:pPr>
              <w:ind w:left="420"/>
              <w:spacing w:after="0" w:line="169" w:lineRule="exact"/>
              <w:rPr>
                <w:sz w:val="20"/>
                <w:szCs w:val="20"/>
                <w:color w:val="auto"/>
              </w:rPr>
            </w:pPr>
            <w:r>
              <w:rPr>
                <w:rFonts w:ascii="Arial" w:cs="Arial" w:eastAsia="Arial" w:hAnsi="Arial"/>
                <w:sz w:val="16"/>
                <w:szCs w:val="16"/>
                <w:color w:val="auto"/>
              </w:rPr>
              <w:t>ACI’s customers include financial institutions and financial</w:t>
            </w:r>
          </w:p>
        </w:tc>
        <w:tc>
          <w:tcPr>
            <w:tcW w:w="1120" w:type="dxa"/>
            <w:vAlign w:val="bottom"/>
            <w:vMerge w:val="restart"/>
          </w:tcPr>
          <w:p>
            <w:pPr>
              <w:jc w:val="center"/>
              <w:ind w:left="102"/>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560" w:type="dxa"/>
            <w:vAlign w:val="bottom"/>
            <w:vMerge w:val="restart"/>
          </w:tcPr>
          <w:p>
            <w:pPr>
              <w:ind w:left="240"/>
              <w:spacing w:after="0"/>
              <w:rPr>
                <w:sz w:val="20"/>
                <w:szCs w:val="20"/>
                <w:color w:val="auto"/>
              </w:rPr>
            </w:pPr>
            <w:r>
              <w:rPr>
                <w:rFonts w:ascii="Arial" w:cs="Arial" w:eastAsia="Arial" w:hAnsi="Arial"/>
                <w:sz w:val="17"/>
                <w:szCs w:val="17"/>
                <w:b w:val="1"/>
                <w:bCs w:val="1"/>
                <w:color w:val="284993"/>
              </w:rPr>
              <w:t>Experience</w:t>
            </w:r>
          </w:p>
        </w:tc>
        <w:tc>
          <w:tcPr>
            <w:tcW w:w="4660" w:type="dxa"/>
            <w:vAlign w:val="bottom"/>
            <w:vMerge w:val="restart"/>
          </w:tcPr>
          <w:p>
            <w:pPr>
              <w:ind w:left="420"/>
              <w:spacing w:after="0"/>
              <w:rPr>
                <w:sz w:val="20"/>
                <w:szCs w:val="20"/>
                <w:color w:val="auto"/>
              </w:rPr>
            </w:pPr>
            <w:r>
              <w:rPr>
                <w:rFonts w:ascii="Arial" w:cs="Arial" w:eastAsia="Arial" w:hAnsi="Arial"/>
                <w:sz w:val="16"/>
                <w:szCs w:val="16"/>
                <w:color w:val="auto"/>
              </w:rPr>
              <w:t>intermediaries.</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560" w:type="dxa"/>
            <w:vAlign w:val="bottom"/>
            <w:tcBorders>
              <w:bottom w:val="single" w:sz="8" w:color="284993"/>
            </w:tcBorders>
            <w:vMerge w:val="continue"/>
          </w:tcPr>
          <w:p>
            <w:pPr>
              <w:spacing w:after="0"/>
              <w:rPr>
                <w:sz w:val="8"/>
                <w:szCs w:val="8"/>
                <w:color w:val="auto"/>
              </w:rPr>
            </w:pPr>
          </w:p>
        </w:tc>
        <w:tc>
          <w:tcPr>
            <w:tcW w:w="4660" w:type="dxa"/>
            <w:vAlign w:val="bottom"/>
            <w:tcBorders>
              <w:bottom w:val="single" w:sz="8" w:color="284993"/>
            </w:tcBorders>
            <w:vMerge w:val="continue"/>
          </w:tcPr>
          <w:p>
            <w:pPr>
              <w:spacing w:after="0"/>
              <w:rPr>
                <w:sz w:val="8"/>
                <w:szCs w:val="8"/>
                <w:color w:val="auto"/>
              </w:rPr>
            </w:pPr>
          </w:p>
        </w:tc>
        <w:tc>
          <w:tcPr>
            <w:tcW w:w="1120" w:type="dxa"/>
            <w:vAlign w:val="bottom"/>
            <w:tcBorders>
              <w:bottom w:val="single" w:sz="8" w:color="284993"/>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60" w:type="dxa"/>
            <w:vAlign w:val="bottom"/>
          </w:tcPr>
          <w:p>
            <w:pPr>
              <w:ind w:left="80"/>
              <w:spacing w:after="0" w:line="163" w:lineRule="exact"/>
              <w:rPr>
                <w:sz w:val="20"/>
                <w:szCs w:val="20"/>
                <w:color w:val="auto"/>
              </w:rPr>
            </w:pPr>
            <w:r>
              <w:rPr>
                <w:rFonts w:ascii="Arial" w:cs="Arial" w:eastAsia="Arial" w:hAnsi="Arial"/>
                <w:sz w:val="17"/>
                <w:szCs w:val="17"/>
                <w:b w:val="1"/>
                <w:bCs w:val="1"/>
                <w:color w:val="284993"/>
              </w:rPr>
              <w:t>•  Financial Expert</w:t>
            </w:r>
          </w:p>
        </w:tc>
        <w:tc>
          <w:tcPr>
            <w:tcW w:w="4660" w:type="dxa"/>
            <w:vAlign w:val="bottom"/>
          </w:tcPr>
          <w:p>
            <w:pPr>
              <w:ind w:left="420"/>
              <w:spacing w:after="0" w:line="163" w:lineRule="exact"/>
              <w:rPr>
                <w:sz w:val="20"/>
                <w:szCs w:val="20"/>
                <w:color w:val="auto"/>
              </w:rPr>
            </w:pPr>
            <w:r>
              <w:rPr>
                <w:rFonts w:ascii="Arial" w:cs="Arial" w:eastAsia="Arial" w:hAnsi="Arial"/>
                <w:sz w:val="16"/>
                <w:szCs w:val="16"/>
                <w:color w:val="auto"/>
              </w:rPr>
              <w:t>Having board members who meet the SEC definition of a</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660" w:type="dxa"/>
            <w:vAlign w:val="bottom"/>
          </w:tcPr>
          <w:p>
            <w:pPr>
              <w:ind w:left="420"/>
              <w:spacing w:after="0" w:line="182" w:lineRule="exact"/>
              <w:rPr>
                <w:sz w:val="20"/>
                <w:szCs w:val="20"/>
                <w:color w:val="auto"/>
              </w:rPr>
            </w:pPr>
            <w:r>
              <w:rPr>
                <w:rFonts w:ascii="Arial" w:cs="Arial" w:eastAsia="Arial" w:hAnsi="Arial"/>
                <w:sz w:val="16"/>
                <w:szCs w:val="16"/>
                <w:color w:val="auto"/>
              </w:rPr>
              <w:t>financial expert helps ensure ACI fulfills its financial,</w:t>
            </w:r>
          </w:p>
        </w:tc>
        <w:tc>
          <w:tcPr>
            <w:tcW w:w="1120" w:type="dxa"/>
            <w:vAlign w:val="bottom"/>
          </w:tcPr>
          <w:p>
            <w:pPr>
              <w:jc w:val="center"/>
              <w:ind w:left="102"/>
              <w:spacing w:after="0" w:line="182"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60" w:type="dxa"/>
            <w:vAlign w:val="bottom"/>
            <w:tcBorders>
              <w:bottom w:val="single" w:sz="8" w:color="284993"/>
            </w:tcBorders>
          </w:tcPr>
          <w:p>
            <w:pPr>
              <w:spacing w:after="0"/>
              <w:rPr>
                <w:sz w:val="16"/>
                <w:szCs w:val="16"/>
                <w:color w:val="auto"/>
              </w:rPr>
            </w:pPr>
          </w:p>
        </w:tc>
        <w:tc>
          <w:tcPr>
            <w:tcW w:w="4660" w:type="dxa"/>
            <w:vAlign w:val="bottom"/>
            <w:tcBorders>
              <w:bottom w:val="single" w:sz="8" w:color="284993"/>
            </w:tcBorders>
          </w:tcPr>
          <w:p>
            <w:pPr>
              <w:ind w:left="420"/>
              <w:spacing w:after="0"/>
              <w:rPr>
                <w:sz w:val="20"/>
                <w:szCs w:val="20"/>
                <w:color w:val="auto"/>
              </w:rPr>
            </w:pPr>
            <w:r>
              <w:rPr>
                <w:rFonts w:ascii="Arial" w:cs="Arial" w:eastAsia="Arial" w:hAnsi="Arial"/>
                <w:sz w:val="16"/>
                <w:szCs w:val="16"/>
                <w:color w:val="auto"/>
              </w:rPr>
              <w:t>accounting and reporting obligations.</w:t>
            </w:r>
          </w:p>
        </w:tc>
        <w:tc>
          <w:tcPr>
            <w:tcW w:w="1120" w:type="dxa"/>
            <w:vAlign w:val="bottom"/>
            <w:tcBorders>
              <w:bottom w:val="single" w:sz="8" w:color="284993"/>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60" w:type="dxa"/>
            <w:vAlign w:val="bottom"/>
          </w:tcPr>
          <w:p>
            <w:pPr>
              <w:ind w:left="80"/>
              <w:spacing w:after="0" w:line="163" w:lineRule="exact"/>
              <w:rPr>
                <w:sz w:val="20"/>
                <w:szCs w:val="20"/>
                <w:color w:val="auto"/>
              </w:rPr>
            </w:pPr>
            <w:r>
              <w:rPr>
                <w:rFonts w:ascii="Arial" w:cs="Arial" w:eastAsia="Arial" w:hAnsi="Arial"/>
                <w:sz w:val="17"/>
                <w:szCs w:val="17"/>
                <w:b w:val="1"/>
                <w:bCs w:val="1"/>
                <w:color w:val="284993"/>
              </w:rPr>
              <w:t>•  Financial Management Experience</w:t>
            </w:r>
          </w:p>
        </w:tc>
        <w:tc>
          <w:tcPr>
            <w:tcW w:w="4660" w:type="dxa"/>
            <w:vAlign w:val="bottom"/>
          </w:tcPr>
          <w:p>
            <w:pPr>
              <w:ind w:left="420"/>
              <w:spacing w:after="0" w:line="163" w:lineRule="exact"/>
              <w:rPr>
                <w:sz w:val="20"/>
                <w:szCs w:val="20"/>
                <w:color w:val="auto"/>
              </w:rPr>
            </w:pPr>
            <w:r>
              <w:rPr>
                <w:rFonts w:ascii="Arial" w:cs="Arial" w:eastAsia="Arial" w:hAnsi="Arial"/>
                <w:sz w:val="16"/>
                <w:szCs w:val="16"/>
                <w:color w:val="auto"/>
              </w:rPr>
              <w:t>ACI’s business involves long-term contracts with significant</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660" w:type="dxa"/>
            <w:vAlign w:val="bottom"/>
          </w:tcPr>
          <w:p>
            <w:pPr>
              <w:ind w:left="420"/>
              <w:spacing w:after="0" w:line="182" w:lineRule="exact"/>
              <w:rPr>
                <w:sz w:val="20"/>
                <w:szCs w:val="20"/>
                <w:color w:val="auto"/>
              </w:rPr>
            </w:pPr>
            <w:r>
              <w:rPr>
                <w:rFonts w:ascii="Arial" w:cs="Arial" w:eastAsia="Arial" w:hAnsi="Arial"/>
                <w:sz w:val="16"/>
                <w:szCs w:val="16"/>
                <w:color w:val="auto"/>
              </w:rPr>
              <w:t>economic value. ACI’s capital structure is important to the</w:t>
            </w:r>
          </w:p>
        </w:tc>
        <w:tc>
          <w:tcPr>
            <w:tcW w:w="1120" w:type="dxa"/>
            <w:vAlign w:val="bottom"/>
          </w:tcPr>
          <w:p>
            <w:pPr>
              <w:jc w:val="center"/>
              <w:ind w:left="102"/>
              <w:spacing w:after="0" w:line="182"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60" w:type="dxa"/>
            <w:vAlign w:val="bottom"/>
            <w:tcBorders>
              <w:bottom w:val="single" w:sz="8" w:color="284993"/>
            </w:tcBorders>
          </w:tcPr>
          <w:p>
            <w:pPr>
              <w:spacing w:after="0"/>
              <w:rPr>
                <w:sz w:val="16"/>
                <w:szCs w:val="16"/>
                <w:color w:val="auto"/>
              </w:rPr>
            </w:pPr>
          </w:p>
        </w:tc>
        <w:tc>
          <w:tcPr>
            <w:tcW w:w="4660" w:type="dxa"/>
            <w:vAlign w:val="bottom"/>
            <w:tcBorders>
              <w:bottom w:val="single" w:sz="8" w:color="284993"/>
            </w:tcBorders>
          </w:tcPr>
          <w:p>
            <w:pPr>
              <w:ind w:left="420"/>
              <w:spacing w:after="0"/>
              <w:rPr>
                <w:sz w:val="20"/>
                <w:szCs w:val="20"/>
                <w:color w:val="auto"/>
              </w:rPr>
            </w:pPr>
            <w:r>
              <w:rPr>
                <w:rFonts w:ascii="Arial" w:cs="Arial" w:eastAsia="Arial" w:hAnsi="Arial"/>
                <w:sz w:val="16"/>
                <w:szCs w:val="16"/>
                <w:color w:val="auto"/>
              </w:rPr>
              <w:t>achievement of its long-term financial goals.</w:t>
            </w:r>
          </w:p>
        </w:tc>
        <w:tc>
          <w:tcPr>
            <w:tcW w:w="1120" w:type="dxa"/>
            <w:vAlign w:val="bottom"/>
            <w:tcBorders>
              <w:bottom w:val="single" w:sz="8" w:color="284993"/>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60" w:type="dxa"/>
            <w:vAlign w:val="bottom"/>
          </w:tcPr>
          <w:p>
            <w:pPr>
              <w:ind w:left="80"/>
              <w:spacing w:after="0" w:line="169" w:lineRule="exact"/>
              <w:rPr>
                <w:sz w:val="20"/>
                <w:szCs w:val="20"/>
                <w:color w:val="auto"/>
              </w:rPr>
            </w:pPr>
            <w:r>
              <w:rPr>
                <w:rFonts w:ascii="Arial" w:cs="Arial" w:eastAsia="Arial" w:hAnsi="Arial"/>
                <w:sz w:val="17"/>
                <w:szCs w:val="17"/>
                <w:b w:val="1"/>
                <w:bCs w:val="1"/>
                <w:color w:val="284993"/>
              </w:rPr>
              <w:t>•  Executive Leadership of a Complex</w:t>
            </w:r>
          </w:p>
        </w:tc>
        <w:tc>
          <w:tcPr>
            <w:tcW w:w="4660" w:type="dxa"/>
            <w:vAlign w:val="bottom"/>
          </w:tcPr>
          <w:p>
            <w:pPr>
              <w:ind w:left="420"/>
              <w:spacing w:after="0" w:line="169" w:lineRule="exact"/>
              <w:rPr>
                <w:sz w:val="20"/>
                <w:szCs w:val="20"/>
                <w:color w:val="auto"/>
              </w:rPr>
            </w:pPr>
            <w:r>
              <w:rPr>
                <w:rFonts w:ascii="Arial" w:cs="Arial" w:eastAsia="Arial" w:hAnsi="Arial"/>
                <w:sz w:val="16"/>
                <w:szCs w:val="16"/>
                <w:color w:val="auto"/>
              </w:rPr>
              <w:t>Senior leadership experience provides perspective on</w:t>
            </w:r>
          </w:p>
        </w:tc>
        <w:tc>
          <w:tcPr>
            <w:tcW w:w="1120" w:type="dxa"/>
            <w:vAlign w:val="bottom"/>
            <w:vMerge w:val="restart"/>
          </w:tcPr>
          <w:p>
            <w:pPr>
              <w:jc w:val="center"/>
              <w:ind w:left="102"/>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560" w:type="dxa"/>
            <w:vAlign w:val="bottom"/>
            <w:vMerge w:val="restart"/>
          </w:tcPr>
          <w:p>
            <w:pPr>
              <w:ind w:left="240"/>
              <w:spacing w:after="0"/>
              <w:rPr>
                <w:sz w:val="20"/>
                <w:szCs w:val="20"/>
                <w:color w:val="auto"/>
              </w:rPr>
            </w:pPr>
            <w:r>
              <w:rPr>
                <w:rFonts w:ascii="Arial" w:cs="Arial" w:eastAsia="Arial" w:hAnsi="Arial"/>
                <w:sz w:val="17"/>
                <w:szCs w:val="17"/>
                <w:b w:val="1"/>
                <w:bCs w:val="1"/>
                <w:color w:val="284993"/>
              </w:rPr>
              <w:t>Business</w:t>
            </w:r>
          </w:p>
        </w:tc>
        <w:tc>
          <w:tcPr>
            <w:tcW w:w="4660" w:type="dxa"/>
            <w:vAlign w:val="bottom"/>
            <w:vMerge w:val="restart"/>
          </w:tcPr>
          <w:p>
            <w:pPr>
              <w:ind w:left="420"/>
              <w:spacing w:after="0"/>
              <w:rPr>
                <w:sz w:val="20"/>
                <w:szCs w:val="20"/>
                <w:color w:val="auto"/>
              </w:rPr>
            </w:pPr>
            <w:r>
              <w:rPr>
                <w:rFonts w:ascii="Arial" w:cs="Arial" w:eastAsia="Arial" w:hAnsi="Arial"/>
                <w:sz w:val="16"/>
                <w:szCs w:val="16"/>
                <w:color w:val="auto"/>
              </w:rPr>
              <w:t>business matters.</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560" w:type="dxa"/>
            <w:vAlign w:val="bottom"/>
            <w:tcBorders>
              <w:bottom w:val="single" w:sz="8" w:color="284993"/>
            </w:tcBorders>
            <w:vMerge w:val="continue"/>
          </w:tcPr>
          <w:p>
            <w:pPr>
              <w:spacing w:after="0"/>
              <w:rPr>
                <w:sz w:val="8"/>
                <w:szCs w:val="8"/>
                <w:color w:val="auto"/>
              </w:rPr>
            </w:pPr>
          </w:p>
        </w:tc>
        <w:tc>
          <w:tcPr>
            <w:tcW w:w="4660" w:type="dxa"/>
            <w:vAlign w:val="bottom"/>
            <w:tcBorders>
              <w:bottom w:val="single" w:sz="8" w:color="284993"/>
            </w:tcBorders>
            <w:vMerge w:val="continue"/>
          </w:tcPr>
          <w:p>
            <w:pPr>
              <w:spacing w:after="0"/>
              <w:rPr>
                <w:sz w:val="8"/>
                <w:szCs w:val="8"/>
                <w:color w:val="auto"/>
              </w:rPr>
            </w:pPr>
          </w:p>
        </w:tc>
        <w:tc>
          <w:tcPr>
            <w:tcW w:w="1120" w:type="dxa"/>
            <w:vAlign w:val="bottom"/>
            <w:tcBorders>
              <w:bottom w:val="single" w:sz="8" w:color="284993"/>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60" w:type="dxa"/>
            <w:vAlign w:val="bottom"/>
          </w:tcPr>
          <w:p>
            <w:pPr>
              <w:ind w:left="80"/>
              <w:spacing w:after="0" w:line="163" w:lineRule="exact"/>
              <w:rPr>
                <w:sz w:val="20"/>
                <w:szCs w:val="20"/>
                <w:color w:val="auto"/>
              </w:rPr>
            </w:pPr>
            <w:r>
              <w:rPr>
                <w:rFonts w:ascii="Arial" w:cs="Arial" w:eastAsia="Arial" w:hAnsi="Arial"/>
                <w:sz w:val="17"/>
                <w:szCs w:val="17"/>
                <w:b w:val="1"/>
                <w:bCs w:val="1"/>
                <w:color w:val="284993"/>
              </w:rPr>
              <w:t>•  Technology and Innovation</w:t>
            </w:r>
          </w:p>
        </w:tc>
        <w:tc>
          <w:tcPr>
            <w:tcW w:w="4660" w:type="dxa"/>
            <w:vAlign w:val="bottom"/>
          </w:tcPr>
          <w:p>
            <w:pPr>
              <w:ind w:left="420"/>
              <w:spacing w:after="0" w:line="163" w:lineRule="exact"/>
              <w:rPr>
                <w:sz w:val="20"/>
                <w:szCs w:val="20"/>
                <w:color w:val="auto"/>
              </w:rPr>
            </w:pPr>
            <w:r>
              <w:rPr>
                <w:rFonts w:ascii="Arial" w:cs="Arial" w:eastAsia="Arial" w:hAnsi="Arial"/>
                <w:sz w:val="16"/>
                <w:szCs w:val="16"/>
                <w:color w:val="auto"/>
              </w:rPr>
              <w:t>Ensuring that ACI’s products are positioned to meet the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60" w:type="dxa"/>
            <w:vAlign w:val="bottom"/>
          </w:tcPr>
          <w:p>
            <w:pPr>
              <w:ind w:left="240"/>
              <w:spacing w:after="0" w:line="182" w:lineRule="exact"/>
              <w:rPr>
                <w:sz w:val="20"/>
                <w:szCs w:val="20"/>
                <w:color w:val="auto"/>
              </w:rPr>
            </w:pPr>
            <w:r>
              <w:rPr>
                <w:rFonts w:ascii="Arial" w:cs="Arial" w:eastAsia="Arial" w:hAnsi="Arial"/>
                <w:sz w:val="17"/>
                <w:szCs w:val="17"/>
                <w:b w:val="1"/>
                <w:bCs w:val="1"/>
                <w:color w:val="284993"/>
              </w:rPr>
              <w:t>Experience</w:t>
            </w:r>
          </w:p>
        </w:tc>
        <w:tc>
          <w:tcPr>
            <w:tcW w:w="4660" w:type="dxa"/>
            <w:vAlign w:val="bottom"/>
          </w:tcPr>
          <w:p>
            <w:pPr>
              <w:ind w:left="420"/>
              <w:spacing w:after="0" w:line="182" w:lineRule="exact"/>
              <w:rPr>
                <w:sz w:val="20"/>
                <w:szCs w:val="20"/>
                <w:color w:val="auto"/>
              </w:rPr>
            </w:pPr>
            <w:r>
              <w:rPr>
                <w:rFonts w:ascii="Arial" w:cs="Arial" w:eastAsia="Arial" w:hAnsi="Arial"/>
                <w:sz w:val="16"/>
                <w:szCs w:val="16"/>
                <w:color w:val="auto"/>
              </w:rPr>
              <w:t>demands of an evolving payments industry is critical to</w:t>
            </w:r>
          </w:p>
        </w:tc>
        <w:tc>
          <w:tcPr>
            <w:tcW w:w="1120" w:type="dxa"/>
            <w:vAlign w:val="bottom"/>
          </w:tcPr>
          <w:p>
            <w:pPr>
              <w:jc w:val="center"/>
              <w:ind w:left="102"/>
              <w:spacing w:after="0" w:line="182"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60" w:type="dxa"/>
            <w:vAlign w:val="bottom"/>
            <w:tcBorders>
              <w:bottom w:val="single" w:sz="8" w:color="284993"/>
            </w:tcBorders>
          </w:tcPr>
          <w:p>
            <w:pPr>
              <w:spacing w:after="0"/>
              <w:rPr>
                <w:sz w:val="16"/>
                <w:szCs w:val="16"/>
                <w:color w:val="auto"/>
              </w:rPr>
            </w:pPr>
          </w:p>
        </w:tc>
        <w:tc>
          <w:tcPr>
            <w:tcW w:w="4660" w:type="dxa"/>
            <w:vAlign w:val="bottom"/>
            <w:tcBorders>
              <w:bottom w:val="single" w:sz="8" w:color="284993"/>
            </w:tcBorders>
          </w:tcPr>
          <w:p>
            <w:pPr>
              <w:ind w:left="420"/>
              <w:spacing w:after="0"/>
              <w:rPr>
                <w:sz w:val="20"/>
                <w:szCs w:val="20"/>
                <w:color w:val="auto"/>
              </w:rPr>
            </w:pPr>
            <w:r>
              <w:rPr>
                <w:rFonts w:ascii="Arial" w:cs="Arial" w:eastAsia="Arial" w:hAnsi="Arial"/>
                <w:sz w:val="16"/>
                <w:szCs w:val="16"/>
                <w:color w:val="auto"/>
              </w:rPr>
              <w:t>ACI’s future success.</w:t>
            </w:r>
          </w:p>
        </w:tc>
        <w:tc>
          <w:tcPr>
            <w:tcW w:w="1120" w:type="dxa"/>
            <w:vAlign w:val="bottom"/>
            <w:tcBorders>
              <w:bottom w:val="single" w:sz="8" w:color="284993"/>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60" w:type="dxa"/>
            <w:vAlign w:val="bottom"/>
          </w:tcPr>
          <w:p>
            <w:pPr>
              <w:ind w:left="80"/>
              <w:spacing w:after="0" w:line="163" w:lineRule="exact"/>
              <w:rPr>
                <w:sz w:val="20"/>
                <w:szCs w:val="20"/>
                <w:color w:val="auto"/>
              </w:rPr>
            </w:pPr>
            <w:r>
              <w:rPr>
                <w:rFonts w:ascii="Arial" w:cs="Arial" w:eastAsia="Arial" w:hAnsi="Arial"/>
                <w:sz w:val="17"/>
                <w:szCs w:val="17"/>
                <w:b w:val="1"/>
                <w:bCs w:val="1"/>
                <w:color w:val="284993"/>
              </w:rPr>
              <w:t>•  Risk and Regulatory Experience</w:t>
            </w:r>
          </w:p>
        </w:tc>
        <w:tc>
          <w:tcPr>
            <w:tcW w:w="4660" w:type="dxa"/>
            <w:vAlign w:val="bottom"/>
          </w:tcPr>
          <w:p>
            <w:pPr>
              <w:ind w:left="420"/>
              <w:spacing w:after="0" w:line="163" w:lineRule="exact"/>
              <w:rPr>
                <w:sz w:val="20"/>
                <w:szCs w:val="20"/>
                <w:color w:val="auto"/>
              </w:rPr>
            </w:pPr>
            <w:r>
              <w:rPr>
                <w:rFonts w:ascii="Arial" w:cs="Arial" w:eastAsia="Arial" w:hAnsi="Arial"/>
                <w:sz w:val="16"/>
                <w:szCs w:val="16"/>
                <w:color w:val="auto"/>
              </w:rPr>
              <w:t>The Board’s responsibilities include understanding and</w:t>
            </w:r>
          </w:p>
        </w:tc>
        <w:tc>
          <w:tcPr>
            <w:tcW w:w="1120" w:type="dxa"/>
            <w:vAlign w:val="bottom"/>
            <w:vMerge w:val="restart"/>
          </w:tcPr>
          <w:p>
            <w:pPr>
              <w:jc w:val="center"/>
              <w:ind w:left="102"/>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660" w:type="dxa"/>
            <w:vAlign w:val="bottom"/>
            <w:vMerge w:val="restart"/>
          </w:tcPr>
          <w:p>
            <w:pPr>
              <w:ind w:left="420"/>
              <w:spacing w:after="0"/>
              <w:rPr>
                <w:sz w:val="20"/>
                <w:szCs w:val="20"/>
                <w:color w:val="auto"/>
              </w:rPr>
            </w:pPr>
            <w:r>
              <w:rPr>
                <w:rFonts w:ascii="Arial" w:cs="Arial" w:eastAsia="Arial" w:hAnsi="Arial"/>
                <w:sz w:val="16"/>
                <w:szCs w:val="16"/>
                <w:color w:val="auto"/>
              </w:rPr>
              <w:t>overseeing the various risks facing ACI.</w:t>
            </w: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560" w:type="dxa"/>
            <w:vAlign w:val="bottom"/>
            <w:tcBorders>
              <w:bottom w:val="single" w:sz="8" w:color="284993"/>
            </w:tcBorders>
          </w:tcPr>
          <w:p>
            <w:pPr>
              <w:spacing w:after="0"/>
              <w:rPr>
                <w:sz w:val="6"/>
                <w:szCs w:val="6"/>
                <w:color w:val="auto"/>
              </w:rPr>
            </w:pPr>
          </w:p>
        </w:tc>
        <w:tc>
          <w:tcPr>
            <w:tcW w:w="4660" w:type="dxa"/>
            <w:vAlign w:val="bottom"/>
            <w:tcBorders>
              <w:bottom w:val="single" w:sz="8" w:color="284993"/>
            </w:tcBorders>
            <w:vMerge w:val="continue"/>
          </w:tcPr>
          <w:p>
            <w:pPr>
              <w:spacing w:after="0"/>
              <w:rPr>
                <w:sz w:val="6"/>
                <w:szCs w:val="6"/>
                <w:color w:val="auto"/>
              </w:rPr>
            </w:pPr>
          </w:p>
        </w:tc>
        <w:tc>
          <w:tcPr>
            <w:tcW w:w="1120" w:type="dxa"/>
            <w:vAlign w:val="bottom"/>
            <w:tcBorders>
              <w:bottom w:val="single" w:sz="8" w:color="284993"/>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60" w:type="dxa"/>
            <w:vAlign w:val="bottom"/>
          </w:tcPr>
          <w:p>
            <w:pPr>
              <w:ind w:left="80"/>
              <w:spacing w:after="0" w:line="163" w:lineRule="exact"/>
              <w:rPr>
                <w:sz w:val="20"/>
                <w:szCs w:val="20"/>
                <w:color w:val="auto"/>
              </w:rPr>
            </w:pPr>
            <w:r>
              <w:rPr>
                <w:rFonts w:ascii="Arial" w:cs="Arial" w:eastAsia="Arial" w:hAnsi="Arial"/>
                <w:sz w:val="17"/>
                <w:szCs w:val="17"/>
                <w:b w:val="1"/>
                <w:bCs w:val="1"/>
                <w:color w:val="284993"/>
              </w:rPr>
              <w:t>•  International Experience</w:t>
            </w:r>
          </w:p>
        </w:tc>
        <w:tc>
          <w:tcPr>
            <w:tcW w:w="4660" w:type="dxa"/>
            <w:vAlign w:val="bottom"/>
          </w:tcPr>
          <w:p>
            <w:pPr>
              <w:ind w:left="420"/>
              <w:spacing w:after="0" w:line="163" w:lineRule="exact"/>
              <w:rPr>
                <w:sz w:val="20"/>
                <w:szCs w:val="20"/>
                <w:color w:val="auto"/>
              </w:rPr>
            </w:pPr>
            <w:r>
              <w:rPr>
                <w:rFonts w:ascii="Arial" w:cs="Arial" w:eastAsia="Arial" w:hAnsi="Arial"/>
                <w:sz w:val="16"/>
                <w:szCs w:val="16"/>
                <w:color w:val="auto"/>
              </w:rPr>
              <w:t>ACI serves customers in more than 95 countries on six</w:t>
            </w:r>
          </w:p>
        </w:tc>
        <w:tc>
          <w:tcPr>
            <w:tcW w:w="1120" w:type="dxa"/>
            <w:vAlign w:val="bottom"/>
            <w:vMerge w:val="restart"/>
          </w:tcPr>
          <w:p>
            <w:pPr>
              <w:jc w:val="center"/>
              <w:ind w:left="102"/>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660" w:type="dxa"/>
            <w:vAlign w:val="bottom"/>
            <w:vMerge w:val="restart"/>
          </w:tcPr>
          <w:p>
            <w:pPr>
              <w:ind w:left="420"/>
              <w:spacing w:after="0"/>
              <w:rPr>
                <w:sz w:val="20"/>
                <w:szCs w:val="20"/>
                <w:color w:val="auto"/>
              </w:rPr>
            </w:pPr>
            <w:r>
              <w:rPr>
                <w:rFonts w:ascii="Arial" w:cs="Arial" w:eastAsia="Arial" w:hAnsi="Arial"/>
                <w:sz w:val="16"/>
                <w:szCs w:val="16"/>
                <w:color w:val="auto"/>
              </w:rPr>
              <w:t>continents.</w:t>
            </w: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560" w:type="dxa"/>
            <w:vAlign w:val="bottom"/>
            <w:tcBorders>
              <w:bottom w:val="single" w:sz="8" w:color="284993"/>
            </w:tcBorders>
          </w:tcPr>
          <w:p>
            <w:pPr>
              <w:spacing w:after="0"/>
              <w:rPr>
                <w:sz w:val="6"/>
                <w:szCs w:val="6"/>
                <w:color w:val="auto"/>
              </w:rPr>
            </w:pPr>
          </w:p>
        </w:tc>
        <w:tc>
          <w:tcPr>
            <w:tcW w:w="4660" w:type="dxa"/>
            <w:vAlign w:val="bottom"/>
            <w:tcBorders>
              <w:bottom w:val="single" w:sz="8" w:color="284993"/>
            </w:tcBorders>
            <w:vMerge w:val="continue"/>
          </w:tcPr>
          <w:p>
            <w:pPr>
              <w:spacing w:after="0"/>
              <w:rPr>
                <w:sz w:val="6"/>
                <w:szCs w:val="6"/>
                <w:color w:val="auto"/>
              </w:rPr>
            </w:pPr>
          </w:p>
        </w:tc>
        <w:tc>
          <w:tcPr>
            <w:tcW w:w="1120" w:type="dxa"/>
            <w:vAlign w:val="bottom"/>
            <w:tcBorders>
              <w:bottom w:val="single" w:sz="8" w:color="284993"/>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7460"/>
        <w:spacing w:after="0"/>
        <w:rPr>
          <w:sz w:val="20"/>
          <w:szCs w:val="20"/>
          <w:color w:val="auto"/>
        </w:rPr>
      </w:pPr>
      <w:r>
        <w:rPr>
          <w:rFonts w:ascii="Arial" w:cs="Arial" w:eastAsia="Arial" w:hAnsi="Arial"/>
          <w:sz w:val="13"/>
          <w:szCs w:val="13"/>
          <w:color w:val="auto"/>
        </w:rPr>
        <w:t>2024 PROXY STATEMENT</w:t>
      </w:r>
      <w:r>
        <w:rPr>
          <w:rFonts w:ascii="Arial" w:cs="Arial" w:eastAsia="Arial" w:hAnsi="Arial"/>
          <w:sz w:val="13"/>
          <w:szCs w:val="13"/>
          <w:b w:val="1"/>
          <w:bCs w:val="1"/>
          <w:color w:val="284993"/>
        </w:rPr>
        <w:t xml:space="preserve">  15</w:t>
      </w:r>
    </w:p>
    <w:p>
      <w:pPr>
        <w:sectPr>
          <w:pgSz w:w="11900" w:h="16838" w:orient="portrait"/>
          <w:cols w:equalWidth="0" w:num="1">
            <w:col w:w="9360"/>
          </w:cols>
          <w:pgMar w:left="1260" w:top="286" w:right="1279" w:bottom="1440" w:gutter="0" w:footer="0" w:header="0"/>
        </w:sectPr>
      </w:pPr>
    </w:p>
    <w:bookmarkStart w:id="21" w:name="page22"/>
    <w:bookmarkEnd w:id="21"/>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Director Nominees</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following provides biographical information regarding our director nominees and describes the key skills, experience and expertise that each director nominee brings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5958205" cy="40932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58205" cy="4093210"/>
                    </a:xfrm>
                    <a:prstGeom prst="rect">
                      <a:avLst/>
                    </a:prstGeom>
                    <a:noFill/>
                  </pic:spPr>
                </pic:pic>
              </a:graphicData>
            </a:graphic>
          </wp:anchor>
        </w:drawing>
      </w: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3020" w:type="dxa"/>
            <w:vAlign w:val="bottom"/>
            <w:vMerge w:val="restart"/>
          </w:tcPr>
          <w:p>
            <w:pPr>
              <w:spacing w:after="0"/>
              <w:rPr>
                <w:sz w:val="20"/>
                <w:szCs w:val="20"/>
                <w:color w:val="auto"/>
              </w:rPr>
            </w:pPr>
            <w:r>
              <w:rPr>
                <w:rFonts w:ascii="Arial" w:cs="Arial" w:eastAsia="Arial" w:hAnsi="Arial"/>
                <w:sz w:val="34"/>
                <w:szCs w:val="34"/>
                <w:color w:val="000000"/>
                <w:vertAlign w:val="superscript"/>
              </w:rPr>
              <w:t xml:space="preserve"> </w:t>
            </w:r>
            <w:r>
              <w:rPr>
                <w:rFonts w:ascii="Arial" w:cs="Arial" w:eastAsia="Arial" w:hAnsi="Arial"/>
                <w:sz w:val="24"/>
                <w:szCs w:val="24"/>
                <w:b w:val="1"/>
                <w:bCs w:val="1"/>
                <w:color w:val="284993"/>
              </w:rPr>
              <w:t xml:space="preserve">   Adalio T. Sanchez</w:t>
            </w:r>
          </w:p>
        </w:tc>
        <w:tc>
          <w:tcPr>
            <w:tcW w:w="240" w:type="dxa"/>
            <w:vAlign w:val="bottom"/>
            <w:vMerge w:val="restart"/>
          </w:tcPr>
          <w:p>
            <w:pPr>
              <w:ind w:left="60"/>
              <w:spacing w:after="0"/>
              <w:rPr>
                <w:sz w:val="20"/>
                <w:szCs w:val="20"/>
                <w:color w:val="auto"/>
              </w:rPr>
            </w:pPr>
            <w:r>
              <w:rPr>
                <w:rFonts w:ascii="Arial" w:cs="Arial" w:eastAsia="Arial" w:hAnsi="Arial"/>
                <w:sz w:val="16"/>
                <w:szCs w:val="16"/>
                <w:color w:val="auto"/>
                <w:w w:val="99"/>
              </w:rPr>
              <w:t> </w:t>
            </w:r>
          </w:p>
        </w:tc>
        <w:tc>
          <w:tcPr>
            <w:tcW w:w="20" w:type="dxa"/>
            <w:vAlign w:val="bottom"/>
          </w:tcPr>
          <w:p>
            <w:pPr>
              <w:spacing w:after="0"/>
              <w:rPr>
                <w:sz w:val="14"/>
                <w:szCs w:val="14"/>
                <w:color w:val="auto"/>
              </w:rPr>
            </w:pPr>
          </w:p>
        </w:tc>
        <w:tc>
          <w:tcPr>
            <w:tcW w:w="5760" w:type="dxa"/>
            <w:vAlign w:val="bottom"/>
            <w:gridSpan w:val="2"/>
            <w:vMerge w:val="restart"/>
          </w:tcPr>
          <w:p>
            <w:pPr>
              <w:ind w:left="100"/>
              <w:spacing w:after="0"/>
              <w:rPr>
                <w:sz w:val="20"/>
                <w:szCs w:val="20"/>
                <w:color w:val="auto"/>
              </w:rPr>
            </w:pPr>
            <w:r>
              <w:rPr>
                <w:rFonts w:ascii="Arial" w:cs="Arial" w:eastAsia="Arial" w:hAnsi="Arial"/>
                <w:sz w:val="16"/>
                <w:szCs w:val="16"/>
                <w:b w:val="1"/>
                <w:bCs w:val="1"/>
                <w:i w:val="1"/>
                <w:iCs w:val="1"/>
                <w:color w:val="auto"/>
              </w:rPr>
              <w:t>Current Roles</w:t>
            </w:r>
          </w:p>
        </w:tc>
        <w:tc>
          <w:tcPr>
            <w:tcW w:w="0" w:type="dxa"/>
            <w:vAlign w:val="bottom"/>
          </w:tcPr>
          <w:p>
            <w:pPr>
              <w:spacing w:after="0"/>
              <w:rPr>
                <w:sz w:val="1"/>
                <w:szCs w:val="1"/>
                <w:color w:val="auto"/>
              </w:rPr>
            </w:pPr>
          </w:p>
        </w:tc>
      </w:tr>
      <w:tr>
        <w:trPr>
          <w:trHeight w:val="221"/>
        </w:trPr>
        <w:tc>
          <w:tcPr>
            <w:tcW w:w="30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0" w:type="dxa"/>
            <w:vAlign w:val="bottom"/>
            <w:shd w:val="clear" w:color="auto" w:fill="284993"/>
          </w:tcPr>
          <w:p>
            <w:pPr>
              <w:spacing w:after="0"/>
              <w:rPr>
                <w:sz w:val="19"/>
                <w:szCs w:val="19"/>
                <w:color w:val="auto"/>
              </w:rPr>
            </w:pPr>
          </w:p>
        </w:tc>
        <w:tc>
          <w:tcPr>
            <w:tcW w:w="5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3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shd w:val="clear" w:color="auto" w:fill="284993"/>
          </w:tcPr>
          <w:p>
            <w:pPr>
              <w:spacing w:after="0"/>
              <w:rPr>
                <w:sz w:val="11"/>
                <w:szCs w:val="11"/>
                <w:color w:val="auto"/>
              </w:rPr>
            </w:pPr>
          </w:p>
        </w:tc>
        <w:tc>
          <w:tcPr>
            <w:tcW w:w="5760" w:type="dxa"/>
            <w:vAlign w:val="bottom"/>
            <w:gridSpan w:val="2"/>
          </w:tcPr>
          <w:p>
            <w:pPr>
              <w:ind w:left="100"/>
              <w:spacing w:after="0" w:line="131" w:lineRule="exact"/>
              <w:rPr>
                <w:sz w:val="20"/>
                <w:szCs w:val="20"/>
                <w:color w:val="auto"/>
              </w:rPr>
            </w:pPr>
            <w:r>
              <w:rPr>
                <w:rFonts w:ascii="Arial" w:cs="Arial" w:eastAsia="Arial" w:hAnsi="Arial"/>
                <w:sz w:val="14"/>
                <w:szCs w:val="14"/>
                <w:color w:val="auto"/>
              </w:rPr>
              <w:t>•  Chairman of the Board of ACI Worldwide, Inc.</w:t>
            </w:r>
          </w:p>
        </w:tc>
        <w:tc>
          <w:tcPr>
            <w:tcW w:w="0" w:type="dxa"/>
            <w:vAlign w:val="bottom"/>
          </w:tcPr>
          <w:p>
            <w:pPr>
              <w:spacing w:after="0"/>
              <w:rPr>
                <w:sz w:val="1"/>
                <w:szCs w:val="1"/>
                <w:color w:val="auto"/>
              </w:rPr>
            </w:pPr>
          </w:p>
        </w:tc>
      </w:tr>
      <w:tr>
        <w:trPr>
          <w:trHeight w:val="182"/>
        </w:trPr>
        <w:tc>
          <w:tcPr>
            <w:tcW w:w="302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64</w:t>
            </w:r>
          </w:p>
        </w:tc>
        <w:tc>
          <w:tcPr>
            <w:tcW w:w="24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5760" w:type="dxa"/>
            <w:vAlign w:val="bottom"/>
            <w:gridSpan w:val="2"/>
          </w:tcPr>
          <w:p>
            <w:pPr>
              <w:ind w:left="100"/>
              <w:spacing w:after="0" w:line="182" w:lineRule="exact"/>
              <w:rPr>
                <w:sz w:val="20"/>
                <w:szCs w:val="20"/>
                <w:color w:val="auto"/>
              </w:rPr>
            </w:pPr>
            <w:r>
              <w:rPr>
                <w:rFonts w:ascii="Arial" w:cs="Arial" w:eastAsia="Arial" w:hAnsi="Arial"/>
                <w:sz w:val="16"/>
                <w:szCs w:val="16"/>
                <w:color w:val="auto"/>
                <w:w w:val="98"/>
              </w:rPr>
              <w:t>•  Serves as a Director of Avnet, Inc., a global electronic components distribution</w:t>
            </w:r>
          </w:p>
        </w:tc>
        <w:tc>
          <w:tcPr>
            <w:tcW w:w="0" w:type="dxa"/>
            <w:vAlign w:val="bottom"/>
          </w:tcPr>
          <w:p>
            <w:pPr>
              <w:spacing w:after="0"/>
              <w:rPr>
                <w:sz w:val="1"/>
                <w:szCs w:val="1"/>
                <w:color w:val="auto"/>
              </w:rPr>
            </w:pPr>
          </w:p>
        </w:tc>
      </w:tr>
      <w:tr>
        <w:trPr>
          <w:trHeight w:val="155"/>
        </w:trPr>
        <w:tc>
          <w:tcPr>
            <w:tcW w:w="30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shd w:val="clear" w:color="auto" w:fill="284993"/>
          </w:tcPr>
          <w:p>
            <w:pPr>
              <w:spacing w:after="0"/>
              <w:rPr>
                <w:sz w:val="13"/>
                <w:szCs w:val="13"/>
                <w:color w:val="auto"/>
              </w:rPr>
            </w:pPr>
          </w:p>
        </w:tc>
        <w:tc>
          <w:tcPr>
            <w:tcW w:w="100" w:type="dxa"/>
            <w:vAlign w:val="bottom"/>
          </w:tcPr>
          <w:p>
            <w:pPr>
              <w:spacing w:after="0"/>
              <w:rPr>
                <w:sz w:val="13"/>
                <w:szCs w:val="13"/>
                <w:color w:val="auto"/>
              </w:rPr>
            </w:pPr>
          </w:p>
        </w:tc>
        <w:tc>
          <w:tcPr>
            <w:tcW w:w="5660" w:type="dxa"/>
            <w:vAlign w:val="bottom"/>
          </w:tcPr>
          <w:p>
            <w:pPr>
              <w:ind w:left="140"/>
              <w:spacing w:after="0" w:line="155" w:lineRule="exact"/>
              <w:rPr>
                <w:sz w:val="20"/>
                <w:szCs w:val="20"/>
                <w:color w:val="auto"/>
              </w:rPr>
            </w:pPr>
            <w:r>
              <w:rPr>
                <w:rFonts w:ascii="Arial" w:cs="Arial" w:eastAsia="Arial" w:hAnsi="Arial"/>
                <w:sz w:val="16"/>
                <w:szCs w:val="16"/>
                <w:color w:val="auto"/>
              </w:rPr>
              <w:t>and technology solutions company</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w:t>
            </w:r>
          </w:p>
        </w:tc>
        <w:tc>
          <w:tcPr>
            <w:tcW w:w="240" w:type="dxa"/>
            <w:vAlign w:val="bottom"/>
          </w:tcPr>
          <w:p>
            <w:pPr>
              <w:spacing w:after="0"/>
              <w:rPr>
                <w:sz w:val="18"/>
                <w:szCs w:val="18"/>
                <w:color w:val="auto"/>
              </w:rPr>
            </w:pPr>
          </w:p>
        </w:tc>
        <w:tc>
          <w:tcPr>
            <w:tcW w:w="20" w:type="dxa"/>
            <w:vAlign w:val="bottom"/>
            <w:shd w:val="clear" w:color="auto" w:fill="284993"/>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Arial" w:cs="Arial" w:eastAsia="Arial" w:hAnsi="Arial"/>
                <w:sz w:val="16"/>
                <w:szCs w:val="16"/>
                <w:color w:val="auto"/>
              </w:rPr>
              <w:t>•  Serves as a Director of Snap One Holdings, Corp., a smart home technology</w:t>
            </w:r>
          </w:p>
        </w:tc>
        <w:tc>
          <w:tcPr>
            <w:tcW w:w="0" w:type="dxa"/>
            <w:vAlign w:val="bottom"/>
          </w:tcPr>
          <w:p>
            <w:pPr>
              <w:spacing w:after="0"/>
              <w:rPr>
                <w:sz w:val="1"/>
                <w:szCs w:val="1"/>
                <w:color w:val="auto"/>
              </w:rPr>
            </w:pPr>
          </w:p>
        </w:tc>
      </w:tr>
      <w:tr>
        <w:trPr>
          <w:trHeight w:val="182"/>
        </w:trPr>
        <w:tc>
          <w:tcPr>
            <w:tcW w:w="302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Independent</w:t>
            </w:r>
          </w:p>
        </w:tc>
        <w:tc>
          <w:tcPr>
            <w:tcW w:w="24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100" w:type="dxa"/>
            <w:vAlign w:val="bottom"/>
          </w:tcPr>
          <w:p>
            <w:pPr>
              <w:spacing w:after="0"/>
              <w:rPr>
                <w:sz w:val="15"/>
                <w:szCs w:val="15"/>
                <w:color w:val="auto"/>
              </w:rPr>
            </w:pPr>
          </w:p>
        </w:tc>
        <w:tc>
          <w:tcPr>
            <w:tcW w:w="5660" w:type="dxa"/>
            <w:vAlign w:val="bottom"/>
          </w:tcPr>
          <w:p>
            <w:pPr>
              <w:ind w:left="140"/>
              <w:spacing w:after="0" w:line="182" w:lineRule="exact"/>
              <w:rPr>
                <w:sz w:val="20"/>
                <w:szCs w:val="20"/>
                <w:color w:val="auto"/>
              </w:rPr>
            </w:pPr>
            <w:r>
              <w:rPr>
                <w:rFonts w:ascii="Arial" w:cs="Arial" w:eastAsia="Arial" w:hAnsi="Arial"/>
                <w:sz w:val="16"/>
                <w:szCs w:val="16"/>
                <w:color w:val="auto"/>
              </w:rPr>
              <w:t>solutions and distribution company</w:t>
            </w:r>
          </w:p>
        </w:tc>
        <w:tc>
          <w:tcPr>
            <w:tcW w:w="0" w:type="dxa"/>
            <w:vAlign w:val="bottom"/>
          </w:tcPr>
          <w:p>
            <w:pPr>
              <w:spacing w:after="0"/>
              <w:rPr>
                <w:sz w:val="1"/>
                <w:szCs w:val="1"/>
                <w:color w:val="auto"/>
              </w:rPr>
            </w:pPr>
          </w:p>
        </w:tc>
      </w:tr>
      <w:tr>
        <w:trPr>
          <w:trHeight w:val="182"/>
        </w:trPr>
        <w:tc>
          <w:tcPr>
            <w:tcW w:w="30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5760" w:type="dxa"/>
            <w:vAlign w:val="bottom"/>
            <w:gridSpan w:val="2"/>
          </w:tcPr>
          <w:p>
            <w:pPr>
              <w:ind w:left="100"/>
              <w:spacing w:after="0" w:line="182" w:lineRule="exact"/>
              <w:rPr>
                <w:sz w:val="20"/>
                <w:szCs w:val="20"/>
                <w:color w:val="auto"/>
              </w:rPr>
            </w:pPr>
            <w:r>
              <w:rPr>
                <w:rFonts w:ascii="Arial" w:cs="Arial" w:eastAsia="Arial" w:hAnsi="Arial"/>
                <w:sz w:val="16"/>
                <w:szCs w:val="16"/>
                <w:color w:val="auto"/>
              </w:rPr>
              <w:t>•  Member of the Supervisory Board of ASM International N.V., a Dutch</w:t>
            </w: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100" w:type="dxa"/>
            <w:vAlign w:val="bottom"/>
          </w:tcPr>
          <w:p>
            <w:pPr>
              <w:spacing w:after="0"/>
              <w:rPr>
                <w:sz w:val="15"/>
                <w:szCs w:val="15"/>
                <w:color w:val="auto"/>
              </w:rPr>
            </w:pPr>
          </w:p>
        </w:tc>
        <w:tc>
          <w:tcPr>
            <w:tcW w:w="5660" w:type="dxa"/>
            <w:vAlign w:val="bottom"/>
          </w:tcPr>
          <w:p>
            <w:pPr>
              <w:ind w:left="140"/>
              <w:spacing w:after="0" w:line="182" w:lineRule="exact"/>
              <w:rPr>
                <w:sz w:val="20"/>
                <w:szCs w:val="20"/>
                <w:color w:val="auto"/>
              </w:rPr>
            </w:pPr>
            <w:r>
              <w:rPr>
                <w:rFonts w:ascii="Arial" w:cs="Arial" w:eastAsia="Arial" w:hAnsi="Arial"/>
                <w:sz w:val="16"/>
                <w:szCs w:val="16"/>
                <w:color w:val="auto"/>
              </w:rPr>
              <w:t>semiconductor wafer manufacturing process equipment company</w:t>
            </w:r>
          </w:p>
        </w:tc>
        <w:tc>
          <w:tcPr>
            <w:tcW w:w="0" w:type="dxa"/>
            <w:vAlign w:val="bottom"/>
          </w:tcPr>
          <w:p>
            <w:pPr>
              <w:spacing w:after="0"/>
              <w:rPr>
                <w:sz w:val="1"/>
                <w:szCs w:val="1"/>
                <w:color w:val="auto"/>
              </w:rPr>
            </w:pPr>
          </w:p>
        </w:tc>
      </w:tr>
      <w:tr>
        <w:trPr>
          <w:trHeight w:val="194"/>
        </w:trPr>
        <w:tc>
          <w:tcPr>
            <w:tcW w:w="3020" w:type="dxa"/>
            <w:vAlign w:val="bottom"/>
          </w:tcPr>
          <w:p>
            <w:pPr>
              <w:ind w:left="300"/>
              <w:spacing w:after="0"/>
              <w:rPr>
                <w:sz w:val="20"/>
                <w:szCs w:val="20"/>
                <w:color w:val="auto"/>
              </w:rPr>
            </w:pPr>
            <w:r>
              <w:rPr>
                <w:rFonts w:ascii="Arial" w:cs="Arial" w:eastAsia="Arial" w:hAnsi="Arial"/>
                <w:sz w:val="16"/>
                <w:szCs w:val="16"/>
                <w:b w:val="1"/>
                <w:bCs w:val="1"/>
                <w:color w:val="auto"/>
              </w:rPr>
              <w:t xml:space="preserve">Committee Memberships: </w:t>
            </w:r>
            <w:r>
              <w:rPr>
                <w:rFonts w:ascii="Arial" w:cs="Arial" w:eastAsia="Arial" w:hAnsi="Arial"/>
                <w:sz w:val="16"/>
                <w:szCs w:val="16"/>
                <w:color w:val="auto"/>
              </w:rPr>
              <w:t>None,</w:t>
            </w:r>
          </w:p>
        </w:tc>
        <w:tc>
          <w:tcPr>
            <w:tcW w:w="240" w:type="dxa"/>
            <w:vAlign w:val="bottom"/>
          </w:tcPr>
          <w:p>
            <w:pPr>
              <w:spacing w:after="0"/>
              <w:rPr>
                <w:sz w:val="16"/>
                <w:szCs w:val="16"/>
                <w:color w:val="auto"/>
              </w:rPr>
            </w:pPr>
          </w:p>
        </w:tc>
        <w:tc>
          <w:tcPr>
            <w:tcW w:w="20" w:type="dxa"/>
            <w:vAlign w:val="bottom"/>
            <w:shd w:val="clear" w:color="auto" w:fill="284993"/>
          </w:tcPr>
          <w:p>
            <w:pPr>
              <w:spacing w:after="0"/>
              <w:rPr>
                <w:sz w:val="16"/>
                <w:szCs w:val="16"/>
                <w:color w:val="auto"/>
              </w:rPr>
            </w:pPr>
          </w:p>
        </w:tc>
        <w:tc>
          <w:tcPr>
            <w:tcW w:w="5760" w:type="dxa"/>
            <w:vAlign w:val="bottom"/>
            <w:gridSpan w:val="2"/>
          </w:tcPr>
          <w:p>
            <w:pPr>
              <w:ind w:left="100"/>
              <w:spacing w:after="0"/>
              <w:rPr>
                <w:sz w:val="20"/>
                <w:szCs w:val="20"/>
                <w:color w:val="auto"/>
              </w:rPr>
            </w:pPr>
            <w:r>
              <w:rPr>
                <w:rFonts w:ascii="Arial" w:cs="Arial" w:eastAsia="Arial" w:hAnsi="Arial"/>
                <w:sz w:val="16"/>
                <w:szCs w:val="16"/>
                <w:color w:val="auto"/>
                <w:w w:val="97"/>
              </w:rPr>
              <w:t>•  Member of the Board of Trustees of the MITRE Corporation, a not-for-profit firm</w:t>
            </w:r>
          </w:p>
        </w:tc>
        <w:tc>
          <w:tcPr>
            <w:tcW w:w="0" w:type="dxa"/>
            <w:vAlign w:val="bottom"/>
          </w:tcPr>
          <w:p>
            <w:pPr>
              <w:spacing w:after="0"/>
              <w:rPr>
                <w:sz w:val="1"/>
                <w:szCs w:val="1"/>
                <w:color w:val="auto"/>
              </w:rPr>
            </w:pPr>
          </w:p>
        </w:tc>
      </w:tr>
      <w:tr>
        <w:trPr>
          <w:trHeight w:val="182"/>
        </w:trPr>
        <w:tc>
          <w:tcPr>
            <w:tcW w:w="3020" w:type="dxa"/>
            <w:vAlign w:val="bottom"/>
          </w:tcPr>
          <w:p>
            <w:pPr>
              <w:ind w:left="300"/>
              <w:spacing w:after="0" w:line="182" w:lineRule="exact"/>
              <w:rPr>
                <w:sz w:val="20"/>
                <w:szCs w:val="20"/>
                <w:color w:val="auto"/>
              </w:rPr>
            </w:pPr>
            <w:r>
              <w:rPr>
                <w:rFonts w:ascii="Arial" w:cs="Arial" w:eastAsia="Arial" w:hAnsi="Arial"/>
                <w:sz w:val="16"/>
                <w:szCs w:val="16"/>
                <w:color w:val="auto"/>
              </w:rPr>
              <w:t>Chairman of the Board</w:t>
            </w:r>
          </w:p>
        </w:tc>
        <w:tc>
          <w:tcPr>
            <w:tcW w:w="24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100" w:type="dxa"/>
            <w:vAlign w:val="bottom"/>
          </w:tcPr>
          <w:p>
            <w:pPr>
              <w:spacing w:after="0"/>
              <w:rPr>
                <w:sz w:val="15"/>
                <w:szCs w:val="15"/>
                <w:color w:val="auto"/>
              </w:rPr>
            </w:pPr>
          </w:p>
        </w:tc>
        <w:tc>
          <w:tcPr>
            <w:tcW w:w="5660" w:type="dxa"/>
            <w:vAlign w:val="bottom"/>
          </w:tcPr>
          <w:p>
            <w:pPr>
              <w:ind w:left="140"/>
              <w:spacing w:after="0" w:line="182" w:lineRule="exact"/>
              <w:rPr>
                <w:sz w:val="20"/>
                <w:szCs w:val="20"/>
                <w:color w:val="auto"/>
              </w:rPr>
            </w:pPr>
            <w:r>
              <w:rPr>
                <w:rFonts w:ascii="Arial" w:cs="Arial" w:eastAsia="Arial" w:hAnsi="Arial"/>
                <w:sz w:val="16"/>
                <w:szCs w:val="16"/>
                <w:color w:val="auto"/>
              </w:rPr>
              <w:t>that manages federally funded research and development centers supporting</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shd w:val="clear" w:color="auto" w:fill="284993"/>
          </w:tcPr>
          <w:p>
            <w:pPr>
              <w:spacing w:after="0"/>
              <w:rPr>
                <w:sz w:val="14"/>
                <w:szCs w:val="14"/>
                <w:color w:val="auto"/>
              </w:rPr>
            </w:pPr>
          </w:p>
        </w:tc>
        <w:tc>
          <w:tcPr>
            <w:tcW w:w="100" w:type="dxa"/>
            <w:vAlign w:val="bottom"/>
          </w:tcPr>
          <w:p>
            <w:pPr>
              <w:spacing w:after="0"/>
              <w:rPr>
                <w:sz w:val="14"/>
                <w:szCs w:val="14"/>
                <w:color w:val="auto"/>
              </w:rPr>
            </w:pPr>
          </w:p>
        </w:tc>
        <w:tc>
          <w:tcPr>
            <w:tcW w:w="5660" w:type="dxa"/>
            <w:vAlign w:val="bottom"/>
          </w:tcPr>
          <w:p>
            <w:pPr>
              <w:ind w:left="140"/>
              <w:spacing w:after="0" w:line="170" w:lineRule="exact"/>
              <w:rPr>
                <w:sz w:val="20"/>
                <w:szCs w:val="20"/>
                <w:color w:val="auto"/>
              </w:rPr>
            </w:pPr>
            <w:r>
              <w:rPr>
                <w:rFonts w:ascii="Arial" w:cs="Arial" w:eastAsia="Arial" w:hAnsi="Arial"/>
                <w:sz w:val="16"/>
                <w:szCs w:val="16"/>
                <w:color w:val="auto"/>
              </w:rPr>
              <w:t>several U.S. government agencies</w:t>
            </w:r>
          </w:p>
        </w:tc>
        <w:tc>
          <w:tcPr>
            <w:tcW w:w="0" w:type="dxa"/>
            <w:vAlign w:val="bottom"/>
          </w:tcPr>
          <w:p>
            <w:pPr>
              <w:spacing w:after="0"/>
              <w:rPr>
                <w:sz w:val="1"/>
                <w:szCs w:val="1"/>
                <w:color w:val="auto"/>
              </w:rPr>
            </w:pPr>
          </w:p>
        </w:tc>
      </w:tr>
      <w:tr>
        <w:trPr>
          <w:trHeight w:val="205"/>
        </w:trPr>
        <w:tc>
          <w:tcPr>
            <w:tcW w:w="3020" w:type="dxa"/>
            <w:vAlign w:val="bottom"/>
            <w:vMerge w:val="restart"/>
          </w:tcPr>
          <w:p>
            <w:pPr>
              <w:ind w:left="300"/>
              <w:spacing w:after="0"/>
              <w:rPr>
                <w:sz w:val="20"/>
                <w:szCs w:val="20"/>
                <w:color w:val="auto"/>
              </w:rPr>
            </w:pPr>
            <w:r>
              <w:rPr>
                <w:rFonts w:ascii="Arial" w:cs="Arial" w:eastAsia="Arial" w:hAnsi="Arial"/>
                <w:sz w:val="16"/>
                <w:szCs w:val="16"/>
                <w:b w:val="1"/>
                <w:bCs w:val="1"/>
                <w:color w:val="auto"/>
                <w:w w:val="99"/>
              </w:rPr>
              <w:t xml:space="preserve">Other Public Company Boards: </w:t>
            </w:r>
            <w:r>
              <w:rPr>
                <w:rFonts w:ascii="Arial" w:cs="Arial" w:eastAsia="Arial" w:hAnsi="Arial"/>
                <w:sz w:val="16"/>
                <w:szCs w:val="16"/>
                <w:color w:val="auto"/>
                <w:w w:val="99"/>
              </w:rPr>
              <w:t>Two</w:t>
            </w:r>
          </w:p>
        </w:tc>
        <w:tc>
          <w:tcPr>
            <w:tcW w:w="240" w:type="dxa"/>
            <w:vAlign w:val="bottom"/>
          </w:tcPr>
          <w:p>
            <w:pPr>
              <w:spacing w:after="0"/>
              <w:rPr>
                <w:sz w:val="17"/>
                <w:szCs w:val="17"/>
                <w:color w:val="auto"/>
              </w:rPr>
            </w:pPr>
          </w:p>
        </w:tc>
        <w:tc>
          <w:tcPr>
            <w:tcW w:w="20" w:type="dxa"/>
            <w:vAlign w:val="bottom"/>
            <w:shd w:val="clear" w:color="auto" w:fill="284993"/>
          </w:tcPr>
          <w:p>
            <w:pPr>
              <w:spacing w:after="0"/>
              <w:rPr>
                <w:sz w:val="17"/>
                <w:szCs w:val="17"/>
                <w:color w:val="auto"/>
              </w:rPr>
            </w:pPr>
          </w:p>
        </w:tc>
        <w:tc>
          <w:tcPr>
            <w:tcW w:w="5760" w:type="dxa"/>
            <w:vAlign w:val="bottom"/>
            <w:gridSpan w:val="2"/>
          </w:tcPr>
          <w:p>
            <w:pPr>
              <w:ind w:left="100"/>
              <w:spacing w:after="0"/>
              <w:rPr>
                <w:sz w:val="20"/>
                <w:szCs w:val="20"/>
                <w:color w:val="auto"/>
              </w:rPr>
            </w:pPr>
            <w:r>
              <w:rPr>
                <w:rFonts w:ascii="Arial" w:cs="Arial" w:eastAsia="Arial" w:hAnsi="Arial"/>
                <w:sz w:val="16"/>
                <w:szCs w:val="16"/>
                <w:color w:val="auto"/>
              </w:rPr>
              <w:t>•  Serves as a Director of the Florida International University Foundation</w:t>
            </w:r>
          </w:p>
        </w:tc>
        <w:tc>
          <w:tcPr>
            <w:tcW w:w="0" w:type="dxa"/>
            <w:vAlign w:val="bottom"/>
          </w:tcPr>
          <w:p>
            <w:pPr>
              <w:spacing w:after="0"/>
              <w:rPr>
                <w:sz w:val="1"/>
                <w:szCs w:val="1"/>
                <w:color w:val="auto"/>
              </w:rPr>
            </w:pPr>
          </w:p>
        </w:tc>
      </w:tr>
      <w:tr>
        <w:trPr>
          <w:trHeight w:val="86"/>
        </w:trPr>
        <w:tc>
          <w:tcPr>
            <w:tcW w:w="30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shd w:val="clear" w:color="auto" w:fill="284993"/>
          </w:tcPr>
          <w:p>
            <w:pPr>
              <w:spacing w:after="0"/>
              <w:rPr>
                <w:sz w:val="7"/>
                <w:szCs w:val="7"/>
                <w:color w:val="auto"/>
              </w:rPr>
            </w:pPr>
          </w:p>
        </w:tc>
        <w:tc>
          <w:tcPr>
            <w:tcW w:w="100" w:type="dxa"/>
            <w:vAlign w:val="bottom"/>
          </w:tcPr>
          <w:p>
            <w:pPr>
              <w:spacing w:after="0"/>
              <w:rPr>
                <w:sz w:val="7"/>
                <w:szCs w:val="7"/>
                <w:color w:val="auto"/>
              </w:rPr>
            </w:pPr>
          </w:p>
        </w:tc>
        <w:tc>
          <w:tcPr>
            <w:tcW w:w="5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3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Borders>
              <w:bottom w:val="single" w:sz="8" w:color="284993"/>
            </w:tcBorders>
            <w:shd w:val="clear" w:color="auto" w:fill="284993"/>
          </w:tcPr>
          <w:p>
            <w:pPr>
              <w:spacing w:after="0"/>
              <w:rPr>
                <w:sz w:val="7"/>
                <w:szCs w:val="7"/>
                <w:color w:val="auto"/>
              </w:rPr>
            </w:pPr>
          </w:p>
        </w:tc>
        <w:tc>
          <w:tcPr>
            <w:tcW w:w="100" w:type="dxa"/>
            <w:vAlign w:val="bottom"/>
          </w:tcPr>
          <w:p>
            <w:pPr>
              <w:spacing w:after="0"/>
              <w:rPr>
                <w:sz w:val="7"/>
                <w:szCs w:val="7"/>
                <w:color w:val="auto"/>
              </w:rPr>
            </w:pPr>
          </w:p>
        </w:tc>
        <w:tc>
          <w:tcPr>
            <w:tcW w:w="56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62"/>
        </w:trPr>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shd w:val="clear" w:color="auto" w:fill="284993"/>
          </w:tcPr>
          <w:p>
            <w:pPr>
              <w:spacing w:after="0"/>
              <w:rPr>
                <w:sz w:val="24"/>
                <w:szCs w:val="24"/>
                <w:color w:val="auto"/>
              </w:rPr>
            </w:pPr>
          </w:p>
        </w:tc>
        <w:tc>
          <w:tcPr>
            <w:tcW w:w="576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Past Roles</w:t>
            </w: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5760" w:type="dxa"/>
            <w:vAlign w:val="bottom"/>
            <w:gridSpan w:val="2"/>
          </w:tcPr>
          <w:p>
            <w:pPr>
              <w:ind w:left="100"/>
              <w:spacing w:after="0" w:line="182" w:lineRule="exact"/>
              <w:rPr>
                <w:sz w:val="20"/>
                <w:szCs w:val="20"/>
                <w:color w:val="auto"/>
              </w:rPr>
            </w:pPr>
            <w:r>
              <w:rPr>
                <w:rFonts w:ascii="Arial" w:cs="Arial" w:eastAsia="Arial" w:hAnsi="Arial"/>
                <w:sz w:val="16"/>
                <w:szCs w:val="16"/>
                <w:color w:val="auto"/>
                <w:w w:val="99"/>
              </w:rPr>
              <w:t>•  Served as interim CEO of Quantum Corporation, a computer storage systems</w:t>
            </w: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100" w:type="dxa"/>
            <w:vAlign w:val="bottom"/>
          </w:tcPr>
          <w:p>
            <w:pPr>
              <w:spacing w:after="0"/>
              <w:rPr>
                <w:sz w:val="15"/>
                <w:szCs w:val="15"/>
                <w:color w:val="auto"/>
              </w:rPr>
            </w:pPr>
          </w:p>
        </w:tc>
        <w:tc>
          <w:tcPr>
            <w:tcW w:w="5660" w:type="dxa"/>
            <w:vAlign w:val="bottom"/>
          </w:tcPr>
          <w:p>
            <w:pPr>
              <w:ind w:left="140"/>
              <w:spacing w:after="0" w:line="182" w:lineRule="exact"/>
              <w:rPr>
                <w:sz w:val="20"/>
                <w:szCs w:val="20"/>
                <w:color w:val="auto"/>
              </w:rPr>
            </w:pPr>
            <w:r>
              <w:rPr>
                <w:rFonts w:ascii="Arial" w:cs="Arial" w:eastAsia="Arial" w:hAnsi="Arial"/>
                <w:sz w:val="16"/>
                <w:szCs w:val="16"/>
                <w:color w:val="auto"/>
              </w:rPr>
              <w:t>company, from November 2017 to January 2018</w:t>
            </w: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5760" w:type="dxa"/>
            <w:vAlign w:val="bottom"/>
            <w:gridSpan w:val="2"/>
          </w:tcPr>
          <w:p>
            <w:pPr>
              <w:ind w:left="100"/>
              <w:spacing w:after="0" w:line="182" w:lineRule="exact"/>
              <w:rPr>
                <w:sz w:val="20"/>
                <w:szCs w:val="20"/>
                <w:color w:val="auto"/>
              </w:rPr>
            </w:pPr>
            <w:r>
              <w:rPr>
                <w:rFonts w:ascii="Arial" w:cs="Arial" w:eastAsia="Arial" w:hAnsi="Arial"/>
                <w:sz w:val="16"/>
                <w:szCs w:val="16"/>
                <w:color w:val="auto"/>
              </w:rPr>
              <w:t>•  Served as Senior Vice President of the Lenovo Group Limited (HK: 0992), an</w:t>
            </w: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100" w:type="dxa"/>
            <w:vAlign w:val="bottom"/>
          </w:tcPr>
          <w:p>
            <w:pPr>
              <w:spacing w:after="0"/>
              <w:rPr>
                <w:sz w:val="15"/>
                <w:szCs w:val="15"/>
                <w:color w:val="auto"/>
              </w:rPr>
            </w:pPr>
          </w:p>
        </w:tc>
        <w:tc>
          <w:tcPr>
            <w:tcW w:w="5660" w:type="dxa"/>
            <w:vAlign w:val="bottom"/>
          </w:tcPr>
          <w:p>
            <w:pPr>
              <w:ind w:left="140"/>
              <w:spacing w:after="0" w:line="182" w:lineRule="exact"/>
              <w:rPr>
                <w:sz w:val="20"/>
                <w:szCs w:val="20"/>
                <w:color w:val="auto"/>
              </w:rPr>
            </w:pPr>
            <w:r>
              <w:rPr>
                <w:rFonts w:ascii="Arial" w:cs="Arial" w:eastAsia="Arial" w:hAnsi="Arial"/>
                <w:sz w:val="16"/>
                <w:szCs w:val="16"/>
                <w:color w:val="auto"/>
              </w:rPr>
              <w:t>international technology company, from 2014 to 2015</w:t>
            </w: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5760" w:type="dxa"/>
            <w:vAlign w:val="bottom"/>
            <w:gridSpan w:val="2"/>
          </w:tcPr>
          <w:p>
            <w:pPr>
              <w:ind w:left="100"/>
              <w:spacing w:after="0" w:line="182" w:lineRule="exact"/>
              <w:rPr>
                <w:sz w:val="20"/>
                <w:szCs w:val="20"/>
                <w:color w:val="auto"/>
              </w:rPr>
            </w:pPr>
            <w:r>
              <w:rPr>
                <w:rFonts w:ascii="Arial" w:cs="Arial" w:eastAsia="Arial" w:hAnsi="Arial"/>
                <w:sz w:val="16"/>
                <w:szCs w:val="16"/>
                <w:color w:val="auto"/>
                <w:w w:val="97"/>
              </w:rPr>
              <w:t>•  Served in various capacities at International Business Machines Corporation, a</w:t>
            </w: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100" w:type="dxa"/>
            <w:vAlign w:val="bottom"/>
          </w:tcPr>
          <w:p>
            <w:pPr>
              <w:spacing w:after="0"/>
              <w:rPr>
                <w:sz w:val="15"/>
                <w:szCs w:val="15"/>
                <w:color w:val="auto"/>
              </w:rPr>
            </w:pPr>
          </w:p>
        </w:tc>
        <w:tc>
          <w:tcPr>
            <w:tcW w:w="5660" w:type="dxa"/>
            <w:vAlign w:val="bottom"/>
          </w:tcPr>
          <w:p>
            <w:pPr>
              <w:ind w:left="140"/>
              <w:spacing w:after="0" w:line="182" w:lineRule="exact"/>
              <w:rPr>
                <w:sz w:val="20"/>
                <w:szCs w:val="20"/>
                <w:color w:val="auto"/>
              </w:rPr>
            </w:pPr>
            <w:r>
              <w:rPr>
                <w:rFonts w:ascii="Arial" w:cs="Arial" w:eastAsia="Arial" w:hAnsi="Arial"/>
                <w:sz w:val="16"/>
                <w:szCs w:val="16"/>
                <w:color w:val="auto"/>
              </w:rPr>
              <w:t>global technology and innovation company, from 1982 to 2014, including</w:t>
            </w: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100" w:type="dxa"/>
            <w:vAlign w:val="bottom"/>
          </w:tcPr>
          <w:p>
            <w:pPr>
              <w:spacing w:after="0"/>
              <w:rPr>
                <w:sz w:val="15"/>
                <w:szCs w:val="15"/>
                <w:color w:val="auto"/>
              </w:rPr>
            </w:pPr>
          </w:p>
        </w:tc>
        <w:tc>
          <w:tcPr>
            <w:tcW w:w="5660" w:type="dxa"/>
            <w:vAlign w:val="bottom"/>
          </w:tcPr>
          <w:p>
            <w:pPr>
              <w:ind w:left="140"/>
              <w:spacing w:after="0" w:line="182" w:lineRule="exact"/>
              <w:rPr>
                <w:sz w:val="20"/>
                <w:szCs w:val="20"/>
                <w:color w:val="auto"/>
              </w:rPr>
            </w:pPr>
            <w:r>
              <w:rPr>
                <w:rFonts w:ascii="Arial" w:cs="Arial" w:eastAsia="Arial" w:hAnsi="Arial"/>
                <w:sz w:val="16"/>
                <w:szCs w:val="16"/>
                <w:color w:val="auto"/>
                <w:w w:val="99"/>
              </w:rPr>
              <w:t>sixteen years in senior executive officer and global general management roles</w:t>
            </w: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5760" w:type="dxa"/>
            <w:vAlign w:val="bottom"/>
            <w:gridSpan w:val="2"/>
          </w:tcPr>
          <w:p>
            <w:pPr>
              <w:ind w:left="100"/>
              <w:spacing w:after="0" w:line="182" w:lineRule="exact"/>
              <w:rPr>
                <w:sz w:val="20"/>
                <w:szCs w:val="20"/>
                <w:color w:val="auto"/>
              </w:rPr>
            </w:pPr>
            <w:r>
              <w:rPr>
                <w:rFonts w:ascii="Arial" w:cs="Arial" w:eastAsia="Arial" w:hAnsi="Arial"/>
                <w:sz w:val="16"/>
                <w:szCs w:val="16"/>
                <w:color w:val="auto"/>
              </w:rPr>
              <w:t>•  Former member of the Board of Directors of Quantum Corporation, from May</w:t>
            </w:r>
          </w:p>
        </w:tc>
        <w:tc>
          <w:tcPr>
            <w:tcW w:w="0" w:type="dxa"/>
            <w:vAlign w:val="bottom"/>
          </w:tcPr>
          <w:p>
            <w:pPr>
              <w:spacing w:after="0"/>
              <w:rPr>
                <w:sz w:val="1"/>
                <w:szCs w:val="1"/>
                <w:color w:val="auto"/>
              </w:rPr>
            </w:pPr>
          </w:p>
        </w:tc>
      </w:tr>
      <w:tr>
        <w:trPr>
          <w:trHeight w:val="205"/>
        </w:trPr>
        <w:tc>
          <w:tcPr>
            <w:tcW w:w="3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shd w:val="clear" w:color="auto" w:fill="284993"/>
          </w:tcPr>
          <w:p>
            <w:pPr>
              <w:spacing w:after="0"/>
              <w:rPr>
                <w:sz w:val="17"/>
                <w:szCs w:val="17"/>
                <w:color w:val="auto"/>
              </w:rPr>
            </w:pPr>
          </w:p>
        </w:tc>
        <w:tc>
          <w:tcPr>
            <w:tcW w:w="100" w:type="dxa"/>
            <w:vAlign w:val="bottom"/>
          </w:tcPr>
          <w:p>
            <w:pPr>
              <w:spacing w:after="0"/>
              <w:rPr>
                <w:sz w:val="17"/>
                <w:szCs w:val="17"/>
                <w:color w:val="auto"/>
              </w:rPr>
            </w:pPr>
          </w:p>
        </w:tc>
        <w:tc>
          <w:tcPr>
            <w:tcW w:w="5660" w:type="dxa"/>
            <w:vAlign w:val="bottom"/>
          </w:tcPr>
          <w:p>
            <w:pPr>
              <w:ind w:left="140"/>
              <w:spacing w:after="0"/>
              <w:rPr>
                <w:sz w:val="20"/>
                <w:szCs w:val="20"/>
                <w:color w:val="auto"/>
              </w:rPr>
            </w:pPr>
            <w:r>
              <w:rPr>
                <w:rFonts w:ascii="Arial" w:cs="Arial" w:eastAsia="Arial" w:hAnsi="Arial"/>
                <w:sz w:val="16"/>
                <w:szCs w:val="16"/>
                <w:color w:val="auto"/>
              </w:rPr>
              <w:t>2017 to April 2019</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bottom w:val="single" w:sz="8" w:color="284993"/>
            </w:tcBorders>
            <w:shd w:val="clear" w:color="auto" w:fill="284993"/>
          </w:tcPr>
          <w:p>
            <w:pPr>
              <w:spacing w:after="0"/>
              <w:rPr>
                <w:sz w:val="14"/>
                <w:szCs w:val="14"/>
                <w:color w:val="auto"/>
              </w:rPr>
            </w:pPr>
          </w:p>
        </w:tc>
        <w:tc>
          <w:tcPr>
            <w:tcW w:w="100" w:type="dxa"/>
            <w:vAlign w:val="bottom"/>
          </w:tcPr>
          <w:p>
            <w:pPr>
              <w:spacing w:after="0"/>
              <w:rPr>
                <w:sz w:val="14"/>
                <w:szCs w:val="14"/>
                <w:color w:val="auto"/>
              </w:rPr>
            </w:pPr>
          </w:p>
        </w:tc>
        <w:tc>
          <w:tcPr>
            <w:tcW w:w="5660" w:type="dxa"/>
            <w:vAlign w:val="bottom"/>
            <w:tcBorders>
              <w:bottom w:val="single" w:sz="8" w:color="284993"/>
            </w:tcBorders>
          </w:tcPr>
          <w:p>
            <w:pPr>
              <w:spacing w:after="0"/>
              <w:rPr>
                <w:sz w:val="14"/>
                <w:szCs w:val="14"/>
                <w:color w:val="auto"/>
              </w:rPr>
            </w:pPr>
          </w:p>
        </w:tc>
        <w:tc>
          <w:tcPr>
            <w:tcW w:w="0" w:type="dxa"/>
            <w:vAlign w:val="bottom"/>
          </w:tcPr>
          <w:p>
            <w:pPr>
              <w:spacing w:after="0"/>
              <w:rPr>
                <w:sz w:val="1"/>
                <w:szCs w:val="1"/>
                <w:color w:val="auto"/>
              </w:rPr>
            </w:pPr>
          </w:p>
        </w:tc>
      </w:tr>
      <w:tr>
        <w:trPr>
          <w:trHeight w:val="499"/>
        </w:trPr>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shd w:val="clear" w:color="auto" w:fill="284993"/>
          </w:tcPr>
          <w:p>
            <w:pPr>
              <w:spacing w:after="0"/>
              <w:rPr>
                <w:sz w:val="24"/>
                <w:szCs w:val="24"/>
                <w:color w:val="auto"/>
              </w:rPr>
            </w:pPr>
          </w:p>
        </w:tc>
        <w:tc>
          <w:tcPr>
            <w:tcW w:w="5760" w:type="dxa"/>
            <w:vAlign w:val="bottom"/>
            <w:gridSpan w:val="2"/>
          </w:tcPr>
          <w:p>
            <w:pPr>
              <w:ind w:left="100"/>
              <w:spacing w:after="0"/>
              <w:rPr>
                <w:sz w:val="20"/>
                <w:szCs w:val="20"/>
                <w:color w:val="auto"/>
              </w:rPr>
            </w:pPr>
            <w:r>
              <w:rPr>
                <w:rFonts w:ascii="Arial" w:cs="Arial" w:eastAsia="Arial" w:hAnsi="Arial"/>
                <w:sz w:val="17"/>
                <w:szCs w:val="17"/>
                <w:b w:val="1"/>
                <w:bCs w:val="1"/>
                <w:color w:val="284993"/>
              </w:rPr>
              <w:t>Skills and Qualifications</w:t>
            </w:r>
          </w:p>
        </w:tc>
        <w:tc>
          <w:tcPr>
            <w:tcW w:w="0" w:type="dxa"/>
            <w:vAlign w:val="bottom"/>
          </w:tcPr>
          <w:p>
            <w:pPr>
              <w:spacing w:after="0"/>
              <w:rPr>
                <w:sz w:val="1"/>
                <w:szCs w:val="1"/>
                <w:color w:val="auto"/>
              </w:rPr>
            </w:pPr>
          </w:p>
        </w:tc>
      </w:tr>
      <w:tr>
        <w:trPr>
          <w:trHeight w:val="301"/>
        </w:trPr>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shd w:val="clear" w:color="auto" w:fill="284993"/>
          </w:tcPr>
          <w:p>
            <w:pPr>
              <w:spacing w:after="0"/>
              <w:rPr>
                <w:sz w:val="24"/>
                <w:szCs w:val="24"/>
                <w:color w:val="auto"/>
              </w:rPr>
            </w:pPr>
          </w:p>
        </w:tc>
        <w:tc>
          <w:tcPr>
            <w:tcW w:w="5760" w:type="dxa"/>
            <w:vAlign w:val="bottom"/>
            <w:gridSpan w:val="2"/>
          </w:tcPr>
          <w:p>
            <w:pPr>
              <w:ind w:left="100"/>
              <w:spacing w:after="0"/>
              <w:rPr>
                <w:sz w:val="20"/>
                <w:szCs w:val="20"/>
                <w:color w:val="auto"/>
              </w:rPr>
            </w:pPr>
            <w:r>
              <w:rPr>
                <w:rFonts w:ascii="Arial" w:cs="Arial" w:eastAsia="Arial" w:hAnsi="Arial"/>
                <w:sz w:val="16"/>
                <w:szCs w:val="16"/>
                <w:color w:val="auto"/>
              </w:rPr>
              <w:t>•  Financial Management Experience</w:t>
            </w: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5760" w:type="dxa"/>
            <w:vAlign w:val="bottom"/>
            <w:gridSpan w:val="2"/>
          </w:tcPr>
          <w:p>
            <w:pPr>
              <w:ind w:left="100"/>
              <w:spacing w:after="0" w:line="182" w:lineRule="exact"/>
              <w:rPr>
                <w:sz w:val="20"/>
                <w:szCs w:val="20"/>
                <w:color w:val="auto"/>
              </w:rPr>
            </w:pPr>
            <w:r>
              <w:rPr>
                <w:rFonts w:ascii="Arial" w:cs="Arial" w:eastAsia="Arial" w:hAnsi="Arial"/>
                <w:sz w:val="16"/>
                <w:szCs w:val="16"/>
                <w:color w:val="auto"/>
              </w:rPr>
              <w:t>•  Executive Leadership of a Complex Business</w:t>
            </w: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5760" w:type="dxa"/>
            <w:vAlign w:val="bottom"/>
            <w:gridSpan w:val="2"/>
          </w:tcPr>
          <w:p>
            <w:pPr>
              <w:ind w:left="100"/>
              <w:spacing w:after="0" w:line="182" w:lineRule="exact"/>
              <w:rPr>
                <w:sz w:val="20"/>
                <w:szCs w:val="20"/>
                <w:color w:val="auto"/>
              </w:rPr>
            </w:pPr>
            <w:r>
              <w:rPr>
                <w:rFonts w:ascii="Arial" w:cs="Arial" w:eastAsia="Arial" w:hAnsi="Arial"/>
                <w:sz w:val="16"/>
                <w:szCs w:val="16"/>
                <w:color w:val="auto"/>
              </w:rPr>
              <w:t>•  Technology and Innovation Experience</w:t>
            </w:r>
          </w:p>
        </w:tc>
        <w:tc>
          <w:tcPr>
            <w:tcW w:w="0" w:type="dxa"/>
            <w:vAlign w:val="bottom"/>
          </w:tcPr>
          <w:p>
            <w:pPr>
              <w:spacing w:after="0"/>
              <w:rPr>
                <w:sz w:val="1"/>
                <w:szCs w:val="1"/>
                <w:color w:val="auto"/>
              </w:rPr>
            </w:pPr>
          </w:p>
        </w:tc>
      </w:tr>
      <w:tr>
        <w:trPr>
          <w:trHeight w:val="207"/>
        </w:trPr>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284993"/>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Arial" w:cs="Arial" w:eastAsia="Arial" w:hAnsi="Arial"/>
                <w:sz w:val="16"/>
                <w:szCs w:val="16"/>
                <w:color w:val="auto"/>
              </w:rPr>
              <w:t>•  International Experience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132080</wp:posOffset>
            </wp:positionV>
            <wp:extent cx="693420" cy="1320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3420" cy="13208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16</w:t>
      </w:r>
    </w:p>
    <w:p>
      <w:pPr>
        <w:sectPr>
          <w:pgSz w:w="11900" w:h="16838" w:orient="portrait"/>
          <w:cols w:equalWidth="0" w:num="1">
            <w:col w:w="9280"/>
          </w:cols>
          <w:pgMar w:left="1260" w:top="286" w:right="1359" w:bottom="1440" w:gutter="0" w:footer="0" w:header="0"/>
        </w:sectPr>
      </w:pPr>
    </w:p>
    <w:bookmarkStart w:id="22" w:name="page23"/>
    <w:bookmarkEnd w:id="22"/>
    <w:p>
      <w:pPr>
        <w:ind w:left="254" w:hanging="254"/>
        <w:spacing w:after="0"/>
        <w:tabs>
          <w:tab w:leader="none" w:pos="254" w:val="left"/>
        </w:tabs>
        <w:numPr>
          <w:ilvl w:val="0"/>
          <w:numId w:val="12"/>
        </w:numPr>
        <w:rPr>
          <w:rFonts w:ascii="Arial" w:cs="Arial" w:eastAsia="Arial" w:hAnsi="Arial"/>
          <w:sz w:val="28"/>
          <w:szCs w:val="28"/>
          <w:color w:val="auto"/>
          <w:vertAlign w:val="superscript"/>
        </w:rPr>
      </w:pPr>
      <w:r>
        <w:rPr>
          <w:rFonts w:ascii="Arial" w:cs="Arial" w:eastAsia="Arial" w:hAnsi="Arial"/>
          <w:sz w:val="24"/>
          <w:szCs w:val="24"/>
          <w:b w:val="1"/>
          <w:bCs w:val="1"/>
          <w:color w:val="284993"/>
        </w:rPr>
        <w:t>Juan A. Benitez</w:t>
      </w:r>
    </w:p>
    <w:p>
      <w:pPr>
        <w:spacing w:after="0" w:line="193" w:lineRule="exact"/>
        <w:rPr>
          <w:sz w:val="20"/>
          <w:szCs w:val="20"/>
          <w:color w:val="auto"/>
        </w:rPr>
      </w:pPr>
    </w:p>
    <w:p>
      <w:pPr>
        <w:ind w:left="254"/>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50</w:t>
      </w:r>
    </w:p>
    <w:p>
      <w:pPr>
        <w:spacing w:after="0" w:line="14" w:lineRule="exact"/>
        <w:rPr>
          <w:sz w:val="20"/>
          <w:szCs w:val="20"/>
          <w:color w:val="auto"/>
        </w:rPr>
      </w:pPr>
    </w:p>
    <w:p>
      <w:pPr>
        <w:ind w:left="254"/>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2024</w:t>
      </w:r>
    </w:p>
    <w:p>
      <w:pPr>
        <w:spacing w:after="0" w:line="203" w:lineRule="exact"/>
        <w:rPr>
          <w:sz w:val="20"/>
          <w:szCs w:val="20"/>
          <w:color w:val="auto"/>
        </w:rPr>
      </w:pPr>
    </w:p>
    <w:p>
      <w:pPr>
        <w:ind w:left="254"/>
        <w:spacing w:after="0"/>
        <w:rPr>
          <w:sz w:val="20"/>
          <w:szCs w:val="20"/>
          <w:color w:val="auto"/>
        </w:rPr>
      </w:pPr>
      <w:r>
        <w:rPr>
          <w:rFonts w:ascii="Arial" w:cs="Arial" w:eastAsia="Arial" w:hAnsi="Arial"/>
          <w:sz w:val="16"/>
          <w:szCs w:val="16"/>
          <w:b w:val="1"/>
          <w:bCs w:val="1"/>
          <w:color w:val="auto"/>
        </w:rPr>
        <w:t>Independent</w:t>
      </w:r>
    </w:p>
    <w:p>
      <w:pPr>
        <w:spacing w:after="0" w:line="219" w:lineRule="exact"/>
        <w:rPr>
          <w:sz w:val="20"/>
          <w:szCs w:val="20"/>
          <w:color w:val="auto"/>
        </w:rPr>
      </w:pPr>
    </w:p>
    <w:p>
      <w:pPr>
        <w:ind w:left="254" w:right="80"/>
        <w:spacing w:after="0" w:line="252" w:lineRule="auto"/>
        <w:rPr>
          <w:sz w:val="20"/>
          <w:szCs w:val="20"/>
          <w:color w:val="auto"/>
        </w:rPr>
      </w:pPr>
      <w:r>
        <w:rPr>
          <w:rFonts w:ascii="Arial" w:cs="Arial" w:eastAsia="Arial" w:hAnsi="Arial"/>
          <w:sz w:val="16"/>
          <w:szCs w:val="16"/>
          <w:b w:val="1"/>
          <w:bCs w:val="1"/>
          <w:color w:val="auto"/>
        </w:rPr>
        <w:t xml:space="preserve">Committee Memberships: </w:t>
      </w:r>
      <w:r>
        <w:rPr>
          <w:rFonts w:ascii="Arial" w:cs="Arial" w:eastAsia="Arial" w:hAnsi="Arial"/>
          <w:sz w:val="16"/>
          <w:szCs w:val="16"/>
          <w:color w:val="auto"/>
        </w:rPr>
        <w:t>Committee assignments have not yet been made</w:t>
      </w:r>
    </w:p>
    <w:p>
      <w:pPr>
        <w:spacing w:after="0" w:line="187" w:lineRule="exact"/>
        <w:rPr>
          <w:sz w:val="20"/>
          <w:szCs w:val="20"/>
          <w:color w:val="auto"/>
        </w:rPr>
      </w:pPr>
    </w:p>
    <w:p>
      <w:pPr>
        <w:ind w:left="254"/>
        <w:spacing w:after="0"/>
        <w:rPr>
          <w:sz w:val="20"/>
          <w:szCs w:val="20"/>
          <w:color w:val="auto"/>
        </w:rPr>
      </w:pPr>
      <w:r>
        <w:rPr>
          <w:rFonts w:ascii="Arial" w:cs="Arial" w:eastAsia="Arial" w:hAnsi="Arial"/>
          <w:sz w:val="16"/>
          <w:szCs w:val="16"/>
          <w:b w:val="1"/>
          <w:bCs w:val="1"/>
          <w:color w:val="auto"/>
        </w:rPr>
        <w:t>Other Public Company Boards:</w:t>
      </w:r>
    </w:p>
    <w:p>
      <w:pPr>
        <w:spacing w:after="0" w:line="14" w:lineRule="exact"/>
        <w:rPr>
          <w:sz w:val="20"/>
          <w:szCs w:val="20"/>
          <w:color w:val="auto"/>
        </w:rPr>
      </w:pPr>
    </w:p>
    <w:p>
      <w:pPr>
        <w:ind w:left="254"/>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54" w:hanging="254"/>
        <w:spacing w:after="0"/>
        <w:tabs>
          <w:tab w:leader="none" w:pos="254" w:val="left"/>
        </w:tabs>
        <w:numPr>
          <w:ilvl w:val="0"/>
          <w:numId w:val="13"/>
        </w:numPr>
        <w:rPr>
          <w:rFonts w:ascii="Arial" w:cs="Arial" w:eastAsia="Arial" w:hAnsi="Arial"/>
          <w:sz w:val="28"/>
          <w:szCs w:val="28"/>
          <w:color w:val="auto"/>
          <w:vertAlign w:val="superscript"/>
        </w:rPr>
      </w:pPr>
      <w:r>
        <w:rPr>
          <w:rFonts w:ascii="Arial" w:cs="Arial" w:eastAsia="Arial" w:hAnsi="Arial"/>
          <w:sz w:val="24"/>
          <w:szCs w:val="24"/>
          <w:b w:val="1"/>
          <w:bCs w:val="1"/>
          <w:color w:val="284993"/>
        </w:rPr>
        <w:t>Janet O. Estep</w:t>
      </w:r>
    </w:p>
    <w:p>
      <w:pPr>
        <w:spacing w:after="0" w:line="193" w:lineRule="exact"/>
        <w:rPr>
          <w:sz w:val="20"/>
          <w:szCs w:val="20"/>
          <w:color w:val="auto"/>
        </w:rPr>
      </w:pPr>
    </w:p>
    <w:p>
      <w:pPr>
        <w:ind w:left="254"/>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67</w:t>
      </w:r>
    </w:p>
    <w:p>
      <w:pPr>
        <w:spacing w:after="0" w:line="14" w:lineRule="exact"/>
        <w:rPr>
          <w:sz w:val="20"/>
          <w:szCs w:val="20"/>
          <w:color w:val="auto"/>
        </w:rPr>
      </w:pPr>
    </w:p>
    <w:p>
      <w:pPr>
        <w:ind w:left="254"/>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w:t>
      </w:r>
    </w:p>
    <w:p>
      <w:pPr>
        <w:spacing w:after="0" w:line="203" w:lineRule="exact"/>
        <w:rPr>
          <w:sz w:val="20"/>
          <w:szCs w:val="20"/>
          <w:color w:val="auto"/>
        </w:rPr>
      </w:pPr>
    </w:p>
    <w:p>
      <w:pPr>
        <w:ind w:left="254"/>
        <w:spacing w:after="0"/>
        <w:rPr>
          <w:sz w:val="20"/>
          <w:szCs w:val="20"/>
          <w:color w:val="auto"/>
        </w:rPr>
      </w:pPr>
      <w:r>
        <w:rPr>
          <w:rFonts w:ascii="Arial" w:cs="Arial" w:eastAsia="Arial" w:hAnsi="Arial"/>
          <w:sz w:val="16"/>
          <w:szCs w:val="16"/>
          <w:b w:val="1"/>
          <w:bCs w:val="1"/>
          <w:color w:val="auto"/>
        </w:rPr>
        <w:t>Independent</w:t>
      </w:r>
    </w:p>
    <w:p>
      <w:pPr>
        <w:spacing w:after="0" w:line="219" w:lineRule="exact"/>
        <w:rPr>
          <w:sz w:val="20"/>
          <w:szCs w:val="20"/>
          <w:color w:val="auto"/>
        </w:rPr>
      </w:pPr>
    </w:p>
    <w:p>
      <w:pPr>
        <w:ind w:left="254"/>
        <w:spacing w:after="0"/>
        <w:rPr>
          <w:sz w:val="20"/>
          <w:szCs w:val="20"/>
          <w:color w:val="auto"/>
        </w:rPr>
      </w:pPr>
      <w:r>
        <w:rPr>
          <w:rFonts w:ascii="Arial" w:cs="Arial" w:eastAsia="Arial" w:hAnsi="Arial"/>
          <w:sz w:val="16"/>
          <w:szCs w:val="16"/>
          <w:b w:val="1"/>
          <w:bCs w:val="1"/>
          <w:color w:val="auto"/>
        </w:rPr>
        <w:t>Committee Memberships:</w:t>
      </w:r>
    </w:p>
    <w:p>
      <w:pPr>
        <w:spacing w:after="0" w:line="14" w:lineRule="exact"/>
        <w:rPr>
          <w:sz w:val="20"/>
          <w:szCs w:val="20"/>
          <w:color w:val="auto"/>
        </w:rPr>
      </w:pPr>
    </w:p>
    <w:p>
      <w:pPr>
        <w:ind w:left="254"/>
        <w:spacing w:after="0"/>
        <w:rPr>
          <w:sz w:val="20"/>
          <w:szCs w:val="20"/>
          <w:color w:val="auto"/>
        </w:rPr>
      </w:pPr>
      <w:r>
        <w:rPr>
          <w:rFonts w:ascii="Arial" w:cs="Arial" w:eastAsia="Arial" w:hAnsi="Arial"/>
          <w:sz w:val="16"/>
          <w:szCs w:val="16"/>
          <w:color w:val="auto"/>
        </w:rPr>
        <w:t>Audit, Corporate Governance</w:t>
      </w:r>
    </w:p>
    <w:p>
      <w:pPr>
        <w:spacing w:after="0" w:line="203" w:lineRule="exact"/>
        <w:rPr>
          <w:sz w:val="20"/>
          <w:szCs w:val="20"/>
          <w:color w:val="auto"/>
        </w:rPr>
      </w:pPr>
    </w:p>
    <w:p>
      <w:pPr>
        <w:jc w:val="center"/>
        <w:ind w:left="254"/>
        <w:spacing w:after="0"/>
        <w:rPr>
          <w:sz w:val="20"/>
          <w:szCs w:val="20"/>
          <w:color w:val="auto"/>
        </w:rPr>
      </w:pPr>
      <w:r>
        <w:rPr>
          <w:rFonts w:ascii="Arial" w:cs="Arial" w:eastAsia="Arial" w:hAnsi="Arial"/>
          <w:sz w:val="14"/>
          <w:szCs w:val="14"/>
          <w:b w:val="1"/>
          <w:bCs w:val="1"/>
          <w:color w:val="auto"/>
        </w:rPr>
        <w:t xml:space="preserve">Other Public Company Boards: </w:t>
      </w:r>
      <w:r>
        <w:rPr>
          <w:rFonts w:ascii="Arial" w:cs="Arial" w:eastAsia="Arial" w:hAnsi="Arial"/>
          <w:sz w:val="14"/>
          <w:szCs w:val="14"/>
          <w:color w:val="auto"/>
        </w:rPr>
        <w:t>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i w:val="1"/>
          <w:iCs w:val="1"/>
          <w:color w:val="auto"/>
        </w:rPr>
        <w:t>Current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-2651125</wp:posOffset>
            </wp:positionH>
            <wp:positionV relativeFrom="paragraph">
              <wp:posOffset>-397510</wp:posOffset>
            </wp:positionV>
            <wp:extent cx="7179310" cy="31521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9310" cy="3152140"/>
                    </a:xfrm>
                    <a:prstGeom prst="rect">
                      <a:avLst/>
                    </a:prstGeom>
                    <a:noFill/>
                  </pic:spPr>
                </pic:pic>
              </a:graphicData>
            </a:graphic>
          </wp:anchor>
        </w:drawing>
      </w:r>
    </w:p>
    <w:p>
      <w:pPr>
        <w:ind w:left="160" w:right="460" w:hanging="155"/>
        <w:spacing w:after="0" w:line="246" w:lineRule="auto"/>
        <w:rPr>
          <w:sz w:val="20"/>
          <w:szCs w:val="20"/>
          <w:color w:val="auto"/>
        </w:rPr>
      </w:pPr>
      <w:r>
        <w:rPr>
          <w:rFonts w:ascii="Arial" w:cs="Arial" w:eastAsia="Arial" w:hAnsi="Arial"/>
          <w:sz w:val="16"/>
          <w:szCs w:val="16"/>
          <w:color w:val="auto"/>
        </w:rPr>
        <w:t>•  Board Observer of NomuPay, a provider of payment solutions in Southeast Asia, Europe and Turkey</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Roles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•  Former President of GoFundMe, an online fundraising platform</w:t>
      </w:r>
    </w:p>
    <w:p>
      <w:pPr>
        <w:ind w:left="160" w:right="620" w:hanging="155"/>
        <w:spacing w:after="0" w:line="237" w:lineRule="auto"/>
        <w:rPr>
          <w:sz w:val="20"/>
          <w:szCs w:val="20"/>
          <w:color w:val="auto"/>
        </w:rPr>
      </w:pPr>
      <w:r>
        <w:rPr>
          <w:rFonts w:ascii="Arial" w:cs="Arial" w:eastAsia="Arial" w:hAnsi="Arial"/>
          <w:sz w:val="16"/>
          <w:szCs w:val="16"/>
          <w:color w:val="auto"/>
        </w:rPr>
        <w:t>•  Served in various executive management roles at PayPal, a global payments company, including as Chief Technology Officer of Braintree Payments and as General Manager of Braintree Payments</w:t>
      </w:r>
    </w:p>
    <w:p>
      <w:pPr>
        <w:spacing w:after="0" w:line="1" w:lineRule="exact"/>
        <w:rPr>
          <w:sz w:val="20"/>
          <w:szCs w:val="20"/>
          <w:color w:val="auto"/>
        </w:rPr>
      </w:pPr>
    </w:p>
    <w:p>
      <w:pPr>
        <w:ind w:left="160" w:right="600" w:hanging="155"/>
        <w:spacing w:after="0" w:line="316" w:lineRule="auto"/>
        <w:rPr>
          <w:sz w:val="20"/>
          <w:szCs w:val="20"/>
          <w:color w:val="auto"/>
        </w:rPr>
      </w:pPr>
      <w:r>
        <w:rPr>
          <w:rFonts w:ascii="Arial" w:cs="Arial" w:eastAsia="Arial" w:hAnsi="Arial"/>
          <w:sz w:val="14"/>
          <w:szCs w:val="14"/>
          <w:color w:val="auto"/>
        </w:rPr>
        <w:t>•  Served at Yahoo! for nine years in various capacities in Yahoo!’s Advertising Products Group, including as VP of Engineering and VP of Search Advertising</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284993"/>
        </w:rPr>
        <w:t>Skills and Qualifications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•  Payments Industry Knowledge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•  Financial Services Industry Experience</w:t>
      </w:r>
    </w:p>
    <w:p>
      <w:pPr>
        <w:spacing w:after="0" w:line="237" w:lineRule="auto"/>
        <w:rPr>
          <w:sz w:val="20"/>
          <w:szCs w:val="20"/>
          <w:color w:val="auto"/>
        </w:rPr>
      </w:pPr>
      <w:r>
        <w:rPr>
          <w:rFonts w:ascii="Arial" w:cs="Arial" w:eastAsia="Arial" w:hAnsi="Arial"/>
          <w:sz w:val="16"/>
          <w:szCs w:val="16"/>
          <w:color w:val="auto"/>
        </w:rPr>
        <w:t>•  Financial Management Experience</w:t>
      </w:r>
    </w:p>
    <w:p>
      <w:pPr>
        <w:ind w:right="2880"/>
        <w:spacing w:after="0" w:line="271" w:lineRule="auto"/>
        <w:rPr>
          <w:sz w:val="20"/>
          <w:szCs w:val="20"/>
          <w:color w:val="auto"/>
        </w:rPr>
      </w:pPr>
      <w:r>
        <w:rPr>
          <w:rFonts w:ascii="Arial" w:cs="Arial" w:eastAsia="Arial" w:hAnsi="Arial"/>
          <w:sz w:val="14"/>
          <w:szCs w:val="14"/>
          <w:color w:val="auto"/>
        </w:rPr>
        <w:t>•  Executive Leadership of a Complex Business •  Technology and Innovation Experience •  Risk and Regulatory Experience</w:t>
      </w:r>
    </w:p>
    <w:p>
      <w:pPr>
        <w:spacing w:after="0"/>
        <w:rPr>
          <w:sz w:val="20"/>
          <w:szCs w:val="20"/>
          <w:color w:val="auto"/>
        </w:rPr>
      </w:pPr>
      <w:r>
        <w:rPr>
          <w:rFonts w:ascii="Arial" w:cs="Arial" w:eastAsia="Arial" w:hAnsi="Arial"/>
          <w:sz w:val="16"/>
          <w:szCs w:val="16"/>
          <w:color w:val="auto"/>
        </w:rPr>
        <w:t>•  International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-2044700</wp:posOffset>
            </wp:positionH>
            <wp:positionV relativeFrom="paragraph">
              <wp:posOffset>186690</wp:posOffset>
            </wp:positionV>
            <wp:extent cx="5958205" cy="35242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58205" cy="352425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 Roles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•  Serves as a Director of Alerus Financial, a diversified financial services company</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Roles</w:t>
      </w:r>
    </w:p>
    <w:p>
      <w:pPr>
        <w:spacing w:after="0" w:line="12" w:lineRule="exact"/>
        <w:rPr>
          <w:sz w:val="20"/>
          <w:szCs w:val="20"/>
          <w:color w:val="auto"/>
        </w:rPr>
      </w:pPr>
    </w:p>
    <w:p>
      <w:pPr>
        <w:ind w:left="160" w:right="460" w:hanging="155"/>
        <w:spacing w:after="0" w:line="271" w:lineRule="auto"/>
        <w:rPr>
          <w:sz w:val="20"/>
          <w:szCs w:val="20"/>
          <w:color w:val="auto"/>
        </w:rPr>
      </w:pPr>
      <w:r>
        <w:rPr>
          <w:rFonts w:ascii="Arial" w:cs="Arial" w:eastAsia="Arial" w:hAnsi="Arial"/>
          <w:sz w:val="14"/>
          <w:szCs w:val="14"/>
          <w:color w:val="auto"/>
        </w:rPr>
        <w:t>•  Former President and Chief Executive Officer of Nacha (2008-2019) where she guided strategy and oversaw daily operations and rule-making processes for the ACH Network and rules and standards development for other payment types</w:t>
      </w:r>
    </w:p>
    <w:p>
      <w:pPr>
        <w:jc w:val="both"/>
        <w:ind w:left="160" w:right="440" w:hanging="155"/>
        <w:spacing w:after="0" w:line="237" w:lineRule="auto"/>
        <w:rPr>
          <w:sz w:val="20"/>
          <w:szCs w:val="20"/>
          <w:color w:val="auto"/>
        </w:rPr>
      </w:pPr>
      <w:r>
        <w:rPr>
          <w:rFonts w:ascii="Arial" w:cs="Arial" w:eastAsia="Arial" w:hAnsi="Arial"/>
          <w:sz w:val="16"/>
          <w:szCs w:val="16"/>
          <w:color w:val="auto"/>
        </w:rPr>
        <w:t>•  Served in various executive management roles at U.S. Bank from 1997 to 2008, including as Executive Vice President of its Transaction Services Division and its Merchant Payment Services Division</w:t>
      </w:r>
    </w:p>
    <w:p>
      <w:pPr>
        <w:spacing w:after="0" w:line="1" w:lineRule="exact"/>
        <w:rPr>
          <w:sz w:val="20"/>
          <w:szCs w:val="20"/>
          <w:color w:val="auto"/>
        </w:rPr>
      </w:pPr>
    </w:p>
    <w:p>
      <w:pPr>
        <w:ind w:left="160" w:right="400" w:hanging="155"/>
        <w:spacing w:after="0" w:line="237" w:lineRule="auto"/>
        <w:rPr>
          <w:sz w:val="20"/>
          <w:szCs w:val="20"/>
          <w:color w:val="auto"/>
        </w:rPr>
      </w:pPr>
      <w:r>
        <w:rPr>
          <w:rFonts w:ascii="Arial" w:cs="Arial" w:eastAsia="Arial" w:hAnsi="Arial"/>
          <w:sz w:val="16"/>
          <w:szCs w:val="16"/>
          <w:color w:val="auto"/>
        </w:rPr>
        <w:t>•  Served as VP of Sales &amp; Marketing for Pace Analytical Services from 1993-1997, a nationwide environmental laboratory services company, as well as General Manager of its Twin Cities lab</w:t>
      </w:r>
    </w:p>
    <w:p>
      <w:pPr>
        <w:spacing w:after="0" w:line="1" w:lineRule="exact"/>
        <w:rPr>
          <w:sz w:val="20"/>
          <w:szCs w:val="20"/>
          <w:color w:val="auto"/>
        </w:rPr>
      </w:pPr>
    </w:p>
    <w:p>
      <w:pPr>
        <w:ind w:left="160" w:right="640" w:hanging="155"/>
        <w:spacing w:after="0" w:line="241" w:lineRule="auto"/>
        <w:rPr>
          <w:sz w:val="20"/>
          <w:szCs w:val="20"/>
          <w:color w:val="auto"/>
        </w:rPr>
      </w:pPr>
      <w:r>
        <w:rPr>
          <w:rFonts w:ascii="Arial" w:cs="Arial" w:eastAsia="Arial" w:hAnsi="Arial"/>
          <w:sz w:val="16"/>
          <w:szCs w:val="16"/>
          <w:color w:val="auto"/>
        </w:rPr>
        <w:t>•  Served in a variety of corporate, product development and sales management positions at IBM for 15 years in its Data Processing Division, its ImagePlus Software Division and its General Sector Division</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284993"/>
        </w:rPr>
        <w:t>Skills and Qualifications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•  Payments Industry Knowledge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•  Financial Services Industry Experience</w:t>
      </w:r>
    </w:p>
    <w:p>
      <w:pPr>
        <w:spacing w:after="0" w:line="237" w:lineRule="auto"/>
        <w:rPr>
          <w:sz w:val="20"/>
          <w:szCs w:val="20"/>
          <w:color w:val="auto"/>
        </w:rPr>
      </w:pPr>
      <w:r>
        <w:rPr>
          <w:rFonts w:ascii="Arial" w:cs="Arial" w:eastAsia="Arial" w:hAnsi="Arial"/>
          <w:sz w:val="16"/>
          <w:szCs w:val="16"/>
          <w:color w:val="auto"/>
        </w:rPr>
        <w:t>•  Financial Management Experience</w:t>
      </w:r>
    </w:p>
    <w:p>
      <w:pPr>
        <w:ind w:right="2880"/>
        <w:spacing w:after="0" w:line="293" w:lineRule="auto"/>
        <w:rPr>
          <w:sz w:val="20"/>
          <w:szCs w:val="20"/>
          <w:color w:val="auto"/>
        </w:rPr>
      </w:pPr>
      <w:r>
        <w:rPr>
          <w:rFonts w:ascii="Arial" w:cs="Arial" w:eastAsia="Arial" w:hAnsi="Arial"/>
          <w:sz w:val="14"/>
          <w:szCs w:val="14"/>
          <w:color w:val="auto"/>
        </w:rPr>
        <w:t>•  Executive Leadership of a Complex Business •  Technology and Innovation Experience •  Risk and Regulatory Experience</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17</w:t>
      </w:r>
    </w:p>
    <w:p>
      <w:pPr>
        <w:sectPr>
          <w:pgSz w:w="11900" w:h="16838" w:orient="portrait"/>
          <w:cols w:equalWidth="0" w:num="2">
            <w:col w:w="2914" w:space="280"/>
            <w:col w:w="6140"/>
          </w:cols>
          <w:pgMar w:left="1286" w:top="572" w:right="1279" w:bottom="1440" w:gutter="0" w:footer="0" w:header="0"/>
        </w:sectPr>
      </w:pPr>
    </w:p>
    <w:bookmarkStart w:id="23" w:name="page24"/>
    <w:bookmarkEnd w:id="23"/>
    <w:p>
      <w:pPr>
        <w:ind w:left="280" w:hanging="254"/>
        <w:spacing w:after="0"/>
        <w:tabs>
          <w:tab w:leader="none" w:pos="280" w:val="left"/>
        </w:tabs>
        <w:numPr>
          <w:ilvl w:val="0"/>
          <w:numId w:val="14"/>
        </w:numPr>
        <w:rPr>
          <w:rFonts w:ascii="Arial" w:cs="Arial" w:eastAsia="Arial" w:hAnsi="Arial"/>
          <w:sz w:val="28"/>
          <w:szCs w:val="28"/>
          <w:color w:val="auto"/>
          <w:vertAlign w:val="superscript"/>
        </w:rPr>
      </w:pPr>
      <w:r>
        <w:rPr>
          <w:rFonts w:ascii="Arial" w:cs="Arial" w:eastAsia="Arial" w:hAnsi="Arial"/>
          <w:sz w:val="24"/>
          <w:szCs w:val="24"/>
          <w:b w:val="1"/>
          <w:bCs w:val="1"/>
          <w:color w:val="284993"/>
        </w:rPr>
        <w:t>Mary P. Harman</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54</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20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Independent</w:t>
      </w:r>
    </w:p>
    <w:p>
      <w:pPr>
        <w:spacing w:after="0" w:line="21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Committee Memberships:</w:t>
      </w:r>
    </w:p>
    <w:p>
      <w:pPr>
        <w:spacing w:after="0" w:line="14" w:lineRule="exact"/>
        <w:rPr>
          <w:sz w:val="20"/>
          <w:szCs w:val="20"/>
          <w:color w:val="auto"/>
        </w:rPr>
      </w:pPr>
    </w:p>
    <w:p>
      <w:pPr>
        <w:ind w:left="280" w:right="520"/>
        <w:spacing w:after="0" w:line="246" w:lineRule="auto"/>
        <w:rPr>
          <w:sz w:val="20"/>
          <w:szCs w:val="20"/>
          <w:color w:val="auto"/>
        </w:rPr>
      </w:pPr>
      <w:r>
        <w:rPr>
          <w:rFonts w:ascii="Arial" w:cs="Arial" w:eastAsia="Arial" w:hAnsi="Arial"/>
          <w:sz w:val="16"/>
          <w:szCs w:val="16"/>
          <w:color w:val="auto"/>
        </w:rPr>
        <w:t>Corporate Governance (</w:t>
      </w:r>
      <w:r>
        <w:rPr>
          <w:rFonts w:ascii="Arial" w:cs="Arial" w:eastAsia="Arial" w:hAnsi="Arial"/>
          <w:sz w:val="16"/>
          <w:szCs w:val="16"/>
          <w:i w:val="1"/>
          <w:iCs w:val="1"/>
          <w:color w:val="auto"/>
        </w:rPr>
        <w:t>Chair</w:t>
      </w:r>
      <w:r>
        <w:rPr>
          <w:rFonts w:ascii="Arial" w:cs="Arial" w:eastAsia="Arial" w:hAnsi="Arial"/>
          <w:sz w:val="16"/>
          <w:szCs w:val="16"/>
          <w:color w:val="auto"/>
        </w:rPr>
        <w:t>), Compensation</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Other Public Company Boards:</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hanging="294"/>
        <w:spacing w:after="0"/>
        <w:tabs>
          <w:tab w:leader="none" w:pos="320" w:val="left"/>
        </w:tabs>
        <w:numPr>
          <w:ilvl w:val="0"/>
          <w:numId w:val="15"/>
        </w:numPr>
        <w:rPr>
          <w:rFonts w:ascii="Arial" w:cs="Arial" w:eastAsia="Arial" w:hAnsi="Arial"/>
          <w:sz w:val="35"/>
          <w:szCs w:val="35"/>
          <w:color w:val="auto"/>
          <w:vertAlign w:val="superscript"/>
        </w:rPr>
      </w:pPr>
      <w:r>
        <w:rPr>
          <w:rFonts w:ascii="Arial" w:cs="Arial" w:eastAsia="Arial" w:hAnsi="Arial"/>
          <w:sz w:val="24"/>
          <w:szCs w:val="24"/>
          <w:b w:val="1"/>
          <w:bCs w:val="1"/>
          <w:color w:val="284993"/>
        </w:rPr>
        <w:t>Katrinka B. McCallum</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56</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2024</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Independent</w:t>
      </w:r>
    </w:p>
    <w:p>
      <w:pPr>
        <w:spacing w:after="0" w:line="219" w:lineRule="exact"/>
        <w:rPr>
          <w:sz w:val="20"/>
          <w:szCs w:val="20"/>
          <w:color w:val="auto"/>
        </w:rPr>
      </w:pPr>
    </w:p>
    <w:p>
      <w:pPr>
        <w:ind w:left="320" w:right="80"/>
        <w:spacing w:after="0" w:line="252" w:lineRule="auto"/>
        <w:rPr>
          <w:sz w:val="20"/>
          <w:szCs w:val="20"/>
          <w:color w:val="auto"/>
        </w:rPr>
      </w:pPr>
      <w:r>
        <w:rPr>
          <w:rFonts w:ascii="Arial" w:cs="Arial" w:eastAsia="Arial" w:hAnsi="Arial"/>
          <w:sz w:val="16"/>
          <w:szCs w:val="16"/>
          <w:b w:val="1"/>
          <w:bCs w:val="1"/>
          <w:color w:val="auto"/>
        </w:rPr>
        <w:t xml:space="preserve">Committee Memberships: </w:t>
      </w:r>
      <w:r>
        <w:rPr>
          <w:rFonts w:ascii="Arial" w:cs="Arial" w:eastAsia="Arial" w:hAnsi="Arial"/>
          <w:sz w:val="16"/>
          <w:szCs w:val="16"/>
          <w:color w:val="auto"/>
        </w:rPr>
        <w:t>Committee assignments have not yet been made</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Other Public Company Boards: </w:t>
      </w:r>
      <w:r>
        <w:rPr>
          <w:rFonts w:ascii="Arial" w:cs="Arial" w:eastAsia="Arial" w:hAnsi="Arial"/>
          <w:sz w:val="16"/>
          <w:szCs w:val="16"/>
          <w:color w:val="auto"/>
        </w:rPr>
        <w:t>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1988185</wp:posOffset>
            </wp:positionV>
            <wp:extent cx="701675" cy="1320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1675" cy="132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5"/>
        <w:spacing w:after="0"/>
        <w:rPr>
          <w:sz w:val="20"/>
          <w:szCs w:val="20"/>
          <w:color w:val="auto"/>
        </w:rPr>
      </w:pPr>
      <w:r>
        <w:rPr>
          <w:rFonts w:ascii="Arial" w:cs="Arial" w:eastAsia="Arial" w:hAnsi="Arial"/>
          <w:sz w:val="16"/>
          <w:szCs w:val="16"/>
          <w:b w:val="1"/>
          <w:bCs w:val="1"/>
          <w:i w:val="1"/>
          <w:iCs w:val="1"/>
          <w:color w:val="auto"/>
        </w:rPr>
        <w:t>Current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-389255</wp:posOffset>
            </wp:positionV>
            <wp:extent cx="7179310" cy="33750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9310" cy="3375025"/>
                    </a:xfrm>
                    <a:prstGeom prst="rect">
                      <a:avLst/>
                    </a:prstGeom>
                    <a:noFill/>
                  </pic:spPr>
                </pic:pic>
              </a:graphicData>
            </a:graphic>
          </wp:anchor>
        </w:drawing>
      </w:r>
    </w:p>
    <w:p>
      <w:pPr>
        <w:jc w:val="both"/>
        <w:ind w:left="275" w:right="299" w:hanging="155"/>
        <w:spacing w:after="0" w:line="293" w:lineRule="auto"/>
        <w:rPr>
          <w:sz w:val="20"/>
          <w:szCs w:val="20"/>
          <w:color w:val="auto"/>
        </w:rPr>
      </w:pPr>
      <w:r>
        <w:rPr>
          <w:rFonts w:ascii="Arial" w:cs="Arial" w:eastAsia="Arial" w:hAnsi="Arial"/>
          <w:sz w:val="14"/>
          <w:szCs w:val="14"/>
          <w:color w:val="auto"/>
        </w:rPr>
        <w:t>•  Serves as a Non-Executive Director of Capital Markets Gateway, LLC, a private financial technology company whose end-to-end equity capital markets platform connects leading banks and assets managers across the capital raising process</w:t>
      </w:r>
    </w:p>
    <w:p>
      <w:pPr>
        <w:spacing w:after="0" w:line="200" w:lineRule="exact"/>
        <w:rPr>
          <w:sz w:val="20"/>
          <w:szCs w:val="20"/>
          <w:color w:val="auto"/>
        </w:rPr>
      </w:pPr>
    </w:p>
    <w:p>
      <w:pPr>
        <w:spacing w:after="0" w:line="236" w:lineRule="exact"/>
        <w:rPr>
          <w:sz w:val="20"/>
          <w:szCs w:val="20"/>
          <w:color w:val="auto"/>
        </w:rPr>
      </w:pPr>
    </w:p>
    <w:p>
      <w:pPr>
        <w:ind w:left="115"/>
        <w:spacing w:after="0"/>
        <w:rPr>
          <w:sz w:val="20"/>
          <w:szCs w:val="20"/>
          <w:color w:val="auto"/>
        </w:rPr>
      </w:pPr>
      <w:r>
        <w:rPr>
          <w:rFonts w:ascii="Arial" w:cs="Arial" w:eastAsia="Arial" w:hAnsi="Arial"/>
          <w:sz w:val="16"/>
          <w:szCs w:val="16"/>
          <w:b w:val="1"/>
          <w:bCs w:val="1"/>
          <w:i w:val="1"/>
          <w:iCs w:val="1"/>
          <w:color w:val="auto"/>
        </w:rPr>
        <w:t>Past Roles</w:t>
      </w:r>
    </w:p>
    <w:p>
      <w:pPr>
        <w:spacing w:after="0" w:line="10" w:lineRule="exact"/>
        <w:rPr>
          <w:sz w:val="20"/>
          <w:szCs w:val="20"/>
          <w:color w:val="auto"/>
        </w:rPr>
      </w:pPr>
    </w:p>
    <w:p>
      <w:pPr>
        <w:ind w:left="115"/>
        <w:spacing w:after="0"/>
        <w:rPr>
          <w:sz w:val="20"/>
          <w:szCs w:val="20"/>
          <w:color w:val="auto"/>
        </w:rPr>
      </w:pPr>
      <w:r>
        <w:rPr>
          <w:rFonts w:ascii="Arial" w:cs="Arial" w:eastAsia="Arial" w:hAnsi="Arial"/>
          <w:sz w:val="16"/>
          <w:szCs w:val="16"/>
          <w:color w:val="auto"/>
        </w:rPr>
        <w:t>•  Served as a Non-Executive Director of Blue Ocean Digital Holdings LLC</w:t>
      </w:r>
    </w:p>
    <w:p>
      <w:pPr>
        <w:ind w:left="275" w:right="379" w:hanging="155"/>
        <w:spacing w:after="0" w:line="237" w:lineRule="auto"/>
        <w:rPr>
          <w:sz w:val="20"/>
          <w:szCs w:val="20"/>
          <w:color w:val="auto"/>
        </w:rPr>
      </w:pPr>
      <w:r>
        <w:rPr>
          <w:rFonts w:ascii="Arial" w:cs="Arial" w:eastAsia="Arial" w:hAnsi="Arial"/>
          <w:sz w:val="16"/>
          <w:szCs w:val="16"/>
          <w:color w:val="auto"/>
        </w:rPr>
        <w:t>•  Held various positions at Bank of America Corporation from 2006-2018, most recently as a Managing Director, Enterprise Payments, and prior to that leading Global Principal Investments</w:t>
      </w:r>
    </w:p>
    <w:p>
      <w:pPr>
        <w:spacing w:after="0" w:line="1" w:lineRule="exact"/>
        <w:rPr>
          <w:sz w:val="20"/>
          <w:szCs w:val="20"/>
          <w:color w:val="auto"/>
        </w:rPr>
      </w:pPr>
    </w:p>
    <w:p>
      <w:pPr>
        <w:ind w:left="275" w:right="179" w:hanging="155"/>
        <w:spacing w:after="0" w:line="237" w:lineRule="auto"/>
        <w:rPr>
          <w:sz w:val="20"/>
          <w:szCs w:val="20"/>
          <w:color w:val="auto"/>
        </w:rPr>
      </w:pPr>
      <w:r>
        <w:rPr>
          <w:rFonts w:ascii="Arial" w:cs="Arial" w:eastAsia="Arial" w:hAnsi="Arial"/>
          <w:sz w:val="16"/>
          <w:szCs w:val="16"/>
          <w:color w:val="auto"/>
        </w:rPr>
        <w:t>•  Formerly served as an Investment Executive, Strategic Private Equity Investments at GE Equity from 1998-2006</w:t>
      </w:r>
    </w:p>
    <w:p>
      <w:pPr>
        <w:ind w:left="115"/>
        <w:spacing w:after="0"/>
        <w:rPr>
          <w:sz w:val="20"/>
          <w:szCs w:val="20"/>
          <w:color w:val="auto"/>
        </w:rPr>
      </w:pPr>
      <w:r>
        <w:rPr>
          <w:rFonts w:ascii="Arial" w:cs="Arial" w:eastAsia="Arial" w:hAnsi="Arial"/>
          <w:sz w:val="16"/>
          <w:szCs w:val="16"/>
          <w:color w:val="auto"/>
        </w:rPr>
        <w:t>•  Served in consulting positions at Ernst &amp; Young LLP.</w:t>
      </w:r>
    </w:p>
    <w:p>
      <w:pPr>
        <w:spacing w:after="0" w:line="200" w:lineRule="exact"/>
        <w:rPr>
          <w:sz w:val="20"/>
          <w:szCs w:val="20"/>
          <w:color w:val="auto"/>
        </w:rPr>
      </w:pPr>
    </w:p>
    <w:p>
      <w:pPr>
        <w:spacing w:after="0" w:line="258" w:lineRule="exact"/>
        <w:rPr>
          <w:sz w:val="20"/>
          <w:szCs w:val="20"/>
          <w:color w:val="auto"/>
        </w:rPr>
      </w:pPr>
    </w:p>
    <w:p>
      <w:pPr>
        <w:ind w:left="115"/>
        <w:spacing w:after="0"/>
        <w:rPr>
          <w:sz w:val="20"/>
          <w:szCs w:val="20"/>
          <w:color w:val="auto"/>
        </w:rPr>
      </w:pPr>
      <w:r>
        <w:rPr>
          <w:rFonts w:ascii="Arial" w:cs="Arial" w:eastAsia="Arial" w:hAnsi="Arial"/>
          <w:sz w:val="17"/>
          <w:szCs w:val="17"/>
          <w:b w:val="1"/>
          <w:bCs w:val="1"/>
          <w:color w:val="284993"/>
        </w:rPr>
        <w:t>Skills and Qualifications</w:t>
      </w:r>
    </w:p>
    <w:p>
      <w:pPr>
        <w:spacing w:after="0" w:line="162" w:lineRule="exact"/>
        <w:rPr>
          <w:sz w:val="20"/>
          <w:szCs w:val="20"/>
          <w:color w:val="auto"/>
        </w:rPr>
      </w:pPr>
    </w:p>
    <w:p>
      <w:pPr>
        <w:ind w:left="115"/>
        <w:spacing w:after="0"/>
        <w:rPr>
          <w:sz w:val="20"/>
          <w:szCs w:val="20"/>
          <w:color w:val="auto"/>
        </w:rPr>
      </w:pPr>
      <w:r>
        <w:rPr>
          <w:rFonts w:ascii="Arial" w:cs="Arial" w:eastAsia="Arial" w:hAnsi="Arial"/>
          <w:sz w:val="16"/>
          <w:szCs w:val="16"/>
          <w:color w:val="auto"/>
        </w:rPr>
        <w:t>•  Payments Industry Knowledge</w:t>
      </w:r>
    </w:p>
    <w:p>
      <w:pPr>
        <w:spacing w:after="0" w:line="10" w:lineRule="exact"/>
        <w:rPr>
          <w:sz w:val="20"/>
          <w:szCs w:val="20"/>
          <w:color w:val="auto"/>
        </w:rPr>
      </w:pPr>
    </w:p>
    <w:p>
      <w:pPr>
        <w:ind w:left="115"/>
        <w:spacing w:after="0"/>
        <w:rPr>
          <w:sz w:val="20"/>
          <w:szCs w:val="20"/>
          <w:color w:val="auto"/>
        </w:rPr>
      </w:pPr>
      <w:r>
        <w:rPr>
          <w:rFonts w:ascii="Arial" w:cs="Arial" w:eastAsia="Arial" w:hAnsi="Arial"/>
          <w:sz w:val="16"/>
          <w:szCs w:val="16"/>
          <w:color w:val="auto"/>
        </w:rPr>
        <w:t>•  Financial Services Industry Experience</w:t>
      </w:r>
    </w:p>
    <w:p>
      <w:pPr>
        <w:ind w:left="115"/>
        <w:spacing w:after="0" w:line="237" w:lineRule="auto"/>
        <w:rPr>
          <w:sz w:val="20"/>
          <w:szCs w:val="20"/>
          <w:color w:val="auto"/>
        </w:rPr>
      </w:pPr>
      <w:r>
        <w:rPr>
          <w:rFonts w:ascii="Arial" w:cs="Arial" w:eastAsia="Arial" w:hAnsi="Arial"/>
          <w:sz w:val="16"/>
          <w:szCs w:val="16"/>
          <w:color w:val="auto"/>
        </w:rPr>
        <w:t>•  Financial Management Experience</w:t>
      </w:r>
    </w:p>
    <w:p>
      <w:pPr>
        <w:ind w:left="115" w:right="2719"/>
        <w:spacing w:after="0" w:line="271" w:lineRule="auto"/>
        <w:rPr>
          <w:sz w:val="20"/>
          <w:szCs w:val="20"/>
          <w:color w:val="auto"/>
        </w:rPr>
      </w:pPr>
      <w:r>
        <w:rPr>
          <w:rFonts w:ascii="Arial" w:cs="Arial" w:eastAsia="Arial" w:hAnsi="Arial"/>
          <w:sz w:val="14"/>
          <w:szCs w:val="14"/>
          <w:color w:val="auto"/>
        </w:rPr>
        <w:t>•  Executive Leadership of a Complex Business •  Technology and Innovation Experience •  Risk and Regulatory Experience</w:t>
      </w:r>
    </w:p>
    <w:p>
      <w:pPr>
        <w:ind w:left="115"/>
        <w:spacing w:after="0"/>
        <w:rPr>
          <w:sz w:val="20"/>
          <w:szCs w:val="20"/>
          <w:color w:val="auto"/>
        </w:rPr>
      </w:pPr>
      <w:r>
        <w:rPr>
          <w:rFonts w:ascii="Arial" w:cs="Arial" w:eastAsia="Arial" w:hAnsi="Arial"/>
          <w:sz w:val="16"/>
          <w:szCs w:val="16"/>
          <w:color w:val="auto"/>
        </w:rPr>
        <w:t>•  International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-1971675</wp:posOffset>
            </wp:positionH>
            <wp:positionV relativeFrom="paragraph">
              <wp:posOffset>186690</wp:posOffset>
            </wp:positionV>
            <wp:extent cx="5958205" cy="36398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58205" cy="363982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295" w:hanging="295"/>
        <w:spacing w:after="0"/>
        <w:tabs>
          <w:tab w:leader="none" w:pos="295"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Current Roles</w:t>
      </w:r>
    </w:p>
    <w:p>
      <w:pPr>
        <w:spacing w:after="0" w:line="11" w:lineRule="exact"/>
        <w:rPr>
          <w:rFonts w:ascii="Arial" w:cs="Arial" w:eastAsia="Arial" w:hAnsi="Arial"/>
          <w:sz w:val="16"/>
          <w:szCs w:val="16"/>
          <w:color w:val="auto"/>
        </w:rPr>
      </w:pPr>
    </w:p>
    <w:p>
      <w:pPr>
        <w:ind w:left="435" w:right="599" w:hanging="156"/>
        <w:spacing w:after="0" w:line="237" w:lineRule="auto"/>
        <w:rPr>
          <w:rFonts w:ascii="Arial" w:cs="Arial" w:eastAsia="Arial" w:hAnsi="Arial"/>
          <w:sz w:val="16"/>
          <w:szCs w:val="16"/>
          <w:color w:val="auto"/>
        </w:rPr>
      </w:pPr>
      <w:r>
        <w:rPr>
          <w:rFonts w:ascii="Arial" w:cs="Arial" w:eastAsia="Arial" w:hAnsi="Arial"/>
          <w:sz w:val="16"/>
          <w:szCs w:val="16"/>
          <w:color w:val="auto"/>
        </w:rPr>
        <w:t>•  Serves as a Director of Rimini Street, Inc., a global provider of end-to-end enterprise software support, products and services</w:t>
      </w:r>
    </w:p>
    <w:p>
      <w:pPr>
        <w:ind w:left="295"/>
        <w:spacing w:after="0"/>
        <w:rPr>
          <w:rFonts w:ascii="Arial" w:cs="Arial" w:eastAsia="Arial" w:hAnsi="Arial"/>
          <w:sz w:val="16"/>
          <w:szCs w:val="16"/>
          <w:color w:val="auto"/>
        </w:rPr>
      </w:pPr>
      <w:r>
        <w:rPr>
          <w:rFonts w:ascii="Arial" w:cs="Arial" w:eastAsia="Arial" w:hAnsi="Arial"/>
          <w:sz w:val="16"/>
          <w:szCs w:val="16"/>
          <w:color w:val="auto"/>
        </w:rPr>
        <w:t>•  Serves as a Director of Intrusion, Inc., a cybersecurity company</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295"/>
        <w:spacing w:after="0"/>
        <w:rPr>
          <w:rFonts w:ascii="Arial" w:cs="Arial" w:eastAsia="Arial" w:hAnsi="Arial"/>
          <w:sz w:val="16"/>
          <w:szCs w:val="16"/>
          <w:color w:val="auto"/>
        </w:rPr>
      </w:pPr>
      <w:r>
        <w:rPr>
          <w:rFonts w:ascii="Arial" w:cs="Arial" w:eastAsia="Arial" w:hAnsi="Arial"/>
          <w:sz w:val="16"/>
          <w:szCs w:val="16"/>
          <w:b w:val="1"/>
          <w:bCs w:val="1"/>
          <w:i w:val="1"/>
          <w:iCs w:val="1"/>
          <w:color w:val="auto"/>
        </w:rPr>
        <w:t>Past Roles</w:t>
      </w:r>
    </w:p>
    <w:p>
      <w:pPr>
        <w:spacing w:after="0" w:line="11" w:lineRule="exact"/>
        <w:rPr>
          <w:rFonts w:ascii="Arial" w:cs="Arial" w:eastAsia="Arial" w:hAnsi="Arial"/>
          <w:sz w:val="16"/>
          <w:szCs w:val="16"/>
          <w:color w:val="auto"/>
        </w:rPr>
      </w:pPr>
    </w:p>
    <w:p>
      <w:pPr>
        <w:ind w:left="435" w:right="439" w:hanging="156"/>
        <w:spacing w:after="0" w:line="237" w:lineRule="auto"/>
        <w:rPr>
          <w:rFonts w:ascii="Arial" w:cs="Arial" w:eastAsia="Arial" w:hAnsi="Arial"/>
          <w:sz w:val="16"/>
          <w:szCs w:val="16"/>
          <w:color w:val="auto"/>
        </w:rPr>
      </w:pPr>
      <w:r>
        <w:rPr>
          <w:rFonts w:ascii="Arial" w:cs="Arial" w:eastAsia="Arial" w:hAnsi="Arial"/>
          <w:sz w:val="16"/>
          <w:szCs w:val="16"/>
          <w:color w:val="auto"/>
        </w:rPr>
        <w:t>•  Served in a variety of leadership roles at Red Hat, a leading provider of enterprise open-source solutions, including Vice President of Customer and Product Experience and VP of Investor Relations (2007-2020)</w:t>
      </w:r>
    </w:p>
    <w:p>
      <w:pPr>
        <w:ind w:left="435" w:right="259" w:hanging="156"/>
        <w:spacing w:after="0" w:line="271" w:lineRule="auto"/>
        <w:rPr>
          <w:rFonts w:ascii="Arial" w:cs="Arial" w:eastAsia="Arial" w:hAnsi="Arial"/>
          <w:sz w:val="16"/>
          <w:szCs w:val="16"/>
          <w:color w:val="auto"/>
        </w:rPr>
      </w:pPr>
      <w:r>
        <w:rPr>
          <w:rFonts w:ascii="Arial" w:cs="Arial" w:eastAsia="Arial" w:hAnsi="Arial"/>
          <w:sz w:val="14"/>
          <w:szCs w:val="14"/>
          <w:color w:val="auto"/>
        </w:rPr>
        <w:t>•  Served as Chief Operating Officer and a Director of Micromuse Inc., a provider of scalable real-time business and service assurance software (2001-2003)</w:t>
      </w:r>
    </w:p>
    <w:p>
      <w:pPr>
        <w:ind w:left="435" w:right="379" w:hanging="156"/>
        <w:spacing w:after="0" w:line="237" w:lineRule="auto"/>
        <w:rPr>
          <w:rFonts w:ascii="Arial" w:cs="Arial" w:eastAsia="Arial" w:hAnsi="Arial"/>
          <w:sz w:val="16"/>
          <w:szCs w:val="16"/>
          <w:color w:val="auto"/>
        </w:rPr>
      </w:pPr>
      <w:r>
        <w:rPr>
          <w:rFonts w:ascii="Arial" w:cs="Arial" w:eastAsia="Arial" w:hAnsi="Arial"/>
          <w:sz w:val="16"/>
          <w:szCs w:val="16"/>
          <w:color w:val="auto"/>
        </w:rPr>
        <w:t>•  Served as General Manager and SVP, Operations of Aprisa Management Technologies, a vendor management software division of Cabletion Systems (1997-2001)</w:t>
      </w:r>
    </w:p>
    <w:p>
      <w:pPr>
        <w:ind w:left="435" w:right="319" w:hanging="156"/>
        <w:spacing w:after="0" w:line="246" w:lineRule="auto"/>
        <w:rPr>
          <w:rFonts w:ascii="Arial" w:cs="Arial" w:eastAsia="Arial" w:hAnsi="Arial"/>
          <w:sz w:val="16"/>
          <w:szCs w:val="16"/>
          <w:color w:val="auto"/>
        </w:rPr>
      </w:pPr>
      <w:r>
        <w:rPr>
          <w:rFonts w:ascii="Arial" w:cs="Arial" w:eastAsia="Arial" w:hAnsi="Arial"/>
          <w:sz w:val="16"/>
          <w:szCs w:val="16"/>
          <w:color w:val="auto"/>
        </w:rPr>
        <w:t>•  Served as a Senior Auditor at Deloitte &amp; Touche LLP (1989-1993) and earned her CPA license.</w:t>
      </w:r>
    </w:p>
    <w:p>
      <w:pPr>
        <w:spacing w:after="0" w:line="200" w:lineRule="exact"/>
        <w:rPr>
          <w:rFonts w:ascii="Arial" w:cs="Arial" w:eastAsia="Arial" w:hAnsi="Arial"/>
          <w:sz w:val="16"/>
          <w:szCs w:val="16"/>
          <w:color w:val="auto"/>
        </w:rPr>
      </w:pPr>
    </w:p>
    <w:p>
      <w:pPr>
        <w:spacing w:after="0" w:line="259" w:lineRule="exact"/>
        <w:rPr>
          <w:rFonts w:ascii="Arial" w:cs="Arial" w:eastAsia="Arial" w:hAnsi="Arial"/>
          <w:sz w:val="16"/>
          <w:szCs w:val="16"/>
          <w:color w:val="auto"/>
        </w:rPr>
      </w:pPr>
    </w:p>
    <w:p>
      <w:pPr>
        <w:ind w:left="295"/>
        <w:spacing w:after="0"/>
        <w:rPr>
          <w:rFonts w:ascii="Arial" w:cs="Arial" w:eastAsia="Arial" w:hAnsi="Arial"/>
          <w:sz w:val="16"/>
          <w:szCs w:val="16"/>
          <w:color w:val="auto"/>
        </w:rPr>
      </w:pPr>
      <w:r>
        <w:rPr>
          <w:rFonts w:ascii="Arial" w:cs="Arial" w:eastAsia="Arial" w:hAnsi="Arial"/>
          <w:sz w:val="17"/>
          <w:szCs w:val="17"/>
          <w:b w:val="1"/>
          <w:bCs w:val="1"/>
          <w:color w:val="284993"/>
        </w:rPr>
        <w:t>Skills and Qualifications</w:t>
      </w:r>
    </w:p>
    <w:p>
      <w:pPr>
        <w:spacing w:after="0" w:line="149" w:lineRule="exact"/>
        <w:rPr>
          <w:rFonts w:ascii="Arial" w:cs="Arial" w:eastAsia="Arial" w:hAnsi="Arial"/>
          <w:sz w:val="16"/>
          <w:szCs w:val="16"/>
          <w:color w:val="auto"/>
        </w:rPr>
      </w:pPr>
    </w:p>
    <w:p>
      <w:pPr>
        <w:ind w:left="295"/>
        <w:spacing w:after="0"/>
        <w:rPr>
          <w:rFonts w:ascii="Arial" w:cs="Arial" w:eastAsia="Arial" w:hAnsi="Arial"/>
          <w:sz w:val="16"/>
          <w:szCs w:val="16"/>
          <w:color w:val="auto"/>
        </w:rPr>
      </w:pPr>
      <w:r>
        <w:rPr>
          <w:rFonts w:ascii="Arial" w:cs="Arial" w:eastAsia="Arial" w:hAnsi="Arial"/>
          <w:sz w:val="16"/>
          <w:szCs w:val="16"/>
          <w:color w:val="auto"/>
        </w:rPr>
        <w:t>•  Payments Industry Knowledge</w:t>
      </w:r>
    </w:p>
    <w:p>
      <w:pPr>
        <w:spacing w:after="0" w:line="11" w:lineRule="exact"/>
        <w:rPr>
          <w:rFonts w:ascii="Arial" w:cs="Arial" w:eastAsia="Arial" w:hAnsi="Arial"/>
          <w:sz w:val="16"/>
          <w:szCs w:val="16"/>
          <w:color w:val="auto"/>
        </w:rPr>
      </w:pPr>
    </w:p>
    <w:p>
      <w:pPr>
        <w:ind w:left="295" w:right="2979"/>
        <w:spacing w:after="0" w:line="237" w:lineRule="auto"/>
        <w:rPr>
          <w:rFonts w:ascii="Arial" w:cs="Arial" w:eastAsia="Arial" w:hAnsi="Arial"/>
          <w:sz w:val="16"/>
          <w:szCs w:val="16"/>
          <w:color w:val="auto"/>
        </w:rPr>
      </w:pPr>
      <w:r>
        <w:rPr>
          <w:rFonts w:ascii="Arial" w:cs="Arial" w:eastAsia="Arial" w:hAnsi="Arial"/>
          <w:sz w:val="16"/>
          <w:szCs w:val="16"/>
          <w:color w:val="auto"/>
        </w:rPr>
        <w:t>•  Financial Services Industry Experience •  Financial Expert</w:t>
      </w:r>
    </w:p>
    <w:p>
      <w:pPr>
        <w:ind w:left="295"/>
        <w:spacing w:after="0" w:line="237" w:lineRule="auto"/>
        <w:rPr>
          <w:rFonts w:ascii="Arial" w:cs="Arial" w:eastAsia="Arial" w:hAnsi="Arial"/>
          <w:sz w:val="16"/>
          <w:szCs w:val="16"/>
          <w:color w:val="auto"/>
        </w:rPr>
      </w:pPr>
      <w:r>
        <w:rPr>
          <w:rFonts w:ascii="Arial" w:cs="Arial" w:eastAsia="Arial" w:hAnsi="Arial"/>
          <w:sz w:val="16"/>
          <w:szCs w:val="16"/>
          <w:color w:val="auto"/>
        </w:rPr>
        <w:t>•  Financial Management Experience</w:t>
      </w:r>
    </w:p>
    <w:p>
      <w:pPr>
        <w:ind w:left="295" w:right="2539"/>
        <w:spacing w:after="0" w:line="237" w:lineRule="auto"/>
        <w:rPr>
          <w:rFonts w:ascii="Arial" w:cs="Arial" w:eastAsia="Arial" w:hAnsi="Arial"/>
          <w:sz w:val="16"/>
          <w:szCs w:val="16"/>
          <w:color w:val="auto"/>
        </w:rPr>
      </w:pPr>
      <w:r>
        <w:rPr>
          <w:rFonts w:ascii="Arial" w:cs="Arial" w:eastAsia="Arial" w:hAnsi="Arial"/>
          <w:sz w:val="16"/>
          <w:szCs w:val="16"/>
          <w:color w:val="auto"/>
        </w:rPr>
        <w:t>•  Executive Leadership of a Complex Business •  Risk and Regulatory Experience</w:t>
      </w:r>
    </w:p>
    <w:p>
      <w:pPr>
        <w:ind w:left="295"/>
        <w:spacing w:after="0"/>
        <w:rPr>
          <w:rFonts w:ascii="Arial" w:cs="Arial" w:eastAsia="Arial" w:hAnsi="Arial"/>
          <w:sz w:val="16"/>
          <w:szCs w:val="16"/>
          <w:color w:val="auto"/>
        </w:rPr>
      </w:pPr>
      <w:r>
        <w:rPr>
          <w:rFonts w:ascii="Arial" w:cs="Arial" w:eastAsia="Arial" w:hAnsi="Arial"/>
          <w:sz w:val="16"/>
          <w:szCs w:val="16"/>
          <w:color w:val="auto"/>
        </w:rPr>
        <w:t>•  International Experience</w:t>
      </w:r>
    </w:p>
    <w:p>
      <w:pPr>
        <w:spacing w:after="0" w:line="200" w:lineRule="exact"/>
        <w:rPr>
          <w:sz w:val="20"/>
          <w:szCs w:val="20"/>
          <w:color w:val="auto"/>
        </w:rPr>
      </w:pPr>
    </w:p>
    <w:p>
      <w:pPr>
        <w:sectPr>
          <w:pgSz w:w="11900" w:h="16838" w:orient="portrait"/>
          <w:cols w:equalWidth="0" w:num="2">
            <w:col w:w="2960" w:space="145"/>
            <w:col w:w="6094"/>
          </w:cols>
          <w:pgMar w:left="1260" w:top="559" w:right="1440" w:bottom="1440" w:gutter="0" w:footer="0" w:header="0"/>
        </w:sectPr>
      </w:pP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18</w:t>
      </w:r>
    </w:p>
    <w:p>
      <w:pPr>
        <w:sectPr>
          <w:pgSz w:w="11900" w:h="16838" w:orient="portrait"/>
          <w:cols w:equalWidth="0" w:num="1">
            <w:col w:w="9199"/>
          </w:cols>
          <w:pgMar w:left="1260" w:top="559" w:right="1440"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76"/>
        </w:trPr>
        <w:tc>
          <w:tcPr>
            <w:tcW w:w="180" w:type="dxa"/>
            <w:vAlign w:val="bottom"/>
            <w:vMerge w:val="restart"/>
          </w:tcPr>
          <w:p>
            <w:pPr>
              <w:spacing w:after="0"/>
              <w:rPr>
                <w:sz w:val="20"/>
                <w:szCs w:val="20"/>
                <w:color w:val="auto"/>
              </w:rPr>
            </w:pPr>
            <w:r>
              <w:rPr>
                <w:rFonts w:ascii="Arial" w:cs="Arial" w:eastAsia="Arial" w:hAnsi="Arial"/>
                <w:sz w:val="14"/>
                <w:szCs w:val="14"/>
                <w:color w:val="auto"/>
              </w:rPr>
              <w:t> </w:t>
            </w:r>
          </w:p>
        </w:tc>
        <w:tc>
          <w:tcPr>
            <w:tcW w:w="2720" w:type="dxa"/>
            <w:vAlign w:val="bottom"/>
          </w:tcPr>
          <w:p>
            <w:pPr>
              <w:ind w:left="120"/>
              <w:spacing w:after="0"/>
              <w:rPr>
                <w:sz w:val="20"/>
                <w:szCs w:val="20"/>
                <w:color w:val="auto"/>
              </w:rPr>
            </w:pPr>
            <w:r>
              <w:rPr>
                <w:rFonts w:ascii="Arial" w:cs="Arial" w:eastAsia="Arial" w:hAnsi="Arial"/>
                <w:sz w:val="24"/>
                <w:szCs w:val="24"/>
                <w:b w:val="1"/>
                <w:bCs w:val="1"/>
                <w:color w:val="284993"/>
              </w:rPr>
              <w:t>Charles E. Peters, Jr.</w:t>
            </w:r>
          </w:p>
        </w:tc>
        <w:tc>
          <w:tcPr>
            <w:tcW w:w="6140" w:type="dxa"/>
            <w:vAlign w:val="bottom"/>
            <w:gridSpan w:val="2"/>
          </w:tcPr>
          <w:p>
            <w:pPr>
              <w:ind w:left="180"/>
              <w:spacing w:after="0"/>
              <w:rPr>
                <w:sz w:val="20"/>
                <w:szCs w:val="20"/>
                <w:color w:val="auto"/>
              </w:rPr>
            </w:pPr>
            <w:r>
              <w:rPr>
                <w:rFonts w:ascii="Arial" w:cs="Arial" w:eastAsia="Arial" w:hAnsi="Arial"/>
                <w:sz w:val="17"/>
                <w:szCs w:val="17"/>
                <w:b w:val="1"/>
                <w:bCs w:val="1"/>
                <w:color w:val="284993"/>
              </w:rPr>
              <w:t xml:space="preserve">    </w:t>
            </w:r>
            <w:r>
              <w:rPr>
                <w:rFonts w:ascii="Arial" w:cs="Arial" w:eastAsia="Arial" w:hAnsi="Arial"/>
                <w:sz w:val="15"/>
                <w:szCs w:val="15"/>
                <w:b w:val="1"/>
                <w:bCs w:val="1"/>
                <w:i w:val="1"/>
                <w:iCs w:val="1"/>
                <w:color w:val="000000"/>
              </w:rPr>
              <w:t>Past Roles</w:t>
            </w:r>
          </w:p>
        </w:tc>
        <w:tc>
          <w:tcPr>
            <w:tcW w:w="0" w:type="dxa"/>
            <w:vAlign w:val="bottom"/>
          </w:tcPr>
          <w:p>
            <w:pPr>
              <w:spacing w:after="0"/>
              <w:rPr>
                <w:sz w:val="1"/>
                <w:szCs w:val="1"/>
                <w:color w:val="auto"/>
              </w:rPr>
            </w:pPr>
          </w:p>
        </w:tc>
      </w:tr>
      <w:tr>
        <w:trPr>
          <w:trHeight w:val="44"/>
        </w:trPr>
        <w:tc>
          <w:tcPr>
            <w:tcW w:w="180" w:type="dxa"/>
            <w:vAlign w:val="bottom"/>
            <w:vMerge w:val="continue"/>
          </w:tcPr>
          <w:p>
            <w:pPr>
              <w:spacing w:after="0"/>
              <w:rPr>
                <w:sz w:val="3"/>
                <w:szCs w:val="3"/>
                <w:color w:val="auto"/>
              </w:rPr>
            </w:pPr>
          </w:p>
        </w:tc>
        <w:tc>
          <w:tcPr>
            <w:tcW w:w="2720" w:type="dxa"/>
            <w:vAlign w:val="bottom"/>
          </w:tcPr>
          <w:p>
            <w:pPr>
              <w:spacing w:after="0"/>
              <w:rPr>
                <w:sz w:val="3"/>
                <w:szCs w:val="3"/>
                <w:color w:val="auto"/>
              </w:rPr>
            </w:pPr>
          </w:p>
        </w:tc>
        <w:tc>
          <w:tcPr>
            <w:tcW w:w="6140" w:type="dxa"/>
            <w:vAlign w:val="bottom"/>
            <w:gridSpan w:val="2"/>
            <w:vMerge w:val="restart"/>
          </w:tcPr>
          <w:p>
            <w:pPr>
              <w:ind w:left="480"/>
              <w:spacing w:after="0"/>
              <w:rPr>
                <w:sz w:val="20"/>
                <w:szCs w:val="20"/>
                <w:color w:val="auto"/>
              </w:rPr>
            </w:pPr>
            <w:r>
              <w:rPr>
                <w:rFonts w:ascii="Arial" w:cs="Arial" w:eastAsia="Arial" w:hAnsi="Arial"/>
                <w:sz w:val="16"/>
                <w:szCs w:val="16"/>
                <w:color w:val="auto"/>
                <w:w w:val="96"/>
              </w:rPr>
              <w:t>•  Served as Executive Vice President and Chief Financial Officer of Red Hat, Inc.,</w:t>
            </w:r>
          </w:p>
        </w:tc>
        <w:tc>
          <w:tcPr>
            <w:tcW w:w="0" w:type="dxa"/>
            <w:vAlign w:val="bottom"/>
          </w:tcPr>
          <w:p>
            <w:pPr>
              <w:spacing w:after="0"/>
              <w:rPr>
                <w:sz w:val="1"/>
                <w:szCs w:val="1"/>
                <w:color w:val="auto"/>
              </w:rPr>
            </w:pPr>
          </w:p>
        </w:tc>
      </w:tr>
      <w:tr>
        <w:trPr>
          <w:trHeight w:val="178"/>
        </w:trPr>
        <w:tc>
          <w:tcPr>
            <w:tcW w:w="1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6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272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72</w:t>
            </w:r>
          </w:p>
        </w:tc>
        <w:tc>
          <w:tcPr>
            <w:tcW w:w="480" w:type="dxa"/>
            <w:vAlign w:val="bottom"/>
          </w:tcPr>
          <w:p>
            <w:pPr>
              <w:spacing w:after="0"/>
              <w:rPr>
                <w:sz w:val="15"/>
                <w:szCs w:val="15"/>
                <w:color w:val="auto"/>
              </w:rPr>
            </w:pPr>
          </w:p>
        </w:tc>
        <w:tc>
          <w:tcPr>
            <w:tcW w:w="5660" w:type="dxa"/>
            <w:vAlign w:val="bottom"/>
          </w:tcPr>
          <w:p>
            <w:pPr>
              <w:ind w:left="140"/>
              <w:spacing w:after="0" w:line="182" w:lineRule="exact"/>
              <w:rPr>
                <w:sz w:val="20"/>
                <w:szCs w:val="20"/>
                <w:color w:val="auto"/>
              </w:rPr>
            </w:pPr>
            <w:r>
              <w:rPr>
                <w:rFonts w:ascii="Arial" w:cs="Arial" w:eastAsia="Arial" w:hAnsi="Arial"/>
                <w:sz w:val="16"/>
                <w:szCs w:val="16"/>
                <w:color w:val="auto"/>
              </w:rPr>
              <w:t>a multi-national global leader in open-source software, from 2004 to 2015</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2720" w:type="dxa"/>
            <w:vAlign w:val="bottom"/>
            <w:vMerge w:val="continue"/>
          </w:tcPr>
          <w:p>
            <w:pPr>
              <w:spacing w:after="0"/>
              <w:rPr>
                <w:sz w:val="13"/>
                <w:szCs w:val="13"/>
                <w:color w:val="auto"/>
              </w:rPr>
            </w:pPr>
          </w:p>
        </w:tc>
        <w:tc>
          <w:tcPr>
            <w:tcW w:w="6140" w:type="dxa"/>
            <w:vAlign w:val="bottom"/>
            <w:gridSpan w:val="2"/>
          </w:tcPr>
          <w:p>
            <w:pPr>
              <w:ind w:left="480"/>
              <w:spacing w:after="0" w:line="155" w:lineRule="exact"/>
              <w:rPr>
                <w:sz w:val="20"/>
                <w:szCs w:val="20"/>
                <w:color w:val="auto"/>
              </w:rPr>
            </w:pPr>
            <w:r>
              <w:rPr>
                <w:rFonts w:ascii="Arial" w:cs="Arial" w:eastAsia="Arial" w:hAnsi="Arial"/>
                <w:sz w:val="16"/>
                <w:szCs w:val="16"/>
                <w:color w:val="auto"/>
              </w:rPr>
              <w:t>•  Served as Senior Vice President and Chief Financial Officer of Burlington</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2720" w:type="dxa"/>
            <w:vAlign w:val="bottom"/>
          </w:tcPr>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w:t>
            </w:r>
          </w:p>
        </w:tc>
        <w:tc>
          <w:tcPr>
            <w:tcW w:w="48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Arial" w:cs="Arial" w:eastAsia="Arial" w:hAnsi="Arial"/>
                <w:sz w:val="16"/>
                <w:szCs w:val="16"/>
                <w:color w:val="auto"/>
              </w:rPr>
              <w:t>Industries, a multi-national manufacturer of textiles, commercial carpet and</w:t>
            </w: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272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Independent</w:t>
            </w:r>
          </w:p>
        </w:tc>
        <w:tc>
          <w:tcPr>
            <w:tcW w:w="480" w:type="dxa"/>
            <w:vAlign w:val="bottom"/>
          </w:tcPr>
          <w:p>
            <w:pPr>
              <w:spacing w:after="0"/>
              <w:rPr>
                <w:sz w:val="15"/>
                <w:szCs w:val="15"/>
                <w:color w:val="auto"/>
              </w:rPr>
            </w:pPr>
          </w:p>
        </w:tc>
        <w:tc>
          <w:tcPr>
            <w:tcW w:w="5660" w:type="dxa"/>
            <w:vAlign w:val="bottom"/>
          </w:tcPr>
          <w:p>
            <w:pPr>
              <w:ind w:left="140"/>
              <w:spacing w:after="0" w:line="182" w:lineRule="exact"/>
              <w:rPr>
                <w:sz w:val="20"/>
                <w:szCs w:val="20"/>
                <w:color w:val="auto"/>
              </w:rPr>
            </w:pPr>
            <w:r>
              <w:rPr>
                <w:rFonts w:ascii="Arial" w:cs="Arial" w:eastAsia="Arial" w:hAnsi="Arial"/>
                <w:sz w:val="16"/>
                <w:szCs w:val="16"/>
                <w:color w:val="auto"/>
              </w:rPr>
              <w:t>consumer products from 1995 to 2004</w:t>
            </w: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2720" w:type="dxa"/>
            <w:vAlign w:val="bottom"/>
            <w:vMerge w:val="continue"/>
          </w:tcPr>
          <w:p>
            <w:pPr>
              <w:spacing w:after="0"/>
              <w:rPr>
                <w:sz w:val="15"/>
                <w:szCs w:val="15"/>
                <w:color w:val="auto"/>
              </w:rPr>
            </w:pPr>
          </w:p>
        </w:tc>
        <w:tc>
          <w:tcPr>
            <w:tcW w:w="6140" w:type="dxa"/>
            <w:vAlign w:val="bottom"/>
            <w:gridSpan w:val="2"/>
          </w:tcPr>
          <w:p>
            <w:pPr>
              <w:ind w:left="480"/>
              <w:spacing w:after="0" w:line="182" w:lineRule="exact"/>
              <w:rPr>
                <w:sz w:val="20"/>
                <w:szCs w:val="20"/>
                <w:color w:val="auto"/>
              </w:rPr>
            </w:pPr>
            <w:r>
              <w:rPr>
                <w:rFonts w:ascii="Arial" w:cs="Arial" w:eastAsia="Arial" w:hAnsi="Arial"/>
                <w:sz w:val="16"/>
                <w:szCs w:val="16"/>
                <w:color w:val="auto"/>
              </w:rPr>
              <w:t>•  Served as Senior Vice President of Finance of Boston Edison Company, a</w:t>
            </w: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60" w:type="dxa"/>
            <w:vAlign w:val="bottom"/>
          </w:tcPr>
          <w:p>
            <w:pPr>
              <w:ind w:left="140"/>
              <w:spacing w:after="0" w:line="182" w:lineRule="exact"/>
              <w:rPr>
                <w:sz w:val="20"/>
                <w:szCs w:val="20"/>
                <w:color w:val="auto"/>
              </w:rPr>
            </w:pPr>
            <w:r>
              <w:rPr>
                <w:rFonts w:ascii="Arial" w:cs="Arial" w:eastAsia="Arial" w:hAnsi="Arial"/>
                <w:sz w:val="16"/>
                <w:szCs w:val="16"/>
                <w:color w:val="auto"/>
              </w:rPr>
              <w:t>public utility company that provided electricity to eastern Massachusetts, from</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720" w:type="dxa"/>
            <w:vAlign w:val="bottom"/>
          </w:tcPr>
          <w:p>
            <w:pPr>
              <w:ind w:left="120"/>
              <w:spacing w:after="0"/>
              <w:rPr>
                <w:sz w:val="20"/>
                <w:szCs w:val="20"/>
                <w:color w:val="auto"/>
              </w:rPr>
            </w:pPr>
            <w:r>
              <w:rPr>
                <w:rFonts w:ascii="Arial" w:cs="Arial" w:eastAsia="Arial" w:hAnsi="Arial"/>
                <w:sz w:val="16"/>
                <w:szCs w:val="16"/>
                <w:b w:val="1"/>
                <w:bCs w:val="1"/>
                <w:color w:val="auto"/>
              </w:rPr>
              <w:t xml:space="preserve">Committee Memberships: </w:t>
            </w:r>
            <w:r>
              <w:rPr>
                <w:rFonts w:ascii="Arial" w:cs="Arial" w:eastAsia="Arial" w:hAnsi="Arial"/>
                <w:sz w:val="16"/>
                <w:szCs w:val="16"/>
                <w:color w:val="auto"/>
              </w:rPr>
              <w:t>Audit</w:t>
            </w:r>
          </w:p>
        </w:tc>
        <w:tc>
          <w:tcPr>
            <w:tcW w:w="480" w:type="dxa"/>
            <w:vAlign w:val="bottom"/>
          </w:tcPr>
          <w:p>
            <w:pPr>
              <w:spacing w:after="0"/>
              <w:rPr>
                <w:sz w:val="16"/>
                <w:szCs w:val="16"/>
                <w:color w:val="auto"/>
              </w:rPr>
            </w:pPr>
          </w:p>
        </w:tc>
        <w:tc>
          <w:tcPr>
            <w:tcW w:w="5660" w:type="dxa"/>
            <w:vAlign w:val="bottom"/>
          </w:tcPr>
          <w:p>
            <w:pPr>
              <w:ind w:left="140"/>
              <w:spacing w:after="0"/>
              <w:rPr>
                <w:sz w:val="20"/>
                <w:szCs w:val="20"/>
                <w:color w:val="auto"/>
              </w:rPr>
            </w:pPr>
            <w:r>
              <w:rPr>
                <w:rFonts w:ascii="Arial" w:cs="Arial" w:eastAsia="Arial" w:hAnsi="Arial"/>
                <w:sz w:val="16"/>
                <w:szCs w:val="16"/>
                <w:color w:val="auto"/>
              </w:rPr>
              <w:t>1991 to 1995</w:t>
            </w: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2720" w:type="dxa"/>
            <w:vAlign w:val="bottom"/>
          </w:tcPr>
          <w:p>
            <w:pPr>
              <w:ind w:left="120"/>
              <w:spacing w:after="0" w:line="182" w:lineRule="exact"/>
              <w:rPr>
                <w:sz w:val="20"/>
                <w:szCs w:val="20"/>
                <w:color w:val="auto"/>
              </w:rPr>
            </w:pPr>
            <w:r>
              <w:rPr>
                <w:rFonts w:ascii="Arial" w:cs="Arial" w:eastAsia="Arial" w:hAnsi="Arial"/>
                <w:sz w:val="16"/>
                <w:szCs w:val="16"/>
                <w:i w:val="1"/>
                <w:iCs w:val="1"/>
                <w:color w:val="auto"/>
              </w:rPr>
              <w:t>(Chair</w:t>
            </w:r>
            <w:r>
              <w:rPr>
                <w:rFonts w:ascii="Arial" w:cs="Arial" w:eastAsia="Arial" w:hAnsi="Arial"/>
                <w:sz w:val="16"/>
                <w:szCs w:val="16"/>
                <w:color w:val="auto"/>
              </w:rPr>
              <w:t>), Corporate Governance</w:t>
            </w:r>
          </w:p>
        </w:tc>
        <w:tc>
          <w:tcPr>
            <w:tcW w:w="6140" w:type="dxa"/>
            <w:vAlign w:val="bottom"/>
            <w:gridSpan w:val="2"/>
          </w:tcPr>
          <w:p>
            <w:pPr>
              <w:ind w:left="480"/>
              <w:spacing w:after="0" w:line="182" w:lineRule="exact"/>
              <w:rPr>
                <w:sz w:val="20"/>
                <w:szCs w:val="20"/>
                <w:color w:val="auto"/>
              </w:rPr>
            </w:pPr>
            <w:r>
              <w:rPr>
                <w:rFonts w:ascii="Arial" w:cs="Arial" w:eastAsia="Arial" w:hAnsi="Arial"/>
                <w:sz w:val="16"/>
                <w:szCs w:val="16"/>
                <w:color w:val="auto"/>
              </w:rPr>
              <w:t>•  Served in various financial management positions at GenRad Inc., a multi-</w:t>
            </w:r>
          </w:p>
        </w:tc>
        <w:tc>
          <w:tcPr>
            <w:tcW w:w="0" w:type="dxa"/>
            <w:vAlign w:val="bottom"/>
          </w:tcPr>
          <w:p>
            <w:pPr>
              <w:spacing w:after="0"/>
              <w:rPr>
                <w:sz w:val="1"/>
                <w:szCs w:val="1"/>
                <w:color w:val="auto"/>
              </w:rPr>
            </w:pPr>
          </w:p>
        </w:tc>
      </w:tr>
      <w:tr>
        <w:trPr>
          <w:trHeight w:val="170"/>
        </w:trPr>
        <w:tc>
          <w:tcPr>
            <w:tcW w:w="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60" w:type="dxa"/>
            <w:vAlign w:val="bottom"/>
          </w:tcPr>
          <w:p>
            <w:pPr>
              <w:ind w:left="140"/>
              <w:spacing w:after="0" w:line="170" w:lineRule="exact"/>
              <w:rPr>
                <w:sz w:val="20"/>
                <w:szCs w:val="20"/>
                <w:color w:val="auto"/>
              </w:rPr>
            </w:pPr>
            <w:r>
              <w:rPr>
                <w:rFonts w:ascii="Arial" w:cs="Arial" w:eastAsia="Arial" w:hAnsi="Arial"/>
                <w:sz w:val="16"/>
                <w:szCs w:val="16"/>
                <w:color w:val="auto"/>
                <w:w w:val="98"/>
              </w:rPr>
              <w:t>national company that designs, manufactures and markets integrated hardware</w:t>
            </w: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272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Other Public Company Boards:</w:t>
            </w:r>
          </w:p>
        </w:tc>
        <w:tc>
          <w:tcPr>
            <w:tcW w:w="480" w:type="dxa"/>
            <w:vAlign w:val="bottom"/>
          </w:tcPr>
          <w:p>
            <w:pPr>
              <w:spacing w:after="0"/>
              <w:rPr>
                <w:sz w:val="15"/>
                <w:szCs w:val="15"/>
                <w:color w:val="auto"/>
              </w:rPr>
            </w:pPr>
          </w:p>
        </w:tc>
        <w:tc>
          <w:tcPr>
            <w:tcW w:w="5660" w:type="dxa"/>
            <w:vAlign w:val="bottom"/>
          </w:tcPr>
          <w:p>
            <w:pPr>
              <w:ind w:left="140"/>
              <w:spacing w:after="0" w:line="182" w:lineRule="exact"/>
              <w:rPr>
                <w:sz w:val="20"/>
                <w:szCs w:val="20"/>
                <w:color w:val="auto"/>
              </w:rPr>
            </w:pPr>
            <w:r>
              <w:rPr>
                <w:rFonts w:ascii="Arial" w:cs="Arial" w:eastAsia="Arial" w:hAnsi="Arial"/>
                <w:sz w:val="16"/>
                <w:szCs w:val="16"/>
                <w:color w:val="auto"/>
              </w:rPr>
              <w:t>and software solutions that enable the successful manufacturing, testing and</w:t>
            </w:r>
          </w:p>
        </w:tc>
        <w:tc>
          <w:tcPr>
            <w:tcW w:w="0" w:type="dxa"/>
            <w:vAlign w:val="bottom"/>
          </w:tcPr>
          <w:p>
            <w:pPr>
              <w:spacing w:after="0"/>
              <w:rPr>
                <w:sz w:val="1"/>
                <w:szCs w:val="1"/>
                <w:color w:val="auto"/>
              </w:rPr>
            </w:pPr>
          </w:p>
        </w:tc>
      </w:tr>
      <w:tr>
        <w:trPr>
          <w:trHeight w:val="78"/>
        </w:trPr>
        <w:tc>
          <w:tcPr>
            <w:tcW w:w="180" w:type="dxa"/>
            <w:vAlign w:val="bottom"/>
          </w:tcPr>
          <w:p>
            <w:pPr>
              <w:spacing w:after="0"/>
              <w:rPr>
                <w:sz w:val="6"/>
                <w:szCs w:val="6"/>
                <w:color w:val="auto"/>
              </w:rPr>
            </w:pPr>
          </w:p>
        </w:tc>
        <w:tc>
          <w:tcPr>
            <w:tcW w:w="27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5660" w:type="dxa"/>
            <w:vAlign w:val="bottom"/>
            <w:vMerge w:val="restart"/>
          </w:tcPr>
          <w:p>
            <w:pPr>
              <w:ind w:left="140"/>
              <w:spacing w:after="0" w:line="182" w:lineRule="exact"/>
              <w:rPr>
                <w:sz w:val="20"/>
                <w:szCs w:val="20"/>
                <w:color w:val="auto"/>
              </w:rPr>
            </w:pPr>
            <w:r>
              <w:rPr>
                <w:rFonts w:ascii="Arial" w:cs="Arial" w:eastAsia="Arial" w:hAnsi="Arial"/>
                <w:sz w:val="16"/>
                <w:szCs w:val="16"/>
                <w:color w:val="auto"/>
              </w:rPr>
              <w:t>servicing of electronic equipment, from 1982 to 1991</w:t>
            </w: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2720" w:type="dxa"/>
            <w:vAlign w:val="bottom"/>
            <w:vMerge w:val="restart"/>
          </w:tcPr>
          <w:p>
            <w:pPr>
              <w:ind w:left="120"/>
              <w:spacing w:after="0"/>
              <w:rPr>
                <w:sz w:val="20"/>
                <w:szCs w:val="20"/>
                <w:color w:val="auto"/>
              </w:rPr>
            </w:pPr>
            <w:r>
              <w:rPr>
                <w:rFonts w:ascii="Arial" w:cs="Arial" w:eastAsia="Arial" w:hAnsi="Arial"/>
                <w:sz w:val="16"/>
                <w:szCs w:val="16"/>
                <w:color w:val="auto"/>
              </w:rPr>
              <w:t>None</w:t>
            </w:r>
          </w:p>
        </w:tc>
        <w:tc>
          <w:tcPr>
            <w:tcW w:w="480" w:type="dxa"/>
            <w:vAlign w:val="bottom"/>
          </w:tcPr>
          <w:p>
            <w:pPr>
              <w:spacing w:after="0"/>
              <w:rPr>
                <w:sz w:val="9"/>
                <w:szCs w:val="9"/>
                <w:color w:val="auto"/>
              </w:rPr>
            </w:pPr>
          </w:p>
        </w:tc>
        <w:tc>
          <w:tcPr>
            <w:tcW w:w="5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80" w:type="dxa"/>
            <w:vAlign w:val="bottom"/>
          </w:tcPr>
          <w:p>
            <w:pPr>
              <w:spacing w:after="0"/>
              <w:rPr>
                <w:sz w:val="8"/>
                <w:szCs w:val="8"/>
                <w:color w:val="auto"/>
              </w:rPr>
            </w:pPr>
          </w:p>
        </w:tc>
        <w:tc>
          <w:tcPr>
            <w:tcW w:w="2720" w:type="dxa"/>
            <w:vAlign w:val="bottom"/>
            <w:vMerge w:val="continue"/>
          </w:tcPr>
          <w:p>
            <w:pPr>
              <w:spacing w:after="0"/>
              <w:rPr>
                <w:sz w:val="8"/>
                <w:szCs w:val="8"/>
                <w:color w:val="auto"/>
              </w:rPr>
            </w:pPr>
          </w:p>
        </w:tc>
        <w:tc>
          <w:tcPr>
            <w:tcW w:w="6140" w:type="dxa"/>
            <w:vAlign w:val="bottom"/>
            <w:gridSpan w:val="2"/>
            <w:vMerge w:val="restart"/>
          </w:tcPr>
          <w:p>
            <w:pPr>
              <w:ind w:left="480"/>
              <w:spacing w:after="0" w:line="182" w:lineRule="exact"/>
              <w:rPr>
                <w:sz w:val="20"/>
                <w:szCs w:val="20"/>
                <w:color w:val="auto"/>
              </w:rPr>
            </w:pPr>
            <w:r>
              <w:rPr>
                <w:rFonts w:ascii="Arial" w:cs="Arial" w:eastAsia="Arial" w:hAnsi="Arial"/>
                <w:sz w:val="16"/>
                <w:szCs w:val="16"/>
                <w:color w:val="auto"/>
                <w:w w:val="99"/>
              </w:rPr>
              <w:t>•  Served as Senior Manager at Price Waterhouse, a multi-national professional</w:t>
            </w: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2720" w:type="dxa"/>
            <w:vAlign w:val="bottom"/>
          </w:tcPr>
          <w:p>
            <w:pPr>
              <w:spacing w:after="0"/>
              <w:rPr>
                <w:sz w:val="7"/>
                <w:szCs w:val="7"/>
                <w:color w:val="auto"/>
              </w:rPr>
            </w:pPr>
          </w:p>
        </w:tc>
        <w:tc>
          <w:tcPr>
            <w:tcW w:w="6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60" w:type="dxa"/>
            <w:vAlign w:val="bottom"/>
          </w:tcPr>
          <w:p>
            <w:pPr>
              <w:ind w:left="140"/>
              <w:spacing w:after="0" w:line="182" w:lineRule="exact"/>
              <w:rPr>
                <w:sz w:val="20"/>
                <w:szCs w:val="20"/>
                <w:color w:val="auto"/>
              </w:rPr>
            </w:pPr>
            <w:r>
              <w:rPr>
                <w:rFonts w:ascii="Arial" w:cs="Arial" w:eastAsia="Arial" w:hAnsi="Arial"/>
                <w:sz w:val="16"/>
                <w:szCs w:val="16"/>
                <w:color w:val="auto"/>
              </w:rPr>
              <w:t>services network, from 1973 to 1982</w:t>
            </w: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6140" w:type="dxa"/>
            <w:vAlign w:val="bottom"/>
            <w:gridSpan w:val="2"/>
          </w:tcPr>
          <w:p>
            <w:pPr>
              <w:ind w:left="480"/>
              <w:spacing w:after="0" w:line="182" w:lineRule="exact"/>
              <w:rPr>
                <w:sz w:val="20"/>
                <w:szCs w:val="20"/>
                <w:color w:val="auto"/>
              </w:rPr>
            </w:pPr>
            <w:r>
              <w:rPr>
                <w:rFonts w:ascii="Arial" w:cs="Arial" w:eastAsia="Arial" w:hAnsi="Arial"/>
                <w:sz w:val="16"/>
                <w:szCs w:val="16"/>
                <w:color w:val="auto"/>
              </w:rPr>
              <w:t>•  Previously served as a director of Veracode Inc., a privately held software</w:t>
            </w: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60" w:type="dxa"/>
            <w:vAlign w:val="bottom"/>
          </w:tcPr>
          <w:p>
            <w:pPr>
              <w:ind w:left="140"/>
              <w:spacing w:after="0" w:line="182" w:lineRule="exact"/>
              <w:rPr>
                <w:sz w:val="20"/>
                <w:szCs w:val="20"/>
                <w:color w:val="auto"/>
              </w:rPr>
            </w:pPr>
            <w:r>
              <w:rPr>
                <w:rFonts w:ascii="Arial" w:cs="Arial" w:eastAsia="Arial" w:hAnsi="Arial"/>
                <w:sz w:val="16"/>
                <w:szCs w:val="16"/>
                <w:color w:val="auto"/>
                <w:w w:val="98"/>
              </w:rPr>
              <w:t>company providing application-layer cyber security solutions; Sourcefire, Inc., a</w:t>
            </w: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60" w:type="dxa"/>
            <w:vAlign w:val="bottom"/>
          </w:tcPr>
          <w:p>
            <w:pPr>
              <w:ind w:left="140"/>
              <w:spacing w:after="0" w:line="182" w:lineRule="exact"/>
              <w:rPr>
                <w:sz w:val="20"/>
                <w:szCs w:val="20"/>
                <w:color w:val="auto"/>
              </w:rPr>
            </w:pPr>
            <w:r>
              <w:rPr>
                <w:rFonts w:ascii="Arial" w:cs="Arial" w:eastAsia="Arial" w:hAnsi="Arial"/>
                <w:sz w:val="16"/>
                <w:szCs w:val="16"/>
                <w:color w:val="auto"/>
                <w:w w:val="97"/>
              </w:rPr>
              <w:t>developer of network security hardware and software; Lulu, Inc., a privately held</w:t>
            </w: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60" w:type="dxa"/>
            <w:vAlign w:val="bottom"/>
          </w:tcPr>
          <w:p>
            <w:pPr>
              <w:ind w:left="140"/>
              <w:spacing w:after="0" w:line="182" w:lineRule="exact"/>
              <w:rPr>
                <w:sz w:val="20"/>
                <w:szCs w:val="20"/>
                <w:color w:val="auto"/>
              </w:rPr>
            </w:pPr>
            <w:r>
              <w:rPr>
                <w:rFonts w:ascii="Arial" w:cs="Arial" w:eastAsia="Arial" w:hAnsi="Arial"/>
                <w:sz w:val="16"/>
                <w:szCs w:val="16"/>
                <w:color w:val="auto"/>
                <w:w w:val="98"/>
              </w:rPr>
              <w:t>electronic publishing company; Protective Products of America, Inc., a provider</w:t>
            </w: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60" w:type="dxa"/>
            <w:vAlign w:val="bottom"/>
          </w:tcPr>
          <w:p>
            <w:pPr>
              <w:ind w:left="140"/>
              <w:spacing w:after="0" w:line="182" w:lineRule="exact"/>
              <w:rPr>
                <w:sz w:val="20"/>
                <w:szCs w:val="20"/>
                <w:color w:val="auto"/>
              </w:rPr>
            </w:pPr>
            <w:r>
              <w:rPr>
                <w:rFonts w:ascii="Arial" w:cs="Arial" w:eastAsia="Arial" w:hAnsi="Arial"/>
                <w:sz w:val="16"/>
                <w:szCs w:val="16"/>
                <w:color w:val="auto"/>
              </w:rPr>
              <w:t>of body armor to military and police; and CloudBees, Inc., a privately held</w:t>
            </w: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60" w:type="dxa"/>
            <w:vAlign w:val="bottom"/>
          </w:tcPr>
          <w:p>
            <w:pPr>
              <w:ind w:left="140"/>
              <w:spacing w:after="0" w:line="182" w:lineRule="exact"/>
              <w:rPr>
                <w:sz w:val="20"/>
                <w:szCs w:val="20"/>
                <w:color w:val="auto"/>
              </w:rPr>
            </w:pPr>
            <w:r>
              <w:rPr>
                <w:rFonts w:ascii="Arial" w:cs="Arial" w:eastAsia="Arial" w:hAnsi="Arial"/>
                <w:sz w:val="16"/>
                <w:szCs w:val="16"/>
                <w:color w:val="auto"/>
                <w:w w:val="99"/>
              </w:rPr>
              <w:t>software company that provides solutions and support for automating software</w:t>
            </w: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60" w:type="dxa"/>
            <w:vAlign w:val="bottom"/>
          </w:tcPr>
          <w:p>
            <w:pPr>
              <w:ind w:left="140"/>
              <w:spacing w:after="0"/>
              <w:rPr>
                <w:sz w:val="20"/>
                <w:szCs w:val="20"/>
                <w:color w:val="auto"/>
              </w:rPr>
            </w:pPr>
            <w:r>
              <w:rPr>
                <w:rFonts w:ascii="Arial" w:cs="Arial" w:eastAsia="Arial" w:hAnsi="Arial"/>
                <w:sz w:val="16"/>
                <w:szCs w:val="16"/>
                <w:color w:val="auto"/>
              </w:rPr>
              <w:t>development and delivery with Enterprise Jenkins and DevOps.</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60" w:type="dxa"/>
            <w:vAlign w:val="bottom"/>
            <w:tcBorders>
              <w:bottom w:val="single" w:sz="8" w:color="284993"/>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9941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9310" cy="3994150"/>
                    </a:xfrm>
                    <a:prstGeom prst="rect">
                      <a:avLst/>
                    </a:prstGeom>
                    <a:noFill/>
                  </pic:spPr>
                </pic:pic>
              </a:graphicData>
            </a:graphic>
          </wp:anchor>
        </w:drawing>
      </w:r>
    </w:p>
    <w:p>
      <w:pPr>
        <w:ind w:left="3380"/>
        <w:spacing w:after="0"/>
        <w:rPr>
          <w:sz w:val="20"/>
          <w:szCs w:val="20"/>
          <w:color w:val="auto"/>
        </w:rPr>
      </w:pPr>
      <w:r>
        <w:rPr>
          <w:rFonts w:ascii="Arial" w:cs="Arial" w:eastAsia="Arial" w:hAnsi="Arial"/>
          <w:sz w:val="17"/>
          <w:szCs w:val="17"/>
          <w:b w:val="1"/>
          <w:bCs w:val="1"/>
          <w:color w:val="284993"/>
        </w:rPr>
        <w:t>Skills and Qualifications</w:t>
      </w:r>
    </w:p>
    <w:p>
      <w:pPr>
        <w:spacing w:after="0" w:line="149"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•  Financial Expert</w:t>
      </w:r>
    </w:p>
    <w:p>
      <w:pPr>
        <w:spacing w:after="0" w:line="10"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•  Financial Management Experience</w:t>
      </w:r>
    </w:p>
    <w:p>
      <w:pPr>
        <w:ind w:left="3380"/>
        <w:spacing w:after="0" w:line="237" w:lineRule="auto"/>
        <w:rPr>
          <w:sz w:val="20"/>
          <w:szCs w:val="20"/>
          <w:color w:val="auto"/>
        </w:rPr>
      </w:pPr>
      <w:r>
        <w:rPr>
          <w:rFonts w:ascii="Arial" w:cs="Arial" w:eastAsia="Arial" w:hAnsi="Arial"/>
          <w:sz w:val="16"/>
          <w:szCs w:val="16"/>
          <w:color w:val="auto"/>
        </w:rPr>
        <w:t>•  Executive Leadership of a Complex Business</w:t>
      </w:r>
    </w:p>
    <w:p>
      <w:pPr>
        <w:ind w:left="3380"/>
        <w:spacing w:after="0" w:line="237" w:lineRule="auto"/>
        <w:rPr>
          <w:sz w:val="20"/>
          <w:szCs w:val="20"/>
          <w:color w:val="auto"/>
        </w:rPr>
      </w:pPr>
      <w:r>
        <w:rPr>
          <w:rFonts w:ascii="Arial" w:cs="Arial" w:eastAsia="Arial" w:hAnsi="Arial"/>
          <w:sz w:val="16"/>
          <w:szCs w:val="16"/>
          <w:color w:val="auto"/>
        </w:rPr>
        <w:t>•  Technology and Innovation Experience</w:t>
      </w:r>
    </w:p>
    <w:p>
      <w:pPr>
        <w:ind w:left="3380"/>
        <w:spacing w:after="0"/>
        <w:rPr>
          <w:sz w:val="20"/>
          <w:szCs w:val="20"/>
          <w:color w:val="auto"/>
        </w:rPr>
      </w:pPr>
      <w:r>
        <w:rPr>
          <w:rFonts w:ascii="Arial" w:cs="Arial" w:eastAsia="Arial" w:hAnsi="Arial"/>
          <w:sz w:val="16"/>
          <w:szCs w:val="16"/>
          <w:color w:val="auto"/>
        </w:rPr>
        <w:t>•  International Experience</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19</w:t>
      </w:r>
    </w:p>
    <w:p>
      <w:pPr>
        <w:sectPr>
          <w:pgSz w:w="11900" w:h="16838" w:orient="portrait"/>
          <w:cols w:equalWidth="0" w:num="1">
            <w:col w:w="9340"/>
          </w:cols>
          <w:pgMar w:left="1280" w:top="448" w:right="127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0"/>
        </w:trPr>
        <w:tc>
          <w:tcPr>
            <w:tcW w:w="3100" w:type="dxa"/>
            <w:vAlign w:val="bottom"/>
            <w:vMerge w:val="restart"/>
          </w:tcPr>
          <w:p>
            <w:pPr>
              <w:ind w:left="20"/>
              <w:spacing w:after="0"/>
              <w:rPr>
                <w:sz w:val="20"/>
                <w:szCs w:val="20"/>
                <w:color w:val="auto"/>
              </w:rPr>
            </w:pPr>
            <w:r>
              <w:rPr>
                <w:rFonts w:ascii="Arial" w:cs="Arial" w:eastAsia="Arial" w:hAnsi="Arial"/>
                <w:sz w:val="34"/>
                <w:szCs w:val="34"/>
                <w:color w:val="000000"/>
                <w:vertAlign w:val="superscript"/>
              </w:rPr>
              <w:t xml:space="preserve"> </w:t>
            </w:r>
            <w:r>
              <w:rPr>
                <w:rFonts w:ascii="Arial" w:cs="Arial" w:eastAsia="Arial" w:hAnsi="Arial"/>
                <w:sz w:val="24"/>
                <w:szCs w:val="24"/>
                <w:b w:val="1"/>
                <w:bCs w:val="1"/>
                <w:color w:val="284993"/>
              </w:rPr>
              <w:t xml:space="preserve">   Thomas W. Warsop III </w:t>
            </w:r>
            <w:r>
              <w:rPr>
                <w:rFonts w:ascii="Arial" w:cs="Arial" w:eastAsia="Arial" w:hAnsi="Arial"/>
                <w:sz w:val="31"/>
                <w:szCs w:val="31"/>
                <w:color w:val="000000"/>
                <w:vertAlign w:val="superscript"/>
              </w:rPr>
              <w:t xml:space="preserve"> </w:t>
            </w:r>
          </w:p>
        </w:tc>
        <w:tc>
          <w:tcPr>
            <w:tcW w:w="2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586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Current Roles</w:t>
            </w:r>
          </w:p>
        </w:tc>
        <w:tc>
          <w:tcPr>
            <w:tcW w:w="0" w:type="dxa"/>
            <w:vAlign w:val="bottom"/>
          </w:tcPr>
          <w:p>
            <w:pPr>
              <w:spacing w:after="0"/>
              <w:rPr>
                <w:sz w:val="1"/>
                <w:szCs w:val="1"/>
                <w:color w:val="auto"/>
              </w:rPr>
            </w:pPr>
          </w:p>
        </w:tc>
      </w:tr>
      <w:tr>
        <w:trPr>
          <w:trHeight w:val="221"/>
        </w:trPr>
        <w:tc>
          <w:tcPr>
            <w:tcW w:w="3100" w:type="dxa"/>
            <w:vAlign w:val="bottom"/>
            <w:vMerge w:val="continue"/>
          </w:tcPr>
          <w:p>
            <w:pPr>
              <w:spacing w:after="0"/>
              <w:rPr>
                <w:sz w:val="19"/>
                <w:szCs w:val="19"/>
                <w:color w:val="auto"/>
              </w:rPr>
            </w:pPr>
          </w:p>
        </w:tc>
        <w:tc>
          <w:tcPr>
            <w:tcW w:w="20" w:type="dxa"/>
            <w:vAlign w:val="bottom"/>
            <w:shd w:val="clear" w:color="auto" w:fill="284993"/>
          </w:tcPr>
          <w:p>
            <w:pPr>
              <w:spacing w:after="0"/>
              <w:rPr>
                <w:sz w:val="19"/>
                <w:szCs w:val="19"/>
                <w:color w:val="auto"/>
              </w:rPr>
            </w:pPr>
          </w:p>
        </w:tc>
        <w:tc>
          <w:tcPr>
            <w:tcW w:w="80" w:type="dxa"/>
            <w:vAlign w:val="bottom"/>
            <w:vMerge w:val="continue"/>
          </w:tcPr>
          <w:p>
            <w:pPr>
              <w:spacing w:after="0"/>
              <w:rPr>
                <w:sz w:val="19"/>
                <w:szCs w:val="19"/>
                <w:color w:val="auto"/>
              </w:rPr>
            </w:pPr>
          </w:p>
        </w:tc>
        <w:tc>
          <w:tcPr>
            <w:tcW w:w="5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20" w:type="dxa"/>
            <w:vAlign w:val="bottom"/>
            <w:shd w:val="clear" w:color="auto" w:fill="284993"/>
          </w:tcPr>
          <w:p>
            <w:pPr>
              <w:spacing w:after="0"/>
              <w:rPr>
                <w:sz w:val="11"/>
                <w:szCs w:val="11"/>
                <w:color w:val="auto"/>
              </w:rPr>
            </w:pPr>
          </w:p>
        </w:tc>
        <w:tc>
          <w:tcPr>
            <w:tcW w:w="80" w:type="dxa"/>
            <w:vAlign w:val="bottom"/>
          </w:tcPr>
          <w:p>
            <w:pPr>
              <w:spacing w:after="0"/>
              <w:rPr>
                <w:sz w:val="11"/>
                <w:szCs w:val="11"/>
                <w:color w:val="auto"/>
              </w:rPr>
            </w:pPr>
          </w:p>
        </w:tc>
        <w:tc>
          <w:tcPr>
            <w:tcW w:w="5860" w:type="dxa"/>
            <w:vAlign w:val="bottom"/>
          </w:tcPr>
          <w:p>
            <w:pPr>
              <w:spacing w:after="0" w:line="131" w:lineRule="exact"/>
              <w:rPr>
                <w:sz w:val="20"/>
                <w:szCs w:val="20"/>
                <w:color w:val="auto"/>
              </w:rPr>
            </w:pPr>
            <w:r>
              <w:rPr>
                <w:rFonts w:ascii="Arial" w:cs="Arial" w:eastAsia="Arial" w:hAnsi="Arial"/>
                <w:sz w:val="14"/>
                <w:szCs w:val="14"/>
                <w:color w:val="auto"/>
              </w:rPr>
              <w:t>•  President and Chief Executive Officer of ACI Worldwide, Inc.</w:t>
            </w:r>
          </w:p>
        </w:tc>
        <w:tc>
          <w:tcPr>
            <w:tcW w:w="0" w:type="dxa"/>
            <w:vAlign w:val="bottom"/>
          </w:tcPr>
          <w:p>
            <w:pPr>
              <w:spacing w:after="0"/>
              <w:rPr>
                <w:sz w:val="1"/>
                <w:szCs w:val="1"/>
                <w:color w:val="auto"/>
              </w:rPr>
            </w:pPr>
          </w:p>
        </w:tc>
      </w:tr>
      <w:tr>
        <w:trPr>
          <w:trHeight w:val="182"/>
        </w:trPr>
        <w:tc>
          <w:tcPr>
            <w:tcW w:w="3100" w:type="dxa"/>
            <w:vAlign w:val="bottom"/>
            <w:vMerge w:val="restart"/>
          </w:tcPr>
          <w:p>
            <w:pPr>
              <w:ind w:left="3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57</w:t>
            </w:r>
          </w:p>
        </w:tc>
        <w:tc>
          <w:tcPr>
            <w:tcW w:w="20" w:type="dxa"/>
            <w:vAlign w:val="bottom"/>
            <w:shd w:val="clear" w:color="auto" w:fill="284993"/>
          </w:tcPr>
          <w:p>
            <w:pPr>
              <w:spacing w:after="0"/>
              <w:rPr>
                <w:sz w:val="15"/>
                <w:szCs w:val="15"/>
                <w:color w:val="auto"/>
              </w:rPr>
            </w:pPr>
          </w:p>
        </w:tc>
        <w:tc>
          <w:tcPr>
            <w:tcW w:w="80" w:type="dxa"/>
            <w:vAlign w:val="bottom"/>
          </w:tcPr>
          <w:p>
            <w:pPr>
              <w:spacing w:after="0"/>
              <w:rPr>
                <w:sz w:val="15"/>
                <w:szCs w:val="15"/>
                <w:color w:val="auto"/>
              </w:rPr>
            </w:pPr>
          </w:p>
        </w:tc>
        <w:tc>
          <w:tcPr>
            <w:tcW w:w="5860" w:type="dxa"/>
            <w:vAlign w:val="bottom"/>
          </w:tcPr>
          <w:p>
            <w:pPr>
              <w:spacing w:after="0" w:line="182" w:lineRule="exact"/>
              <w:rPr>
                <w:sz w:val="20"/>
                <w:szCs w:val="20"/>
                <w:color w:val="auto"/>
              </w:rPr>
            </w:pPr>
            <w:r>
              <w:rPr>
                <w:rFonts w:ascii="Arial" w:cs="Arial" w:eastAsia="Arial" w:hAnsi="Arial"/>
                <w:sz w:val="16"/>
                <w:szCs w:val="16"/>
                <w:color w:val="auto"/>
              </w:rPr>
              <w:t>•  Serves as a Director of Altus Group, a leading provider of asset and fund</w:t>
            </w:r>
          </w:p>
        </w:tc>
        <w:tc>
          <w:tcPr>
            <w:tcW w:w="0" w:type="dxa"/>
            <w:vAlign w:val="bottom"/>
          </w:tcPr>
          <w:p>
            <w:pPr>
              <w:spacing w:after="0"/>
              <w:rPr>
                <w:sz w:val="1"/>
                <w:szCs w:val="1"/>
                <w:color w:val="auto"/>
              </w:rPr>
            </w:pPr>
          </w:p>
        </w:tc>
      </w:tr>
      <w:tr>
        <w:trPr>
          <w:trHeight w:val="155"/>
        </w:trPr>
        <w:tc>
          <w:tcPr>
            <w:tcW w:w="3100" w:type="dxa"/>
            <w:vAlign w:val="bottom"/>
            <w:vMerge w:val="continue"/>
          </w:tcPr>
          <w:p>
            <w:pPr>
              <w:spacing w:after="0"/>
              <w:rPr>
                <w:sz w:val="13"/>
                <w:szCs w:val="13"/>
                <w:color w:val="auto"/>
              </w:rPr>
            </w:pPr>
          </w:p>
        </w:tc>
        <w:tc>
          <w:tcPr>
            <w:tcW w:w="20" w:type="dxa"/>
            <w:vAlign w:val="bottom"/>
            <w:shd w:val="clear" w:color="auto" w:fill="284993"/>
          </w:tcPr>
          <w:p>
            <w:pPr>
              <w:spacing w:after="0"/>
              <w:rPr>
                <w:sz w:val="13"/>
                <w:szCs w:val="13"/>
                <w:color w:val="auto"/>
              </w:rPr>
            </w:pPr>
          </w:p>
        </w:tc>
        <w:tc>
          <w:tcPr>
            <w:tcW w:w="80" w:type="dxa"/>
            <w:vAlign w:val="bottom"/>
          </w:tcPr>
          <w:p>
            <w:pPr>
              <w:spacing w:after="0"/>
              <w:rPr>
                <w:sz w:val="13"/>
                <w:szCs w:val="13"/>
                <w:color w:val="auto"/>
              </w:rPr>
            </w:pPr>
          </w:p>
        </w:tc>
        <w:tc>
          <w:tcPr>
            <w:tcW w:w="5860" w:type="dxa"/>
            <w:vAlign w:val="bottom"/>
          </w:tcPr>
          <w:p>
            <w:pPr>
              <w:ind w:left="160"/>
              <w:spacing w:after="0" w:line="155" w:lineRule="exact"/>
              <w:rPr>
                <w:sz w:val="20"/>
                <w:szCs w:val="20"/>
                <w:color w:val="auto"/>
              </w:rPr>
            </w:pPr>
            <w:r>
              <w:rPr>
                <w:rFonts w:ascii="Arial" w:cs="Arial" w:eastAsia="Arial" w:hAnsi="Arial"/>
                <w:sz w:val="16"/>
                <w:szCs w:val="16"/>
                <w:color w:val="auto"/>
              </w:rPr>
              <w:t>intelligence for commercial real estate</w:t>
            </w:r>
          </w:p>
        </w:tc>
        <w:tc>
          <w:tcPr>
            <w:tcW w:w="0" w:type="dxa"/>
            <w:vAlign w:val="bottom"/>
          </w:tcPr>
          <w:p>
            <w:pPr>
              <w:spacing w:after="0"/>
              <w:rPr>
                <w:sz w:val="1"/>
                <w:szCs w:val="1"/>
                <w:color w:val="auto"/>
              </w:rPr>
            </w:pPr>
          </w:p>
        </w:tc>
      </w:tr>
      <w:tr>
        <w:trPr>
          <w:trHeight w:val="215"/>
        </w:trPr>
        <w:tc>
          <w:tcPr>
            <w:tcW w:w="3100" w:type="dxa"/>
            <w:vAlign w:val="bottom"/>
          </w:tcPr>
          <w:p>
            <w:pPr>
              <w:ind w:left="3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w:t>
            </w:r>
          </w:p>
        </w:tc>
        <w:tc>
          <w:tcPr>
            <w:tcW w:w="20" w:type="dxa"/>
            <w:vAlign w:val="bottom"/>
            <w:tcBorders>
              <w:bottom w:val="single" w:sz="8" w:color="284993"/>
            </w:tcBorders>
            <w:shd w:val="clear" w:color="auto" w:fill="284993"/>
          </w:tcPr>
          <w:p>
            <w:pPr>
              <w:spacing w:after="0"/>
              <w:rPr>
                <w:sz w:val="18"/>
                <w:szCs w:val="18"/>
                <w:color w:val="auto"/>
              </w:rPr>
            </w:pPr>
          </w:p>
        </w:tc>
        <w:tc>
          <w:tcPr>
            <w:tcW w:w="80" w:type="dxa"/>
            <w:vAlign w:val="bottom"/>
          </w:tcPr>
          <w:p>
            <w:pPr>
              <w:spacing w:after="0"/>
              <w:rPr>
                <w:sz w:val="18"/>
                <w:szCs w:val="18"/>
                <w:color w:val="auto"/>
              </w:rPr>
            </w:pPr>
          </w:p>
        </w:tc>
        <w:tc>
          <w:tcPr>
            <w:tcW w:w="5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3100" w:type="dxa"/>
            <w:vAlign w:val="bottom"/>
          </w:tcPr>
          <w:p>
            <w:pPr>
              <w:ind w:left="320"/>
              <w:spacing w:after="0"/>
              <w:rPr>
                <w:sz w:val="20"/>
                <w:szCs w:val="20"/>
                <w:color w:val="auto"/>
              </w:rPr>
            </w:pPr>
            <w:r>
              <w:rPr>
                <w:rFonts w:ascii="Arial" w:cs="Arial" w:eastAsia="Arial" w:hAnsi="Arial"/>
                <w:sz w:val="16"/>
                <w:szCs w:val="16"/>
                <w:b w:val="1"/>
                <w:bCs w:val="1"/>
                <w:color w:val="auto"/>
              </w:rPr>
              <w:t>Committee Memberships:</w:t>
            </w:r>
          </w:p>
        </w:tc>
        <w:tc>
          <w:tcPr>
            <w:tcW w:w="20" w:type="dxa"/>
            <w:vAlign w:val="bottom"/>
            <w:shd w:val="clear" w:color="auto" w:fill="284993"/>
          </w:tcPr>
          <w:p>
            <w:pPr>
              <w:spacing w:after="0"/>
              <w:rPr>
                <w:sz w:val="24"/>
                <w:szCs w:val="24"/>
                <w:color w:val="auto"/>
              </w:rPr>
            </w:pPr>
          </w:p>
        </w:tc>
        <w:tc>
          <w:tcPr>
            <w:tcW w:w="80" w:type="dxa"/>
            <w:vAlign w:val="bottom"/>
          </w:tcPr>
          <w:p>
            <w:pPr>
              <w:spacing w:after="0"/>
              <w:rPr>
                <w:sz w:val="24"/>
                <w:szCs w:val="24"/>
                <w:color w:val="auto"/>
              </w:rPr>
            </w:pPr>
          </w:p>
        </w:tc>
        <w:tc>
          <w:tcPr>
            <w:tcW w:w="586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Past Roles</w:t>
            </w:r>
          </w:p>
        </w:tc>
        <w:tc>
          <w:tcPr>
            <w:tcW w:w="0" w:type="dxa"/>
            <w:vAlign w:val="bottom"/>
          </w:tcPr>
          <w:p>
            <w:pPr>
              <w:spacing w:after="0"/>
              <w:rPr>
                <w:sz w:val="1"/>
                <w:szCs w:val="1"/>
                <w:color w:val="auto"/>
              </w:rPr>
            </w:pPr>
          </w:p>
        </w:tc>
      </w:tr>
      <w:tr>
        <w:trPr>
          <w:trHeight w:val="144"/>
        </w:trPr>
        <w:tc>
          <w:tcPr>
            <w:tcW w:w="3100" w:type="dxa"/>
            <w:vAlign w:val="bottom"/>
          </w:tcPr>
          <w:p>
            <w:pPr>
              <w:ind w:left="320"/>
              <w:spacing w:after="0" w:line="144" w:lineRule="exact"/>
              <w:rPr>
                <w:sz w:val="20"/>
                <w:szCs w:val="20"/>
                <w:color w:val="auto"/>
              </w:rPr>
            </w:pPr>
            <w:r>
              <w:rPr>
                <w:rFonts w:ascii="Arial" w:cs="Arial" w:eastAsia="Arial" w:hAnsi="Arial"/>
                <w:sz w:val="16"/>
                <w:szCs w:val="16"/>
                <w:color w:val="auto"/>
              </w:rPr>
              <w:t>None</w:t>
            </w:r>
          </w:p>
        </w:tc>
        <w:tc>
          <w:tcPr>
            <w:tcW w:w="20" w:type="dxa"/>
            <w:vAlign w:val="bottom"/>
            <w:shd w:val="clear" w:color="auto" w:fill="284993"/>
          </w:tcPr>
          <w:p>
            <w:pPr>
              <w:spacing w:after="0"/>
              <w:rPr>
                <w:sz w:val="12"/>
                <w:szCs w:val="12"/>
                <w:color w:val="auto"/>
              </w:rPr>
            </w:pPr>
          </w:p>
        </w:tc>
        <w:tc>
          <w:tcPr>
            <w:tcW w:w="80" w:type="dxa"/>
            <w:vAlign w:val="bottom"/>
          </w:tcPr>
          <w:p>
            <w:pPr>
              <w:spacing w:after="0"/>
              <w:rPr>
                <w:sz w:val="12"/>
                <w:szCs w:val="12"/>
                <w:color w:val="auto"/>
              </w:rPr>
            </w:pPr>
          </w:p>
        </w:tc>
        <w:tc>
          <w:tcPr>
            <w:tcW w:w="5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100" w:type="dxa"/>
            <w:vAlign w:val="bottom"/>
          </w:tcPr>
          <w:p>
            <w:pPr>
              <w:spacing w:after="0"/>
              <w:rPr>
                <w:sz w:val="14"/>
                <w:szCs w:val="14"/>
                <w:color w:val="auto"/>
              </w:rPr>
            </w:pPr>
          </w:p>
        </w:tc>
        <w:tc>
          <w:tcPr>
            <w:tcW w:w="20" w:type="dxa"/>
            <w:vAlign w:val="bottom"/>
            <w:shd w:val="clear" w:color="auto" w:fill="284993"/>
          </w:tcPr>
          <w:p>
            <w:pPr>
              <w:spacing w:after="0"/>
              <w:rPr>
                <w:sz w:val="14"/>
                <w:szCs w:val="14"/>
                <w:color w:val="auto"/>
              </w:rPr>
            </w:pPr>
          </w:p>
        </w:tc>
        <w:tc>
          <w:tcPr>
            <w:tcW w:w="80" w:type="dxa"/>
            <w:vAlign w:val="bottom"/>
          </w:tcPr>
          <w:p>
            <w:pPr>
              <w:spacing w:after="0"/>
              <w:rPr>
                <w:sz w:val="14"/>
                <w:szCs w:val="14"/>
                <w:color w:val="auto"/>
              </w:rPr>
            </w:pPr>
          </w:p>
        </w:tc>
        <w:tc>
          <w:tcPr>
            <w:tcW w:w="5860" w:type="dxa"/>
            <w:vAlign w:val="bottom"/>
          </w:tcPr>
          <w:p>
            <w:pPr>
              <w:spacing w:after="0" w:line="168" w:lineRule="exact"/>
              <w:rPr>
                <w:sz w:val="20"/>
                <w:szCs w:val="20"/>
                <w:color w:val="auto"/>
              </w:rPr>
            </w:pPr>
            <w:r>
              <w:rPr>
                <w:rFonts w:ascii="Arial" w:cs="Arial" w:eastAsia="Arial" w:hAnsi="Arial"/>
                <w:sz w:val="16"/>
                <w:szCs w:val="16"/>
                <w:color w:val="auto"/>
              </w:rPr>
              <w:t>•  Chief Executive Officer of One Call Care Management, the leading provider of</w:t>
            </w:r>
          </w:p>
        </w:tc>
        <w:tc>
          <w:tcPr>
            <w:tcW w:w="0" w:type="dxa"/>
            <w:vAlign w:val="bottom"/>
          </w:tcPr>
          <w:p>
            <w:pPr>
              <w:spacing w:after="0"/>
              <w:rPr>
                <w:sz w:val="1"/>
                <w:szCs w:val="1"/>
                <w:color w:val="auto"/>
              </w:rPr>
            </w:pPr>
          </w:p>
        </w:tc>
      </w:tr>
      <w:tr>
        <w:trPr>
          <w:trHeight w:val="182"/>
        </w:trPr>
        <w:tc>
          <w:tcPr>
            <w:tcW w:w="3100" w:type="dxa"/>
            <w:vAlign w:val="bottom"/>
            <w:vMerge w:val="restart"/>
          </w:tcPr>
          <w:p>
            <w:pPr>
              <w:ind w:left="320"/>
              <w:spacing w:after="0"/>
              <w:rPr>
                <w:sz w:val="20"/>
                <w:szCs w:val="20"/>
                <w:color w:val="auto"/>
              </w:rPr>
            </w:pPr>
            <w:r>
              <w:rPr>
                <w:rFonts w:ascii="Arial" w:cs="Arial" w:eastAsia="Arial" w:hAnsi="Arial"/>
                <w:sz w:val="16"/>
                <w:szCs w:val="16"/>
                <w:b w:val="1"/>
                <w:bCs w:val="1"/>
                <w:color w:val="auto"/>
              </w:rPr>
              <w:t>Other Public Company Boards:</w:t>
            </w:r>
          </w:p>
        </w:tc>
        <w:tc>
          <w:tcPr>
            <w:tcW w:w="20" w:type="dxa"/>
            <w:vAlign w:val="bottom"/>
            <w:shd w:val="clear" w:color="auto" w:fill="284993"/>
          </w:tcPr>
          <w:p>
            <w:pPr>
              <w:spacing w:after="0"/>
              <w:rPr>
                <w:sz w:val="15"/>
                <w:szCs w:val="15"/>
                <w:color w:val="auto"/>
              </w:rPr>
            </w:pPr>
          </w:p>
        </w:tc>
        <w:tc>
          <w:tcPr>
            <w:tcW w:w="80" w:type="dxa"/>
            <w:vAlign w:val="bottom"/>
          </w:tcPr>
          <w:p>
            <w:pPr>
              <w:spacing w:after="0"/>
              <w:rPr>
                <w:sz w:val="15"/>
                <w:szCs w:val="15"/>
                <w:color w:val="auto"/>
              </w:rPr>
            </w:pPr>
          </w:p>
        </w:tc>
        <w:tc>
          <w:tcPr>
            <w:tcW w:w="5860" w:type="dxa"/>
            <w:vAlign w:val="bottom"/>
          </w:tcPr>
          <w:p>
            <w:pPr>
              <w:ind w:left="160"/>
              <w:spacing w:after="0" w:line="182" w:lineRule="exact"/>
              <w:rPr>
                <w:sz w:val="20"/>
                <w:szCs w:val="20"/>
                <w:color w:val="auto"/>
              </w:rPr>
            </w:pPr>
            <w:r>
              <w:rPr>
                <w:rFonts w:ascii="Arial" w:cs="Arial" w:eastAsia="Arial" w:hAnsi="Arial"/>
                <w:sz w:val="16"/>
                <w:szCs w:val="16"/>
                <w:color w:val="auto"/>
              </w:rPr>
              <w:t>ancillary services and cost containment solutions to the Workers’ Compensation</w:t>
            </w:r>
          </w:p>
        </w:tc>
        <w:tc>
          <w:tcPr>
            <w:tcW w:w="0" w:type="dxa"/>
            <w:vAlign w:val="bottom"/>
          </w:tcPr>
          <w:p>
            <w:pPr>
              <w:spacing w:after="0"/>
              <w:rPr>
                <w:sz w:val="1"/>
                <w:szCs w:val="1"/>
                <w:color w:val="auto"/>
              </w:rPr>
            </w:pPr>
          </w:p>
        </w:tc>
      </w:tr>
      <w:tr>
        <w:trPr>
          <w:trHeight w:val="91"/>
        </w:trPr>
        <w:tc>
          <w:tcPr>
            <w:tcW w:w="3100" w:type="dxa"/>
            <w:vAlign w:val="bottom"/>
            <w:vMerge w:val="continue"/>
          </w:tcPr>
          <w:p>
            <w:pPr>
              <w:spacing w:after="0"/>
              <w:rPr>
                <w:sz w:val="7"/>
                <w:szCs w:val="7"/>
                <w:color w:val="auto"/>
              </w:rPr>
            </w:pPr>
          </w:p>
        </w:tc>
        <w:tc>
          <w:tcPr>
            <w:tcW w:w="20" w:type="dxa"/>
            <w:vAlign w:val="bottom"/>
            <w:shd w:val="clear" w:color="auto" w:fill="284993"/>
          </w:tcPr>
          <w:p>
            <w:pPr>
              <w:spacing w:after="0"/>
              <w:rPr>
                <w:sz w:val="7"/>
                <w:szCs w:val="7"/>
                <w:color w:val="auto"/>
              </w:rPr>
            </w:pPr>
          </w:p>
        </w:tc>
        <w:tc>
          <w:tcPr>
            <w:tcW w:w="80" w:type="dxa"/>
            <w:vAlign w:val="bottom"/>
          </w:tcPr>
          <w:p>
            <w:pPr>
              <w:spacing w:after="0"/>
              <w:rPr>
                <w:sz w:val="7"/>
                <w:szCs w:val="7"/>
                <w:color w:val="auto"/>
              </w:rPr>
            </w:pPr>
          </w:p>
        </w:tc>
        <w:tc>
          <w:tcPr>
            <w:tcW w:w="5860" w:type="dxa"/>
            <w:vAlign w:val="bottom"/>
            <w:vMerge w:val="restart"/>
          </w:tcPr>
          <w:p>
            <w:pPr>
              <w:ind w:left="160"/>
              <w:spacing w:after="0" w:line="182" w:lineRule="exact"/>
              <w:rPr>
                <w:sz w:val="20"/>
                <w:szCs w:val="20"/>
                <w:color w:val="auto"/>
              </w:rPr>
            </w:pPr>
            <w:r>
              <w:rPr>
                <w:rFonts w:ascii="Arial" w:cs="Arial" w:eastAsia="Arial" w:hAnsi="Arial"/>
                <w:sz w:val="16"/>
                <w:szCs w:val="16"/>
                <w:color w:val="auto"/>
                <w:w w:val="98"/>
              </w:rPr>
              <w:t>industry, from February 2020 to May 2022; Executive Chairman from May 2022 to</w:t>
            </w:r>
          </w:p>
        </w:tc>
        <w:tc>
          <w:tcPr>
            <w:tcW w:w="0" w:type="dxa"/>
            <w:vAlign w:val="bottom"/>
          </w:tcPr>
          <w:p>
            <w:pPr>
              <w:spacing w:after="0"/>
              <w:rPr>
                <w:sz w:val="1"/>
                <w:szCs w:val="1"/>
                <w:color w:val="auto"/>
              </w:rPr>
            </w:pPr>
          </w:p>
        </w:tc>
      </w:tr>
      <w:tr>
        <w:trPr>
          <w:trHeight w:val="91"/>
        </w:trPr>
        <w:tc>
          <w:tcPr>
            <w:tcW w:w="3100" w:type="dxa"/>
            <w:vAlign w:val="bottom"/>
            <w:vMerge w:val="restart"/>
          </w:tcPr>
          <w:p>
            <w:pPr>
              <w:ind w:left="320"/>
              <w:spacing w:after="0"/>
              <w:rPr>
                <w:sz w:val="20"/>
                <w:szCs w:val="20"/>
                <w:color w:val="auto"/>
              </w:rPr>
            </w:pPr>
            <w:r>
              <w:rPr>
                <w:rFonts w:ascii="Arial" w:cs="Arial" w:eastAsia="Arial" w:hAnsi="Arial"/>
                <w:sz w:val="16"/>
                <w:szCs w:val="16"/>
                <w:color w:val="auto"/>
              </w:rPr>
              <w:t>None</w:t>
            </w:r>
          </w:p>
        </w:tc>
        <w:tc>
          <w:tcPr>
            <w:tcW w:w="20" w:type="dxa"/>
            <w:vAlign w:val="bottom"/>
            <w:shd w:val="clear" w:color="auto" w:fill="284993"/>
          </w:tcPr>
          <w:p>
            <w:pPr>
              <w:spacing w:after="0"/>
              <w:rPr>
                <w:sz w:val="7"/>
                <w:szCs w:val="7"/>
                <w:color w:val="auto"/>
              </w:rPr>
            </w:pPr>
          </w:p>
        </w:tc>
        <w:tc>
          <w:tcPr>
            <w:tcW w:w="80" w:type="dxa"/>
            <w:vAlign w:val="bottom"/>
          </w:tcPr>
          <w:p>
            <w:pPr>
              <w:spacing w:after="0"/>
              <w:rPr>
                <w:sz w:val="7"/>
                <w:szCs w:val="7"/>
                <w:color w:val="auto"/>
              </w:rPr>
            </w:pPr>
          </w:p>
        </w:tc>
        <w:tc>
          <w:tcPr>
            <w:tcW w:w="5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100" w:type="dxa"/>
            <w:vAlign w:val="bottom"/>
            <w:vMerge w:val="continue"/>
          </w:tcPr>
          <w:p>
            <w:pPr>
              <w:spacing w:after="0"/>
              <w:rPr>
                <w:sz w:val="9"/>
                <w:szCs w:val="9"/>
                <w:color w:val="auto"/>
              </w:rPr>
            </w:pPr>
          </w:p>
        </w:tc>
        <w:tc>
          <w:tcPr>
            <w:tcW w:w="20" w:type="dxa"/>
            <w:vAlign w:val="bottom"/>
            <w:shd w:val="clear" w:color="auto" w:fill="284993"/>
          </w:tcPr>
          <w:p>
            <w:pPr>
              <w:spacing w:after="0"/>
              <w:rPr>
                <w:sz w:val="9"/>
                <w:szCs w:val="9"/>
                <w:color w:val="auto"/>
              </w:rPr>
            </w:pPr>
          </w:p>
        </w:tc>
        <w:tc>
          <w:tcPr>
            <w:tcW w:w="80" w:type="dxa"/>
            <w:vAlign w:val="bottom"/>
          </w:tcPr>
          <w:p>
            <w:pPr>
              <w:spacing w:after="0"/>
              <w:rPr>
                <w:sz w:val="9"/>
                <w:szCs w:val="9"/>
                <w:color w:val="auto"/>
              </w:rPr>
            </w:pPr>
          </w:p>
        </w:tc>
        <w:tc>
          <w:tcPr>
            <w:tcW w:w="5860" w:type="dxa"/>
            <w:vAlign w:val="bottom"/>
            <w:vMerge w:val="restart"/>
          </w:tcPr>
          <w:p>
            <w:pPr>
              <w:ind w:left="160"/>
              <w:spacing w:after="0" w:line="182" w:lineRule="exact"/>
              <w:rPr>
                <w:sz w:val="20"/>
                <w:szCs w:val="20"/>
                <w:color w:val="auto"/>
              </w:rPr>
            </w:pPr>
            <w:r>
              <w:rPr>
                <w:rFonts w:ascii="Arial" w:cs="Arial" w:eastAsia="Arial" w:hAnsi="Arial"/>
                <w:sz w:val="16"/>
                <w:szCs w:val="16"/>
                <w:color w:val="auto"/>
              </w:rPr>
              <w:t>December 2022</w:t>
            </w:r>
          </w:p>
        </w:tc>
        <w:tc>
          <w:tcPr>
            <w:tcW w:w="0" w:type="dxa"/>
            <w:vAlign w:val="bottom"/>
          </w:tcPr>
          <w:p>
            <w:pPr>
              <w:spacing w:after="0"/>
              <w:rPr>
                <w:sz w:val="1"/>
                <w:szCs w:val="1"/>
                <w:color w:val="auto"/>
              </w:rPr>
            </w:pPr>
          </w:p>
        </w:tc>
      </w:tr>
      <w:tr>
        <w:trPr>
          <w:trHeight w:val="68"/>
        </w:trPr>
        <w:tc>
          <w:tcPr>
            <w:tcW w:w="3100" w:type="dxa"/>
            <w:vAlign w:val="bottom"/>
          </w:tcPr>
          <w:p>
            <w:pPr>
              <w:spacing w:after="0"/>
              <w:rPr>
                <w:sz w:val="5"/>
                <w:szCs w:val="5"/>
                <w:color w:val="auto"/>
              </w:rPr>
            </w:pPr>
          </w:p>
        </w:tc>
        <w:tc>
          <w:tcPr>
            <w:tcW w:w="20" w:type="dxa"/>
            <w:vAlign w:val="bottom"/>
            <w:shd w:val="clear" w:color="auto" w:fill="284993"/>
          </w:tcPr>
          <w:p>
            <w:pPr>
              <w:spacing w:after="0"/>
              <w:rPr>
                <w:sz w:val="5"/>
                <w:szCs w:val="5"/>
                <w:color w:val="auto"/>
              </w:rPr>
            </w:pPr>
          </w:p>
        </w:tc>
        <w:tc>
          <w:tcPr>
            <w:tcW w:w="80" w:type="dxa"/>
            <w:vAlign w:val="bottom"/>
          </w:tcPr>
          <w:p>
            <w:pPr>
              <w:spacing w:after="0"/>
              <w:rPr>
                <w:sz w:val="5"/>
                <w:szCs w:val="5"/>
                <w:color w:val="auto"/>
              </w:rPr>
            </w:pPr>
          </w:p>
        </w:tc>
        <w:tc>
          <w:tcPr>
            <w:tcW w:w="5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80" w:type="dxa"/>
            <w:vAlign w:val="bottom"/>
          </w:tcPr>
          <w:p>
            <w:pPr>
              <w:spacing w:after="0"/>
              <w:rPr>
                <w:sz w:val="15"/>
                <w:szCs w:val="15"/>
                <w:color w:val="auto"/>
              </w:rPr>
            </w:pPr>
          </w:p>
        </w:tc>
        <w:tc>
          <w:tcPr>
            <w:tcW w:w="5860" w:type="dxa"/>
            <w:vAlign w:val="bottom"/>
          </w:tcPr>
          <w:p>
            <w:pPr>
              <w:spacing w:after="0" w:line="182" w:lineRule="exact"/>
              <w:rPr>
                <w:sz w:val="20"/>
                <w:szCs w:val="20"/>
                <w:color w:val="auto"/>
              </w:rPr>
            </w:pPr>
            <w:r>
              <w:rPr>
                <w:rFonts w:ascii="Arial" w:cs="Arial" w:eastAsia="Arial" w:hAnsi="Arial"/>
                <w:sz w:val="16"/>
                <w:szCs w:val="16"/>
                <w:color w:val="auto"/>
              </w:rPr>
              <w:t>•  Chief Executive Officer of Hananui, LLC, a provider of strategic consulting</w:t>
            </w: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80" w:type="dxa"/>
            <w:vAlign w:val="bottom"/>
          </w:tcPr>
          <w:p>
            <w:pPr>
              <w:spacing w:after="0"/>
              <w:rPr>
                <w:sz w:val="15"/>
                <w:szCs w:val="15"/>
                <w:color w:val="auto"/>
              </w:rPr>
            </w:pPr>
          </w:p>
        </w:tc>
        <w:tc>
          <w:tcPr>
            <w:tcW w:w="5860" w:type="dxa"/>
            <w:vAlign w:val="bottom"/>
          </w:tcPr>
          <w:p>
            <w:pPr>
              <w:ind w:left="160"/>
              <w:spacing w:after="0" w:line="182" w:lineRule="exact"/>
              <w:rPr>
                <w:sz w:val="20"/>
                <w:szCs w:val="20"/>
                <w:color w:val="auto"/>
              </w:rPr>
            </w:pPr>
            <w:r>
              <w:rPr>
                <w:rFonts w:ascii="Arial" w:cs="Arial" w:eastAsia="Arial" w:hAnsi="Arial"/>
                <w:sz w:val="16"/>
                <w:szCs w:val="16"/>
                <w:color w:val="auto"/>
              </w:rPr>
              <w:t>services, since January 2017</w:t>
            </w: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80" w:type="dxa"/>
            <w:vAlign w:val="bottom"/>
          </w:tcPr>
          <w:p>
            <w:pPr>
              <w:spacing w:after="0"/>
              <w:rPr>
                <w:sz w:val="15"/>
                <w:szCs w:val="15"/>
                <w:color w:val="auto"/>
              </w:rPr>
            </w:pPr>
          </w:p>
        </w:tc>
        <w:tc>
          <w:tcPr>
            <w:tcW w:w="5860" w:type="dxa"/>
            <w:vAlign w:val="bottom"/>
          </w:tcPr>
          <w:p>
            <w:pPr>
              <w:spacing w:after="0" w:line="182" w:lineRule="exact"/>
              <w:rPr>
                <w:sz w:val="20"/>
                <w:szCs w:val="20"/>
                <w:color w:val="auto"/>
              </w:rPr>
            </w:pPr>
            <w:r>
              <w:rPr>
                <w:rFonts w:ascii="Arial" w:cs="Arial" w:eastAsia="Arial" w:hAnsi="Arial"/>
                <w:sz w:val="16"/>
                <w:szCs w:val="16"/>
                <w:color w:val="auto"/>
                <w:w w:val="97"/>
              </w:rPr>
              <w:t>•  Executive Chairman of York Risk Services Group, a leading provider of integrated</w:t>
            </w: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80" w:type="dxa"/>
            <w:vAlign w:val="bottom"/>
          </w:tcPr>
          <w:p>
            <w:pPr>
              <w:spacing w:after="0"/>
              <w:rPr>
                <w:sz w:val="15"/>
                <w:szCs w:val="15"/>
                <w:color w:val="auto"/>
              </w:rPr>
            </w:pPr>
          </w:p>
        </w:tc>
        <w:tc>
          <w:tcPr>
            <w:tcW w:w="5860" w:type="dxa"/>
            <w:vAlign w:val="bottom"/>
          </w:tcPr>
          <w:p>
            <w:pPr>
              <w:ind w:left="160"/>
              <w:spacing w:after="0" w:line="182" w:lineRule="exact"/>
              <w:rPr>
                <w:sz w:val="20"/>
                <w:szCs w:val="20"/>
                <w:color w:val="auto"/>
              </w:rPr>
            </w:pPr>
            <w:r>
              <w:rPr>
                <w:rFonts w:ascii="Arial" w:cs="Arial" w:eastAsia="Arial" w:hAnsi="Arial"/>
                <w:sz w:val="16"/>
                <w:szCs w:val="16"/>
                <w:color w:val="auto"/>
              </w:rPr>
              <w:t>insurance and managed care solutions, from June 2017 until January 2020</w:t>
            </w: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80" w:type="dxa"/>
            <w:vAlign w:val="bottom"/>
          </w:tcPr>
          <w:p>
            <w:pPr>
              <w:spacing w:after="0"/>
              <w:rPr>
                <w:sz w:val="15"/>
                <w:szCs w:val="15"/>
                <w:color w:val="auto"/>
              </w:rPr>
            </w:pPr>
          </w:p>
        </w:tc>
        <w:tc>
          <w:tcPr>
            <w:tcW w:w="5860" w:type="dxa"/>
            <w:vAlign w:val="bottom"/>
          </w:tcPr>
          <w:p>
            <w:pPr>
              <w:spacing w:after="0" w:line="182" w:lineRule="exact"/>
              <w:rPr>
                <w:sz w:val="20"/>
                <w:szCs w:val="20"/>
                <w:color w:val="auto"/>
              </w:rPr>
            </w:pPr>
            <w:r>
              <w:rPr>
                <w:rFonts w:ascii="Arial" w:cs="Arial" w:eastAsia="Arial" w:hAnsi="Arial"/>
                <w:sz w:val="16"/>
                <w:szCs w:val="16"/>
                <w:color w:val="auto"/>
              </w:rPr>
              <w:t>•  Served as President and Chief Executive Officer of The Warranty Group, Inc., a</w:t>
            </w: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80" w:type="dxa"/>
            <w:vAlign w:val="bottom"/>
          </w:tcPr>
          <w:p>
            <w:pPr>
              <w:spacing w:after="0"/>
              <w:rPr>
                <w:sz w:val="15"/>
                <w:szCs w:val="15"/>
                <w:color w:val="auto"/>
              </w:rPr>
            </w:pPr>
          </w:p>
        </w:tc>
        <w:tc>
          <w:tcPr>
            <w:tcW w:w="5860" w:type="dxa"/>
            <w:vAlign w:val="bottom"/>
          </w:tcPr>
          <w:p>
            <w:pPr>
              <w:ind w:left="160"/>
              <w:spacing w:after="0" w:line="182" w:lineRule="exact"/>
              <w:rPr>
                <w:sz w:val="20"/>
                <w:szCs w:val="20"/>
                <w:color w:val="auto"/>
              </w:rPr>
            </w:pPr>
            <w:r>
              <w:rPr>
                <w:rFonts w:ascii="Arial" w:cs="Arial" w:eastAsia="Arial" w:hAnsi="Arial"/>
                <w:sz w:val="16"/>
                <w:szCs w:val="16"/>
                <w:color w:val="auto"/>
              </w:rPr>
              <w:t>provider of insurance and insurance services, from 2012 to 2017</w:t>
            </w: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80" w:type="dxa"/>
            <w:vAlign w:val="bottom"/>
          </w:tcPr>
          <w:p>
            <w:pPr>
              <w:spacing w:after="0"/>
              <w:rPr>
                <w:sz w:val="15"/>
                <w:szCs w:val="15"/>
                <w:color w:val="auto"/>
              </w:rPr>
            </w:pPr>
          </w:p>
        </w:tc>
        <w:tc>
          <w:tcPr>
            <w:tcW w:w="5860" w:type="dxa"/>
            <w:vAlign w:val="bottom"/>
          </w:tcPr>
          <w:p>
            <w:pPr>
              <w:spacing w:after="0" w:line="182" w:lineRule="exact"/>
              <w:rPr>
                <w:sz w:val="20"/>
                <w:szCs w:val="20"/>
                <w:color w:val="auto"/>
              </w:rPr>
            </w:pPr>
            <w:r>
              <w:rPr>
                <w:rFonts w:ascii="Arial" w:cs="Arial" w:eastAsia="Arial" w:hAnsi="Arial"/>
                <w:sz w:val="16"/>
                <w:szCs w:val="16"/>
                <w:color w:val="auto"/>
                <w:w w:val="97"/>
              </w:rPr>
              <w:t>•  Served as Group President and held various management positions at Fiserv, Inc.</w:t>
            </w: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80" w:type="dxa"/>
            <w:vAlign w:val="bottom"/>
          </w:tcPr>
          <w:p>
            <w:pPr>
              <w:spacing w:after="0"/>
              <w:rPr>
                <w:sz w:val="15"/>
                <w:szCs w:val="15"/>
                <w:color w:val="auto"/>
              </w:rPr>
            </w:pPr>
          </w:p>
        </w:tc>
        <w:tc>
          <w:tcPr>
            <w:tcW w:w="5860" w:type="dxa"/>
            <w:vAlign w:val="bottom"/>
          </w:tcPr>
          <w:p>
            <w:pPr>
              <w:ind w:left="160"/>
              <w:spacing w:after="0" w:line="182" w:lineRule="exact"/>
              <w:rPr>
                <w:sz w:val="20"/>
                <w:szCs w:val="20"/>
                <w:color w:val="auto"/>
              </w:rPr>
            </w:pPr>
            <w:r>
              <w:rPr>
                <w:rFonts w:ascii="Arial" w:cs="Arial" w:eastAsia="Arial" w:hAnsi="Arial"/>
                <w:sz w:val="16"/>
                <w:szCs w:val="16"/>
                <w:color w:val="auto"/>
                <w:w w:val="98"/>
              </w:rPr>
              <w:t>(NASDAQ: FISV), a provider of technology solutions to the financial industry, from</w:t>
            </w: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80" w:type="dxa"/>
            <w:vAlign w:val="bottom"/>
          </w:tcPr>
          <w:p>
            <w:pPr>
              <w:spacing w:after="0"/>
              <w:rPr>
                <w:sz w:val="15"/>
                <w:szCs w:val="15"/>
                <w:color w:val="auto"/>
              </w:rPr>
            </w:pPr>
          </w:p>
        </w:tc>
        <w:tc>
          <w:tcPr>
            <w:tcW w:w="5860" w:type="dxa"/>
            <w:vAlign w:val="bottom"/>
          </w:tcPr>
          <w:p>
            <w:pPr>
              <w:ind w:left="160"/>
              <w:spacing w:after="0" w:line="182" w:lineRule="exact"/>
              <w:rPr>
                <w:sz w:val="20"/>
                <w:szCs w:val="20"/>
                <w:color w:val="auto"/>
              </w:rPr>
            </w:pPr>
            <w:r>
              <w:rPr>
                <w:rFonts w:ascii="Arial" w:cs="Arial" w:eastAsia="Arial" w:hAnsi="Arial"/>
                <w:sz w:val="16"/>
                <w:szCs w:val="16"/>
                <w:color w:val="auto"/>
              </w:rPr>
              <w:t>2007 to 2012</w:t>
            </w: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80" w:type="dxa"/>
            <w:vAlign w:val="bottom"/>
          </w:tcPr>
          <w:p>
            <w:pPr>
              <w:spacing w:after="0"/>
              <w:rPr>
                <w:sz w:val="15"/>
                <w:szCs w:val="15"/>
                <w:color w:val="auto"/>
              </w:rPr>
            </w:pPr>
          </w:p>
        </w:tc>
        <w:tc>
          <w:tcPr>
            <w:tcW w:w="5860" w:type="dxa"/>
            <w:vAlign w:val="bottom"/>
          </w:tcPr>
          <w:p>
            <w:pPr>
              <w:spacing w:after="0" w:line="182" w:lineRule="exact"/>
              <w:rPr>
                <w:sz w:val="20"/>
                <w:szCs w:val="20"/>
                <w:color w:val="auto"/>
              </w:rPr>
            </w:pPr>
            <w:r>
              <w:rPr>
                <w:rFonts w:ascii="Arial" w:cs="Arial" w:eastAsia="Arial" w:hAnsi="Arial"/>
                <w:sz w:val="16"/>
                <w:szCs w:val="16"/>
                <w:color w:val="auto"/>
              </w:rPr>
              <w:t>•  Served in various capacities for Electronic Data Systems for 17 years, including</w:t>
            </w: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80" w:type="dxa"/>
            <w:vAlign w:val="bottom"/>
          </w:tcPr>
          <w:p>
            <w:pPr>
              <w:spacing w:after="0"/>
              <w:rPr>
                <w:sz w:val="15"/>
                <w:szCs w:val="15"/>
                <w:color w:val="auto"/>
              </w:rPr>
            </w:pPr>
          </w:p>
        </w:tc>
        <w:tc>
          <w:tcPr>
            <w:tcW w:w="5860" w:type="dxa"/>
            <w:vAlign w:val="bottom"/>
          </w:tcPr>
          <w:p>
            <w:pPr>
              <w:ind w:left="160"/>
              <w:spacing w:after="0" w:line="182" w:lineRule="exact"/>
              <w:rPr>
                <w:sz w:val="20"/>
                <w:szCs w:val="20"/>
                <w:color w:val="auto"/>
              </w:rPr>
            </w:pPr>
            <w:r>
              <w:rPr>
                <w:rFonts w:ascii="Arial" w:cs="Arial" w:eastAsia="Arial" w:hAnsi="Arial"/>
                <w:sz w:val="16"/>
                <w:szCs w:val="16"/>
                <w:color w:val="auto"/>
                <w:w w:val="98"/>
              </w:rPr>
              <w:t>President of its Business Process Outsourcing unit in Asia Pacific, Vice President</w:t>
            </w:r>
          </w:p>
        </w:tc>
        <w:tc>
          <w:tcPr>
            <w:tcW w:w="0" w:type="dxa"/>
            <w:vAlign w:val="bottom"/>
          </w:tcPr>
          <w:p>
            <w:pPr>
              <w:spacing w:after="0"/>
              <w:rPr>
                <w:sz w:val="1"/>
                <w:szCs w:val="1"/>
                <w:color w:val="auto"/>
              </w:rPr>
            </w:pPr>
          </w:p>
        </w:tc>
      </w:tr>
      <w:tr>
        <w:trPr>
          <w:trHeight w:val="205"/>
        </w:trPr>
        <w:tc>
          <w:tcPr>
            <w:tcW w:w="3100" w:type="dxa"/>
            <w:vAlign w:val="bottom"/>
          </w:tcPr>
          <w:p>
            <w:pPr>
              <w:spacing w:after="0"/>
              <w:rPr>
                <w:sz w:val="17"/>
                <w:szCs w:val="17"/>
                <w:color w:val="auto"/>
              </w:rPr>
            </w:pPr>
          </w:p>
        </w:tc>
        <w:tc>
          <w:tcPr>
            <w:tcW w:w="20" w:type="dxa"/>
            <w:vAlign w:val="bottom"/>
            <w:shd w:val="clear" w:color="auto" w:fill="284993"/>
          </w:tcPr>
          <w:p>
            <w:pPr>
              <w:spacing w:after="0"/>
              <w:rPr>
                <w:sz w:val="17"/>
                <w:szCs w:val="17"/>
                <w:color w:val="auto"/>
              </w:rPr>
            </w:pPr>
          </w:p>
        </w:tc>
        <w:tc>
          <w:tcPr>
            <w:tcW w:w="80" w:type="dxa"/>
            <w:vAlign w:val="bottom"/>
          </w:tcPr>
          <w:p>
            <w:pPr>
              <w:spacing w:after="0"/>
              <w:rPr>
                <w:sz w:val="17"/>
                <w:szCs w:val="17"/>
                <w:color w:val="auto"/>
              </w:rPr>
            </w:pPr>
          </w:p>
        </w:tc>
        <w:tc>
          <w:tcPr>
            <w:tcW w:w="5860" w:type="dxa"/>
            <w:vAlign w:val="bottom"/>
          </w:tcPr>
          <w:p>
            <w:pPr>
              <w:ind w:left="160"/>
              <w:spacing w:after="0"/>
              <w:rPr>
                <w:sz w:val="20"/>
                <w:szCs w:val="20"/>
                <w:color w:val="auto"/>
              </w:rPr>
            </w:pPr>
            <w:r>
              <w:rPr>
                <w:rFonts w:ascii="Arial" w:cs="Arial" w:eastAsia="Arial" w:hAnsi="Arial"/>
                <w:sz w:val="16"/>
                <w:szCs w:val="16"/>
                <w:color w:val="auto"/>
              </w:rPr>
              <w:t>in the United Kingdom and Vice President of Global Financial Services</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20" w:type="dxa"/>
            <w:vAlign w:val="bottom"/>
            <w:tcBorders>
              <w:bottom w:val="single" w:sz="8" w:color="284993"/>
            </w:tcBorders>
            <w:shd w:val="clear" w:color="auto" w:fill="284993"/>
          </w:tcPr>
          <w:p>
            <w:pPr>
              <w:spacing w:after="0"/>
              <w:rPr>
                <w:sz w:val="14"/>
                <w:szCs w:val="14"/>
                <w:color w:val="auto"/>
              </w:rPr>
            </w:pPr>
          </w:p>
        </w:tc>
        <w:tc>
          <w:tcPr>
            <w:tcW w:w="80" w:type="dxa"/>
            <w:vAlign w:val="bottom"/>
          </w:tcPr>
          <w:p>
            <w:pPr>
              <w:spacing w:after="0"/>
              <w:rPr>
                <w:sz w:val="14"/>
                <w:szCs w:val="14"/>
                <w:color w:val="auto"/>
              </w:rPr>
            </w:pPr>
          </w:p>
        </w:tc>
        <w:tc>
          <w:tcPr>
            <w:tcW w:w="5860" w:type="dxa"/>
            <w:vAlign w:val="bottom"/>
            <w:tcBorders>
              <w:bottom w:val="single" w:sz="8" w:color="284993"/>
            </w:tcBorders>
          </w:tcPr>
          <w:p>
            <w:pPr>
              <w:spacing w:after="0"/>
              <w:rPr>
                <w:sz w:val="14"/>
                <w:szCs w:val="14"/>
                <w:color w:val="auto"/>
              </w:rPr>
            </w:pPr>
          </w:p>
        </w:tc>
        <w:tc>
          <w:tcPr>
            <w:tcW w:w="0" w:type="dxa"/>
            <w:vAlign w:val="bottom"/>
          </w:tcPr>
          <w:p>
            <w:pPr>
              <w:spacing w:after="0"/>
              <w:rPr>
                <w:sz w:val="1"/>
                <w:szCs w:val="1"/>
                <w:color w:val="auto"/>
              </w:rPr>
            </w:pPr>
          </w:p>
        </w:tc>
      </w:tr>
      <w:tr>
        <w:trPr>
          <w:trHeight w:val="499"/>
        </w:trPr>
        <w:tc>
          <w:tcPr>
            <w:tcW w:w="3100" w:type="dxa"/>
            <w:vAlign w:val="bottom"/>
          </w:tcPr>
          <w:p>
            <w:pPr>
              <w:spacing w:after="0"/>
              <w:rPr>
                <w:sz w:val="24"/>
                <w:szCs w:val="24"/>
                <w:color w:val="auto"/>
              </w:rPr>
            </w:pPr>
          </w:p>
        </w:tc>
        <w:tc>
          <w:tcPr>
            <w:tcW w:w="20" w:type="dxa"/>
            <w:vAlign w:val="bottom"/>
            <w:shd w:val="clear" w:color="auto" w:fill="284993"/>
          </w:tcPr>
          <w:p>
            <w:pPr>
              <w:spacing w:after="0"/>
              <w:rPr>
                <w:sz w:val="24"/>
                <w:szCs w:val="24"/>
                <w:color w:val="auto"/>
              </w:rPr>
            </w:pPr>
          </w:p>
        </w:tc>
        <w:tc>
          <w:tcPr>
            <w:tcW w:w="80" w:type="dxa"/>
            <w:vAlign w:val="bottom"/>
          </w:tcPr>
          <w:p>
            <w:pPr>
              <w:spacing w:after="0"/>
              <w:rPr>
                <w:sz w:val="24"/>
                <w:szCs w:val="24"/>
                <w:color w:val="auto"/>
              </w:rPr>
            </w:pPr>
          </w:p>
        </w:tc>
        <w:tc>
          <w:tcPr>
            <w:tcW w:w="5860" w:type="dxa"/>
            <w:vAlign w:val="bottom"/>
          </w:tcPr>
          <w:p>
            <w:pPr>
              <w:spacing w:after="0"/>
              <w:rPr>
                <w:sz w:val="20"/>
                <w:szCs w:val="20"/>
                <w:color w:val="auto"/>
              </w:rPr>
            </w:pPr>
            <w:r>
              <w:rPr>
                <w:rFonts w:ascii="Arial" w:cs="Arial" w:eastAsia="Arial" w:hAnsi="Arial"/>
                <w:sz w:val="17"/>
                <w:szCs w:val="17"/>
                <w:b w:val="1"/>
                <w:bCs w:val="1"/>
                <w:color w:val="284993"/>
              </w:rPr>
              <w:t>Skills and Qualifications</w:t>
            </w:r>
          </w:p>
        </w:tc>
        <w:tc>
          <w:tcPr>
            <w:tcW w:w="0" w:type="dxa"/>
            <w:vAlign w:val="bottom"/>
          </w:tcPr>
          <w:p>
            <w:pPr>
              <w:spacing w:after="0"/>
              <w:rPr>
                <w:sz w:val="1"/>
                <w:szCs w:val="1"/>
                <w:color w:val="auto"/>
              </w:rPr>
            </w:pPr>
          </w:p>
        </w:tc>
      </w:tr>
      <w:tr>
        <w:trPr>
          <w:trHeight w:val="301"/>
        </w:trPr>
        <w:tc>
          <w:tcPr>
            <w:tcW w:w="3100" w:type="dxa"/>
            <w:vAlign w:val="bottom"/>
          </w:tcPr>
          <w:p>
            <w:pPr>
              <w:spacing w:after="0"/>
              <w:rPr>
                <w:sz w:val="24"/>
                <w:szCs w:val="24"/>
                <w:color w:val="auto"/>
              </w:rPr>
            </w:pPr>
          </w:p>
        </w:tc>
        <w:tc>
          <w:tcPr>
            <w:tcW w:w="20" w:type="dxa"/>
            <w:vAlign w:val="bottom"/>
            <w:shd w:val="clear" w:color="auto" w:fill="284993"/>
          </w:tcPr>
          <w:p>
            <w:pPr>
              <w:spacing w:after="0"/>
              <w:rPr>
                <w:sz w:val="24"/>
                <w:szCs w:val="24"/>
                <w:color w:val="auto"/>
              </w:rPr>
            </w:pPr>
          </w:p>
        </w:tc>
        <w:tc>
          <w:tcPr>
            <w:tcW w:w="80" w:type="dxa"/>
            <w:vAlign w:val="bottom"/>
          </w:tcPr>
          <w:p>
            <w:pPr>
              <w:spacing w:after="0"/>
              <w:rPr>
                <w:sz w:val="24"/>
                <w:szCs w:val="24"/>
                <w:color w:val="auto"/>
              </w:rPr>
            </w:pPr>
          </w:p>
        </w:tc>
        <w:tc>
          <w:tcPr>
            <w:tcW w:w="5860" w:type="dxa"/>
            <w:vAlign w:val="bottom"/>
          </w:tcPr>
          <w:p>
            <w:pPr>
              <w:spacing w:after="0"/>
              <w:rPr>
                <w:sz w:val="20"/>
                <w:szCs w:val="20"/>
                <w:color w:val="auto"/>
              </w:rPr>
            </w:pPr>
            <w:r>
              <w:rPr>
                <w:rFonts w:ascii="Arial" w:cs="Arial" w:eastAsia="Arial" w:hAnsi="Arial"/>
                <w:sz w:val="16"/>
                <w:szCs w:val="16"/>
                <w:color w:val="auto"/>
              </w:rPr>
              <w:t>•  Payments Industry Knowledge</w:t>
            </w: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80" w:type="dxa"/>
            <w:vAlign w:val="bottom"/>
          </w:tcPr>
          <w:p>
            <w:pPr>
              <w:spacing w:after="0"/>
              <w:rPr>
                <w:sz w:val="15"/>
                <w:szCs w:val="15"/>
                <w:color w:val="auto"/>
              </w:rPr>
            </w:pPr>
          </w:p>
        </w:tc>
        <w:tc>
          <w:tcPr>
            <w:tcW w:w="5860" w:type="dxa"/>
            <w:vAlign w:val="bottom"/>
          </w:tcPr>
          <w:p>
            <w:pPr>
              <w:spacing w:after="0" w:line="182" w:lineRule="exact"/>
              <w:rPr>
                <w:sz w:val="20"/>
                <w:szCs w:val="20"/>
                <w:color w:val="auto"/>
              </w:rPr>
            </w:pPr>
            <w:r>
              <w:rPr>
                <w:rFonts w:ascii="Arial" w:cs="Arial" w:eastAsia="Arial" w:hAnsi="Arial"/>
                <w:sz w:val="16"/>
                <w:szCs w:val="16"/>
                <w:color w:val="auto"/>
              </w:rPr>
              <w:t>•  Financial Services Industry Experience</w:t>
            </w: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80" w:type="dxa"/>
            <w:vAlign w:val="bottom"/>
          </w:tcPr>
          <w:p>
            <w:pPr>
              <w:spacing w:after="0"/>
              <w:rPr>
                <w:sz w:val="15"/>
                <w:szCs w:val="15"/>
                <w:color w:val="auto"/>
              </w:rPr>
            </w:pPr>
          </w:p>
        </w:tc>
        <w:tc>
          <w:tcPr>
            <w:tcW w:w="5860" w:type="dxa"/>
            <w:vAlign w:val="bottom"/>
          </w:tcPr>
          <w:p>
            <w:pPr>
              <w:spacing w:after="0" w:line="182" w:lineRule="exact"/>
              <w:rPr>
                <w:sz w:val="20"/>
                <w:szCs w:val="20"/>
                <w:color w:val="auto"/>
              </w:rPr>
            </w:pPr>
            <w:r>
              <w:rPr>
                <w:rFonts w:ascii="Arial" w:cs="Arial" w:eastAsia="Arial" w:hAnsi="Arial"/>
                <w:sz w:val="16"/>
                <w:szCs w:val="16"/>
                <w:color w:val="auto"/>
              </w:rPr>
              <w:t>•  Financial Expert</w:t>
            </w: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80" w:type="dxa"/>
            <w:vAlign w:val="bottom"/>
          </w:tcPr>
          <w:p>
            <w:pPr>
              <w:spacing w:after="0"/>
              <w:rPr>
                <w:sz w:val="15"/>
                <w:szCs w:val="15"/>
                <w:color w:val="auto"/>
              </w:rPr>
            </w:pPr>
          </w:p>
        </w:tc>
        <w:tc>
          <w:tcPr>
            <w:tcW w:w="5860" w:type="dxa"/>
            <w:vAlign w:val="bottom"/>
          </w:tcPr>
          <w:p>
            <w:pPr>
              <w:spacing w:after="0" w:line="182" w:lineRule="exact"/>
              <w:rPr>
                <w:sz w:val="20"/>
                <w:szCs w:val="20"/>
                <w:color w:val="auto"/>
              </w:rPr>
            </w:pPr>
            <w:r>
              <w:rPr>
                <w:rFonts w:ascii="Arial" w:cs="Arial" w:eastAsia="Arial" w:hAnsi="Arial"/>
                <w:sz w:val="16"/>
                <w:szCs w:val="16"/>
                <w:color w:val="auto"/>
              </w:rPr>
              <w:t>•  Financial Management Experience</w:t>
            </w: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80" w:type="dxa"/>
            <w:vAlign w:val="bottom"/>
          </w:tcPr>
          <w:p>
            <w:pPr>
              <w:spacing w:after="0"/>
              <w:rPr>
                <w:sz w:val="15"/>
                <w:szCs w:val="15"/>
                <w:color w:val="auto"/>
              </w:rPr>
            </w:pPr>
          </w:p>
        </w:tc>
        <w:tc>
          <w:tcPr>
            <w:tcW w:w="5860" w:type="dxa"/>
            <w:vAlign w:val="bottom"/>
          </w:tcPr>
          <w:p>
            <w:pPr>
              <w:spacing w:after="0" w:line="182" w:lineRule="exact"/>
              <w:rPr>
                <w:sz w:val="20"/>
                <w:szCs w:val="20"/>
                <w:color w:val="auto"/>
              </w:rPr>
            </w:pPr>
            <w:r>
              <w:rPr>
                <w:rFonts w:ascii="Arial" w:cs="Arial" w:eastAsia="Arial" w:hAnsi="Arial"/>
                <w:sz w:val="16"/>
                <w:szCs w:val="16"/>
                <w:color w:val="auto"/>
              </w:rPr>
              <w:t>•  Executive Leadership of a Complex Business</w:t>
            </w: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80" w:type="dxa"/>
            <w:vAlign w:val="bottom"/>
          </w:tcPr>
          <w:p>
            <w:pPr>
              <w:spacing w:after="0"/>
              <w:rPr>
                <w:sz w:val="15"/>
                <w:szCs w:val="15"/>
                <w:color w:val="auto"/>
              </w:rPr>
            </w:pPr>
          </w:p>
        </w:tc>
        <w:tc>
          <w:tcPr>
            <w:tcW w:w="5860" w:type="dxa"/>
            <w:vAlign w:val="bottom"/>
          </w:tcPr>
          <w:p>
            <w:pPr>
              <w:spacing w:after="0" w:line="182" w:lineRule="exact"/>
              <w:rPr>
                <w:sz w:val="20"/>
                <w:szCs w:val="20"/>
                <w:color w:val="auto"/>
              </w:rPr>
            </w:pPr>
            <w:r>
              <w:rPr>
                <w:rFonts w:ascii="Arial" w:cs="Arial" w:eastAsia="Arial" w:hAnsi="Arial"/>
                <w:sz w:val="16"/>
                <w:szCs w:val="16"/>
                <w:color w:val="auto"/>
              </w:rPr>
              <w:t>•  Technology and Innovation Experience</w:t>
            </w: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20" w:type="dxa"/>
            <w:vAlign w:val="bottom"/>
            <w:shd w:val="clear" w:color="auto" w:fill="284993"/>
          </w:tcPr>
          <w:p>
            <w:pPr>
              <w:spacing w:after="0"/>
              <w:rPr>
                <w:sz w:val="15"/>
                <w:szCs w:val="15"/>
                <w:color w:val="auto"/>
              </w:rPr>
            </w:pPr>
          </w:p>
        </w:tc>
        <w:tc>
          <w:tcPr>
            <w:tcW w:w="80" w:type="dxa"/>
            <w:vAlign w:val="bottom"/>
          </w:tcPr>
          <w:p>
            <w:pPr>
              <w:spacing w:after="0"/>
              <w:rPr>
                <w:sz w:val="15"/>
                <w:szCs w:val="15"/>
                <w:color w:val="auto"/>
              </w:rPr>
            </w:pPr>
          </w:p>
        </w:tc>
        <w:tc>
          <w:tcPr>
            <w:tcW w:w="5860" w:type="dxa"/>
            <w:vAlign w:val="bottom"/>
          </w:tcPr>
          <w:p>
            <w:pPr>
              <w:spacing w:after="0" w:line="182" w:lineRule="exact"/>
              <w:rPr>
                <w:sz w:val="20"/>
                <w:szCs w:val="20"/>
                <w:color w:val="auto"/>
              </w:rPr>
            </w:pPr>
            <w:r>
              <w:rPr>
                <w:rFonts w:ascii="Arial" w:cs="Arial" w:eastAsia="Arial" w:hAnsi="Arial"/>
                <w:sz w:val="16"/>
                <w:szCs w:val="16"/>
                <w:color w:val="auto"/>
              </w:rPr>
              <w:t>•  Risk and Regulatory Experience</w:t>
            </w:r>
          </w:p>
        </w:tc>
        <w:tc>
          <w:tcPr>
            <w:tcW w:w="0" w:type="dxa"/>
            <w:vAlign w:val="bottom"/>
          </w:tcPr>
          <w:p>
            <w:pPr>
              <w:spacing w:after="0"/>
              <w:rPr>
                <w:sz w:val="1"/>
                <w:szCs w:val="1"/>
                <w:color w:val="auto"/>
              </w:rPr>
            </w:pPr>
          </w:p>
        </w:tc>
      </w:tr>
      <w:tr>
        <w:trPr>
          <w:trHeight w:val="207"/>
        </w:trPr>
        <w:tc>
          <w:tcPr>
            <w:tcW w:w="3100" w:type="dxa"/>
            <w:vAlign w:val="bottom"/>
          </w:tcPr>
          <w:p>
            <w:pPr>
              <w:spacing w:after="0"/>
              <w:rPr>
                <w:sz w:val="18"/>
                <w:szCs w:val="18"/>
                <w:color w:val="auto"/>
              </w:rPr>
            </w:pPr>
          </w:p>
        </w:tc>
        <w:tc>
          <w:tcPr>
            <w:tcW w:w="20" w:type="dxa"/>
            <w:vAlign w:val="bottom"/>
            <w:shd w:val="clear" w:color="auto" w:fill="284993"/>
          </w:tcPr>
          <w:p>
            <w:pPr>
              <w:spacing w:after="0"/>
              <w:rPr>
                <w:sz w:val="18"/>
                <w:szCs w:val="18"/>
                <w:color w:val="auto"/>
              </w:rPr>
            </w:pPr>
          </w:p>
        </w:tc>
        <w:tc>
          <w:tcPr>
            <w:tcW w:w="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6"/>
                <w:szCs w:val="16"/>
                <w:color w:val="auto"/>
              </w:rPr>
              <w:t>•  International Experience</w:t>
            </w:r>
          </w:p>
        </w:tc>
        <w:tc>
          <w:tcPr>
            <w:tcW w:w="0" w:type="dxa"/>
            <w:vAlign w:val="bottom"/>
          </w:tcPr>
          <w:p>
            <w:pPr>
              <w:spacing w:after="0"/>
              <w:rPr>
                <w:sz w:val="1"/>
                <w:szCs w:val="1"/>
                <w:color w:val="auto"/>
              </w:rPr>
            </w:pPr>
          </w:p>
        </w:tc>
      </w:tr>
      <w:tr>
        <w:trPr>
          <w:trHeight w:val="674"/>
        </w:trPr>
        <w:tc>
          <w:tcPr>
            <w:tcW w:w="3100" w:type="dxa"/>
            <w:vAlign w:val="bottom"/>
          </w:tcPr>
          <w:p>
            <w:pPr>
              <w:spacing w:after="0"/>
              <w:rPr>
                <w:sz w:val="20"/>
                <w:szCs w:val="20"/>
                <w:color w:val="auto"/>
              </w:rPr>
            </w:pPr>
            <w:r>
              <w:rPr>
                <w:rFonts w:ascii="Arial" w:cs="Arial" w:eastAsia="Arial" w:hAnsi="Arial"/>
                <w:sz w:val="14"/>
                <w:szCs w:val="14"/>
                <w:b w:val="1"/>
                <w:bCs w:val="1"/>
                <w:color w:val="284993"/>
              </w:rPr>
              <w:t>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45383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9310" cy="4538345"/>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-146685</wp:posOffset>
            </wp:positionV>
            <wp:extent cx="693420" cy="1320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3420" cy="132080"/>
                    </a:xfrm>
                    <a:prstGeom prst="rect">
                      <a:avLst/>
                    </a:prstGeom>
                    <a:noFill/>
                  </pic:spPr>
                </pic:pic>
              </a:graphicData>
            </a:graphic>
          </wp:anchor>
        </w:drawing>
      </w:r>
    </w:p>
    <w:p>
      <w:pPr>
        <w:sectPr>
          <w:pgSz w:w="11900" w:h="16838" w:orient="portrait"/>
          <w:cols w:equalWidth="0" w:num="1">
            <w:col w:w="9199"/>
          </w:cols>
          <w:pgMar w:left="1260" w:top="424"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76"/>
        </w:trPr>
        <w:tc>
          <w:tcPr>
            <w:tcW w:w="160" w:type="dxa"/>
            <w:vAlign w:val="bottom"/>
            <w:vMerge w:val="restart"/>
          </w:tcPr>
          <w:p>
            <w:pPr>
              <w:spacing w:after="0"/>
              <w:rPr>
                <w:sz w:val="20"/>
                <w:szCs w:val="20"/>
                <w:color w:val="auto"/>
              </w:rPr>
            </w:pPr>
            <w:r>
              <w:rPr>
                <w:rFonts w:ascii="Arial" w:cs="Arial" w:eastAsia="Arial" w:hAnsi="Arial"/>
                <w:sz w:val="14"/>
                <w:szCs w:val="14"/>
                <w:color w:val="auto"/>
                <w:w w:val="99"/>
              </w:rPr>
              <w:t> </w:t>
            </w:r>
          </w:p>
        </w:tc>
        <w:tc>
          <w:tcPr>
            <w:tcW w:w="2840" w:type="dxa"/>
            <w:vAlign w:val="bottom"/>
          </w:tcPr>
          <w:p>
            <w:pPr>
              <w:ind w:left="140"/>
              <w:spacing w:after="0"/>
              <w:rPr>
                <w:sz w:val="20"/>
                <w:szCs w:val="20"/>
                <w:color w:val="auto"/>
              </w:rPr>
            </w:pPr>
            <w:r>
              <w:rPr>
                <w:rFonts w:ascii="Arial" w:cs="Arial" w:eastAsia="Arial" w:hAnsi="Arial"/>
                <w:sz w:val="24"/>
                <w:szCs w:val="24"/>
                <w:b w:val="1"/>
                <w:bCs w:val="1"/>
                <w:color w:val="284993"/>
              </w:rPr>
              <w:t>Samir M. Zabaneh</w:t>
            </w:r>
          </w:p>
        </w:tc>
        <w:tc>
          <w:tcPr>
            <w:tcW w:w="240" w:type="dxa"/>
            <w:vAlign w:val="bottom"/>
          </w:tcPr>
          <w:p>
            <w:pPr>
              <w:ind w:left="80"/>
              <w:spacing w:after="0"/>
              <w:rPr>
                <w:sz w:val="20"/>
                <w:szCs w:val="20"/>
                <w:color w:val="auto"/>
              </w:rPr>
            </w:pPr>
            <w:r>
              <w:rPr>
                <w:rFonts w:ascii="Arial" w:cs="Arial" w:eastAsia="Arial" w:hAnsi="Arial"/>
                <w:sz w:val="17"/>
                <w:szCs w:val="17"/>
                <w:b w:val="1"/>
                <w:bCs w:val="1"/>
                <w:color w:val="284993"/>
                <w:w w:val="82"/>
              </w:rPr>
              <w:t> </w:t>
            </w:r>
          </w:p>
        </w:tc>
        <w:tc>
          <w:tcPr>
            <w:tcW w:w="5800" w:type="dxa"/>
            <w:vAlign w:val="bottom"/>
            <w:gridSpan w:val="2"/>
          </w:tcPr>
          <w:p>
            <w:pPr>
              <w:ind w:left="140"/>
              <w:spacing w:after="0"/>
              <w:rPr>
                <w:sz w:val="20"/>
                <w:szCs w:val="20"/>
                <w:color w:val="auto"/>
              </w:rPr>
            </w:pPr>
            <w:r>
              <w:rPr>
                <w:rFonts w:ascii="Arial" w:cs="Arial" w:eastAsia="Arial" w:hAnsi="Arial"/>
                <w:sz w:val="16"/>
                <w:szCs w:val="16"/>
                <w:b w:val="1"/>
                <w:bCs w:val="1"/>
                <w:i w:val="1"/>
                <w:iCs w:val="1"/>
                <w:color w:val="auto"/>
              </w:rPr>
              <w:t>Current Roles</w:t>
            </w:r>
          </w:p>
        </w:tc>
        <w:tc>
          <w:tcPr>
            <w:tcW w:w="0" w:type="dxa"/>
            <w:vAlign w:val="bottom"/>
          </w:tcPr>
          <w:p>
            <w:pPr>
              <w:spacing w:after="0"/>
              <w:rPr>
                <w:sz w:val="1"/>
                <w:szCs w:val="1"/>
                <w:color w:val="auto"/>
              </w:rPr>
            </w:pPr>
          </w:p>
        </w:tc>
      </w:tr>
      <w:tr>
        <w:trPr>
          <w:trHeight w:val="44"/>
        </w:trPr>
        <w:tc>
          <w:tcPr>
            <w:tcW w:w="160" w:type="dxa"/>
            <w:vAlign w:val="bottom"/>
            <w:vMerge w:val="continue"/>
          </w:tcPr>
          <w:p>
            <w:pPr>
              <w:spacing w:after="0"/>
              <w:rPr>
                <w:sz w:val="3"/>
                <w:szCs w:val="3"/>
                <w:color w:val="auto"/>
              </w:rPr>
            </w:pPr>
          </w:p>
        </w:tc>
        <w:tc>
          <w:tcPr>
            <w:tcW w:w="2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0" w:type="dxa"/>
            <w:vAlign w:val="bottom"/>
            <w:gridSpan w:val="2"/>
            <w:vMerge w:val="restart"/>
          </w:tcPr>
          <w:p>
            <w:pPr>
              <w:ind w:left="140"/>
              <w:spacing w:after="0"/>
              <w:rPr>
                <w:sz w:val="20"/>
                <w:szCs w:val="20"/>
                <w:color w:val="auto"/>
              </w:rPr>
            </w:pPr>
            <w:r>
              <w:rPr>
                <w:rFonts w:ascii="Arial" w:cs="Arial" w:eastAsia="Arial" w:hAnsi="Arial"/>
                <w:sz w:val="16"/>
                <w:szCs w:val="16"/>
                <w:color w:val="auto"/>
              </w:rPr>
              <w:t>•  Chief Executive Officer of Touch Bistro, Inc., an all-in-one point of sale and</w:t>
            </w:r>
          </w:p>
        </w:tc>
        <w:tc>
          <w:tcPr>
            <w:tcW w:w="0" w:type="dxa"/>
            <w:vAlign w:val="bottom"/>
          </w:tcPr>
          <w:p>
            <w:pPr>
              <w:spacing w:after="0"/>
              <w:rPr>
                <w:sz w:val="1"/>
                <w:szCs w:val="1"/>
                <w:color w:val="auto"/>
              </w:rPr>
            </w:pPr>
          </w:p>
        </w:tc>
      </w:tr>
      <w:tr>
        <w:trPr>
          <w:trHeight w:val="178"/>
        </w:trPr>
        <w:tc>
          <w:tcPr>
            <w:tcW w:w="1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28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60" w:type="dxa"/>
            <w:vAlign w:val="bottom"/>
          </w:tcPr>
          <w:p>
            <w:pPr>
              <w:ind w:left="140"/>
              <w:spacing w:after="0" w:line="182" w:lineRule="exact"/>
              <w:rPr>
                <w:sz w:val="20"/>
                <w:szCs w:val="20"/>
                <w:color w:val="auto"/>
              </w:rPr>
            </w:pPr>
            <w:r>
              <w:rPr>
                <w:rFonts w:ascii="Arial" w:cs="Arial" w:eastAsia="Arial" w:hAnsi="Arial"/>
                <w:sz w:val="16"/>
                <w:szCs w:val="16"/>
                <w:color w:val="auto"/>
              </w:rPr>
              <w:t>restaurant management software provider</w:t>
            </w: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28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5800" w:type="dxa"/>
            <w:vAlign w:val="bottom"/>
            <w:gridSpan w:val="2"/>
          </w:tcPr>
          <w:p>
            <w:pPr>
              <w:ind w:left="140"/>
              <w:spacing w:after="0" w:line="155" w:lineRule="exact"/>
              <w:rPr>
                <w:sz w:val="20"/>
                <w:szCs w:val="20"/>
                <w:color w:val="auto"/>
              </w:rPr>
            </w:pPr>
            <w:r>
              <w:rPr>
                <w:rFonts w:ascii="Arial" w:cs="Arial" w:eastAsia="Arial" w:hAnsi="Arial"/>
                <w:sz w:val="16"/>
                <w:szCs w:val="16"/>
                <w:color w:val="auto"/>
              </w:rPr>
              <w:t>•  Chairman of the Board of Directors of Touch Bistro, Inc. since 2020</w:t>
            </w:r>
          </w:p>
        </w:tc>
        <w:tc>
          <w:tcPr>
            <w:tcW w:w="0" w:type="dxa"/>
            <w:vAlign w:val="bottom"/>
          </w:tcPr>
          <w:p>
            <w:pPr>
              <w:spacing w:after="0"/>
              <w:rPr>
                <w:sz w:val="1"/>
                <w:szCs w:val="1"/>
                <w:color w:val="auto"/>
              </w:rPr>
            </w:pPr>
          </w:p>
        </w:tc>
      </w:tr>
      <w:tr>
        <w:trPr>
          <w:trHeight w:val="232"/>
        </w:trPr>
        <w:tc>
          <w:tcPr>
            <w:tcW w:w="160" w:type="dxa"/>
            <w:vAlign w:val="bottom"/>
          </w:tcPr>
          <w:p>
            <w:pPr>
              <w:spacing w:after="0"/>
              <w:rPr>
                <w:sz w:val="20"/>
                <w:szCs w:val="20"/>
                <w:color w:val="auto"/>
              </w:rPr>
            </w:pPr>
          </w:p>
        </w:tc>
        <w:tc>
          <w:tcPr>
            <w:tcW w:w="2840" w:type="dxa"/>
            <w:vAlign w:val="bottom"/>
          </w:tcPr>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tc>
        <w:tc>
          <w:tcPr>
            <w:tcW w:w="240" w:type="dxa"/>
            <w:vAlign w:val="bottom"/>
          </w:tcPr>
          <w:p>
            <w:pPr>
              <w:spacing w:after="0"/>
              <w:rPr>
                <w:sz w:val="20"/>
                <w:szCs w:val="20"/>
                <w:color w:val="auto"/>
              </w:rPr>
            </w:pPr>
          </w:p>
        </w:tc>
        <w:tc>
          <w:tcPr>
            <w:tcW w:w="5800" w:type="dxa"/>
            <w:vAlign w:val="bottom"/>
            <w:gridSpan w:val="2"/>
          </w:tcPr>
          <w:p>
            <w:pPr>
              <w:ind w:left="140"/>
              <w:spacing w:after="0"/>
              <w:rPr>
                <w:sz w:val="20"/>
                <w:szCs w:val="20"/>
                <w:color w:val="auto"/>
              </w:rPr>
            </w:pPr>
            <w:r>
              <w:rPr>
                <w:rFonts w:ascii="Arial" w:cs="Arial" w:eastAsia="Arial" w:hAnsi="Arial"/>
                <w:sz w:val="16"/>
                <w:szCs w:val="16"/>
                <w:color w:val="auto"/>
              </w:rPr>
              <w:t>•  Serves as Lead Director of Nuvei, a global leader in payments</w:t>
            </w: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28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Independent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2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800" w:type="dxa"/>
            <w:vAlign w:val="bottom"/>
            <w:gridSpan w:val="2"/>
            <w:vMerge w:val="restart"/>
          </w:tcPr>
          <w:p>
            <w:pPr>
              <w:ind w:left="140"/>
              <w:spacing w:after="0"/>
              <w:rPr>
                <w:sz w:val="20"/>
                <w:szCs w:val="20"/>
                <w:color w:val="auto"/>
              </w:rPr>
            </w:pPr>
            <w:r>
              <w:rPr>
                <w:rFonts w:ascii="Arial" w:cs="Arial" w:eastAsia="Arial" w:hAnsi="Arial"/>
                <w:sz w:val="16"/>
                <w:szCs w:val="16"/>
                <w:b w:val="1"/>
                <w:bCs w:val="1"/>
                <w:i w:val="1"/>
                <w:iCs w:val="1"/>
                <w:color w:val="auto"/>
              </w:rPr>
              <w:t>Past Roles</w:t>
            </w:r>
          </w:p>
        </w:tc>
        <w:tc>
          <w:tcPr>
            <w:tcW w:w="0" w:type="dxa"/>
            <w:vAlign w:val="bottom"/>
          </w:tcPr>
          <w:p>
            <w:pPr>
              <w:spacing w:after="0"/>
              <w:rPr>
                <w:sz w:val="1"/>
                <w:szCs w:val="1"/>
                <w:color w:val="auto"/>
              </w:rPr>
            </w:pPr>
          </w:p>
        </w:tc>
      </w:tr>
      <w:tr>
        <w:trPr>
          <w:trHeight w:val="294"/>
        </w:trPr>
        <w:tc>
          <w:tcPr>
            <w:tcW w:w="160" w:type="dxa"/>
            <w:vAlign w:val="bottom"/>
          </w:tcPr>
          <w:p>
            <w:pPr>
              <w:spacing w:after="0"/>
              <w:rPr>
                <w:sz w:val="24"/>
                <w:szCs w:val="24"/>
                <w:color w:val="auto"/>
              </w:rPr>
            </w:pPr>
          </w:p>
        </w:tc>
        <w:tc>
          <w:tcPr>
            <w:tcW w:w="28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Committee Memberships:</w:t>
            </w:r>
          </w:p>
        </w:tc>
        <w:tc>
          <w:tcPr>
            <w:tcW w:w="240" w:type="dxa"/>
            <w:vAlign w:val="bottom"/>
          </w:tcPr>
          <w:p>
            <w:pPr>
              <w:spacing w:after="0"/>
              <w:rPr>
                <w:sz w:val="24"/>
                <w:szCs w:val="24"/>
                <w:color w:val="auto"/>
              </w:rPr>
            </w:pPr>
          </w:p>
        </w:tc>
        <w:tc>
          <w:tcPr>
            <w:tcW w:w="58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160" w:type="dxa"/>
            <w:vAlign w:val="bottom"/>
          </w:tcPr>
          <w:p>
            <w:pPr>
              <w:spacing w:after="0"/>
              <w:rPr>
                <w:sz w:val="6"/>
                <w:szCs w:val="6"/>
                <w:color w:val="auto"/>
              </w:rPr>
            </w:pPr>
          </w:p>
        </w:tc>
        <w:tc>
          <w:tcPr>
            <w:tcW w:w="28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5800" w:type="dxa"/>
            <w:vAlign w:val="bottom"/>
            <w:gridSpan w:val="2"/>
            <w:vMerge w:val="restart"/>
          </w:tcPr>
          <w:p>
            <w:pPr>
              <w:ind w:left="140"/>
              <w:spacing w:after="0" w:line="182" w:lineRule="exact"/>
              <w:rPr>
                <w:sz w:val="20"/>
                <w:szCs w:val="20"/>
                <w:color w:val="auto"/>
              </w:rPr>
            </w:pPr>
            <w:r>
              <w:rPr>
                <w:rFonts w:ascii="Arial" w:cs="Arial" w:eastAsia="Arial" w:hAnsi="Arial"/>
                <w:sz w:val="16"/>
                <w:szCs w:val="16"/>
                <w:color w:val="auto"/>
              </w:rPr>
              <w:t>•  Served as a Director of AST Trust Company from 2013 to 2021</w:t>
            </w:r>
          </w:p>
        </w:tc>
        <w:tc>
          <w:tcPr>
            <w:tcW w:w="0" w:type="dxa"/>
            <w:vAlign w:val="bottom"/>
          </w:tcPr>
          <w:p>
            <w:pPr>
              <w:spacing w:after="0"/>
              <w:rPr>
                <w:sz w:val="1"/>
                <w:szCs w:val="1"/>
                <w:color w:val="auto"/>
              </w:rPr>
            </w:pPr>
          </w:p>
        </w:tc>
      </w:tr>
      <w:tr>
        <w:trPr>
          <w:trHeight w:val="104"/>
        </w:trPr>
        <w:tc>
          <w:tcPr>
            <w:tcW w:w="160" w:type="dxa"/>
            <w:vAlign w:val="bottom"/>
          </w:tcPr>
          <w:p>
            <w:pPr>
              <w:spacing w:after="0"/>
              <w:rPr>
                <w:sz w:val="9"/>
                <w:szCs w:val="9"/>
                <w:color w:val="auto"/>
              </w:rPr>
            </w:pPr>
          </w:p>
        </w:tc>
        <w:tc>
          <w:tcPr>
            <w:tcW w:w="2840" w:type="dxa"/>
            <w:vAlign w:val="bottom"/>
            <w:vMerge w:val="restart"/>
          </w:tcPr>
          <w:p>
            <w:pPr>
              <w:ind w:left="140"/>
              <w:spacing w:after="0"/>
              <w:rPr>
                <w:sz w:val="20"/>
                <w:szCs w:val="20"/>
                <w:color w:val="auto"/>
              </w:rPr>
            </w:pPr>
            <w:r>
              <w:rPr>
                <w:rFonts w:ascii="Arial" w:cs="Arial" w:eastAsia="Arial" w:hAnsi="Arial"/>
                <w:sz w:val="16"/>
                <w:szCs w:val="16"/>
                <w:color w:val="auto"/>
              </w:rPr>
              <w:t>Compensation (</w:t>
            </w:r>
            <w:r>
              <w:rPr>
                <w:rFonts w:ascii="Arial" w:cs="Arial" w:eastAsia="Arial" w:hAnsi="Arial"/>
                <w:sz w:val="16"/>
                <w:szCs w:val="16"/>
                <w:i w:val="1"/>
                <w:iCs w:val="1"/>
                <w:color w:val="auto"/>
              </w:rPr>
              <w:t>Chair</w:t>
            </w:r>
            <w:r>
              <w:rPr>
                <w:rFonts w:ascii="Arial" w:cs="Arial" w:eastAsia="Arial" w:hAnsi="Arial"/>
                <w:sz w:val="16"/>
                <w:szCs w:val="16"/>
                <w:color w:val="auto"/>
              </w:rPr>
              <w:t>), Audit</w:t>
            </w:r>
          </w:p>
        </w:tc>
        <w:tc>
          <w:tcPr>
            <w:tcW w:w="240" w:type="dxa"/>
            <w:vAlign w:val="bottom"/>
          </w:tcPr>
          <w:p>
            <w:pPr>
              <w:spacing w:after="0"/>
              <w:rPr>
                <w:sz w:val="9"/>
                <w:szCs w:val="9"/>
                <w:color w:val="auto"/>
              </w:rPr>
            </w:pPr>
          </w:p>
        </w:tc>
        <w:tc>
          <w:tcPr>
            <w:tcW w:w="5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0" w:type="dxa"/>
            <w:vAlign w:val="bottom"/>
          </w:tcPr>
          <w:p>
            <w:pPr>
              <w:spacing w:after="0"/>
              <w:rPr>
                <w:sz w:val="8"/>
                <w:szCs w:val="8"/>
                <w:color w:val="auto"/>
              </w:rPr>
            </w:pPr>
          </w:p>
        </w:tc>
        <w:tc>
          <w:tcPr>
            <w:tcW w:w="28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5800" w:type="dxa"/>
            <w:vAlign w:val="bottom"/>
            <w:gridSpan w:val="2"/>
            <w:vMerge w:val="restart"/>
          </w:tcPr>
          <w:p>
            <w:pPr>
              <w:ind w:left="140"/>
              <w:spacing w:after="0" w:line="182" w:lineRule="exact"/>
              <w:rPr>
                <w:sz w:val="20"/>
                <w:szCs w:val="20"/>
                <w:color w:val="auto"/>
              </w:rPr>
            </w:pPr>
            <w:r>
              <w:rPr>
                <w:rFonts w:ascii="Arial" w:cs="Arial" w:eastAsia="Arial" w:hAnsi="Arial"/>
                <w:sz w:val="16"/>
                <w:szCs w:val="16"/>
                <w:color w:val="auto"/>
              </w:rPr>
              <w:t>•  Served as Executive Vice President, Global Business Services at Fiserv,</w:t>
            </w: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2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2840" w:type="dxa"/>
            <w:vAlign w:val="bottom"/>
            <w:vMerge w:val="restart"/>
          </w:tcPr>
          <w:p>
            <w:pPr>
              <w:ind w:left="140"/>
              <w:spacing w:after="0"/>
              <w:rPr>
                <w:sz w:val="20"/>
                <w:szCs w:val="20"/>
                <w:color w:val="auto"/>
              </w:rPr>
            </w:pPr>
            <w:r>
              <w:rPr>
                <w:rFonts w:ascii="Arial" w:cs="Arial" w:eastAsia="Arial" w:hAnsi="Arial"/>
                <w:sz w:val="16"/>
                <w:szCs w:val="16"/>
                <w:b w:val="1"/>
                <w:bCs w:val="1"/>
                <w:color w:val="auto"/>
                <w:w w:val="98"/>
              </w:rPr>
              <w:t xml:space="preserve">Other Public Company Boards: </w:t>
            </w:r>
            <w:r>
              <w:rPr>
                <w:rFonts w:ascii="Arial" w:cs="Arial" w:eastAsia="Arial" w:hAnsi="Arial"/>
                <w:sz w:val="16"/>
                <w:szCs w:val="16"/>
                <w:color w:val="auto"/>
                <w:w w:val="98"/>
              </w:rPr>
              <w:t>One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60" w:type="dxa"/>
            <w:vAlign w:val="bottom"/>
          </w:tcPr>
          <w:p>
            <w:pPr>
              <w:ind w:left="140"/>
              <w:spacing w:after="0" w:line="182" w:lineRule="exact"/>
              <w:rPr>
                <w:sz w:val="20"/>
                <w:szCs w:val="20"/>
                <w:color w:val="auto"/>
              </w:rPr>
            </w:pPr>
            <w:r>
              <w:rPr>
                <w:rFonts w:ascii="Arial" w:cs="Arial" w:eastAsia="Arial" w:hAnsi="Arial"/>
                <w:sz w:val="16"/>
                <w:szCs w:val="16"/>
                <w:color w:val="auto"/>
              </w:rPr>
              <w:t>previously First Data, from 2018 to 2020</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2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800" w:type="dxa"/>
            <w:vAlign w:val="bottom"/>
            <w:gridSpan w:val="2"/>
          </w:tcPr>
          <w:p>
            <w:pPr>
              <w:ind w:left="140"/>
              <w:spacing w:after="0" w:line="182" w:lineRule="exact"/>
              <w:rPr>
                <w:sz w:val="20"/>
                <w:szCs w:val="20"/>
                <w:color w:val="auto"/>
              </w:rPr>
            </w:pPr>
            <w:r>
              <w:rPr>
                <w:rFonts w:ascii="Arial" w:cs="Arial" w:eastAsia="Arial" w:hAnsi="Arial"/>
                <w:sz w:val="16"/>
                <w:szCs w:val="16"/>
                <w:color w:val="auto"/>
              </w:rPr>
              <w:t>•  Served as Chief Financial Officer of Element Fleet Management Corp. from</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60" w:type="dxa"/>
            <w:vAlign w:val="bottom"/>
          </w:tcPr>
          <w:p>
            <w:pPr>
              <w:ind w:left="140"/>
              <w:spacing w:after="0" w:line="182" w:lineRule="exact"/>
              <w:rPr>
                <w:sz w:val="20"/>
                <w:szCs w:val="20"/>
                <w:color w:val="auto"/>
              </w:rPr>
            </w:pPr>
            <w:r>
              <w:rPr>
                <w:rFonts w:ascii="Arial" w:cs="Arial" w:eastAsia="Arial" w:hAnsi="Arial"/>
                <w:sz w:val="16"/>
                <w:szCs w:val="16"/>
                <w:color w:val="auto"/>
              </w:rPr>
              <w:t>2017 to 2018</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0" w:type="dxa"/>
            <w:vAlign w:val="bottom"/>
            <w:gridSpan w:val="2"/>
          </w:tcPr>
          <w:p>
            <w:pPr>
              <w:ind w:left="140"/>
              <w:spacing w:after="0" w:line="182" w:lineRule="exact"/>
              <w:rPr>
                <w:sz w:val="20"/>
                <w:szCs w:val="20"/>
                <w:color w:val="auto"/>
              </w:rPr>
            </w:pPr>
            <w:r>
              <w:rPr>
                <w:rFonts w:ascii="Arial" w:cs="Arial" w:eastAsia="Arial" w:hAnsi="Arial"/>
                <w:sz w:val="16"/>
                <w:szCs w:val="16"/>
                <w:color w:val="auto"/>
              </w:rPr>
              <w:t>•  Served as Chief Financial Officer of Heartland Payment Systems, Inc. from</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60" w:type="dxa"/>
            <w:vAlign w:val="bottom"/>
          </w:tcPr>
          <w:p>
            <w:pPr>
              <w:ind w:left="140"/>
              <w:spacing w:after="0" w:line="182" w:lineRule="exact"/>
              <w:rPr>
                <w:sz w:val="20"/>
                <w:szCs w:val="20"/>
                <w:color w:val="auto"/>
              </w:rPr>
            </w:pPr>
            <w:r>
              <w:rPr>
                <w:rFonts w:ascii="Arial" w:cs="Arial" w:eastAsia="Arial" w:hAnsi="Arial"/>
                <w:sz w:val="16"/>
                <w:szCs w:val="16"/>
                <w:color w:val="auto"/>
              </w:rPr>
              <w:t>2014 to 2016</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0" w:type="dxa"/>
            <w:vAlign w:val="bottom"/>
            <w:gridSpan w:val="2"/>
          </w:tcPr>
          <w:p>
            <w:pPr>
              <w:ind w:left="140"/>
              <w:spacing w:after="0" w:line="182" w:lineRule="exact"/>
              <w:rPr>
                <w:sz w:val="20"/>
                <w:szCs w:val="20"/>
                <w:color w:val="auto"/>
              </w:rPr>
            </w:pPr>
            <w:r>
              <w:rPr>
                <w:rFonts w:ascii="Arial" w:cs="Arial" w:eastAsia="Arial" w:hAnsi="Arial"/>
                <w:sz w:val="16"/>
                <w:szCs w:val="16"/>
                <w:color w:val="auto"/>
                <w:w w:val="97"/>
              </w:rPr>
              <w:t>•  Served as Chief Operating, Financial and Strategy Officer at Moneris Solutions</w:t>
            </w: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60" w:type="dxa"/>
            <w:vAlign w:val="bottom"/>
          </w:tcPr>
          <w:p>
            <w:pPr>
              <w:ind w:left="140"/>
              <w:spacing w:after="0"/>
              <w:rPr>
                <w:sz w:val="20"/>
                <w:szCs w:val="20"/>
                <w:color w:val="auto"/>
              </w:rPr>
            </w:pPr>
            <w:r>
              <w:rPr>
                <w:rFonts w:ascii="Arial" w:cs="Arial" w:eastAsia="Arial" w:hAnsi="Arial"/>
                <w:sz w:val="16"/>
                <w:szCs w:val="16"/>
                <w:color w:val="auto"/>
              </w:rPr>
              <w:t>from 2008 to 2014</w:t>
            </w: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60" w:type="dxa"/>
            <w:vAlign w:val="bottom"/>
            <w:tcBorders>
              <w:bottom w:val="single" w:sz="8" w:color="284993"/>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8620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9310" cy="3862070"/>
                    </a:xfrm>
                    <a:prstGeom prst="rect">
                      <a:avLst/>
                    </a:prstGeom>
                    <a:noFill/>
                  </pic:spPr>
                </pic:pic>
              </a:graphicData>
            </a:graphic>
          </wp:anchor>
        </w:drawing>
      </w:r>
    </w:p>
    <w:p>
      <w:pPr>
        <w:ind w:left="3380"/>
        <w:spacing w:after="0"/>
        <w:rPr>
          <w:sz w:val="20"/>
          <w:szCs w:val="20"/>
          <w:color w:val="auto"/>
        </w:rPr>
      </w:pPr>
      <w:r>
        <w:rPr>
          <w:rFonts w:ascii="Arial" w:cs="Arial" w:eastAsia="Arial" w:hAnsi="Arial"/>
          <w:sz w:val="17"/>
          <w:szCs w:val="17"/>
          <w:b w:val="1"/>
          <w:bCs w:val="1"/>
          <w:color w:val="284993"/>
        </w:rPr>
        <w:t>Skills and Qualifications</w:t>
      </w:r>
    </w:p>
    <w:p>
      <w:pPr>
        <w:spacing w:after="0" w:line="162"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•  Payments Industry Knowledge</w:t>
      </w:r>
    </w:p>
    <w:p>
      <w:pPr>
        <w:spacing w:after="0" w:line="10"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•  Financial Services Industry Experience</w:t>
      </w:r>
    </w:p>
    <w:p>
      <w:pPr>
        <w:ind w:left="3380"/>
        <w:spacing w:after="0" w:line="237" w:lineRule="auto"/>
        <w:rPr>
          <w:sz w:val="20"/>
          <w:szCs w:val="20"/>
          <w:color w:val="auto"/>
        </w:rPr>
      </w:pPr>
      <w:r>
        <w:rPr>
          <w:rFonts w:ascii="Arial" w:cs="Arial" w:eastAsia="Arial" w:hAnsi="Arial"/>
          <w:sz w:val="16"/>
          <w:szCs w:val="16"/>
          <w:color w:val="auto"/>
        </w:rPr>
        <w:t>•  Financial Expert</w:t>
      </w:r>
    </w:p>
    <w:p>
      <w:pPr>
        <w:ind w:left="3380"/>
        <w:spacing w:after="0" w:line="237" w:lineRule="auto"/>
        <w:rPr>
          <w:sz w:val="20"/>
          <w:szCs w:val="20"/>
          <w:color w:val="auto"/>
        </w:rPr>
      </w:pPr>
      <w:r>
        <w:rPr>
          <w:rFonts w:ascii="Arial" w:cs="Arial" w:eastAsia="Arial" w:hAnsi="Arial"/>
          <w:sz w:val="16"/>
          <w:szCs w:val="16"/>
          <w:color w:val="auto"/>
        </w:rPr>
        <w:t>•  Financial Management Experience</w:t>
      </w:r>
    </w:p>
    <w:p>
      <w:pPr>
        <w:ind w:left="3380"/>
        <w:spacing w:after="0" w:line="237" w:lineRule="auto"/>
        <w:rPr>
          <w:sz w:val="20"/>
          <w:szCs w:val="20"/>
          <w:color w:val="auto"/>
        </w:rPr>
      </w:pPr>
      <w:r>
        <w:rPr>
          <w:rFonts w:ascii="Arial" w:cs="Arial" w:eastAsia="Arial" w:hAnsi="Arial"/>
          <w:sz w:val="16"/>
          <w:szCs w:val="16"/>
          <w:color w:val="auto"/>
        </w:rPr>
        <w:t>•  Executive Leadership of a Complex Business</w:t>
      </w:r>
    </w:p>
    <w:p>
      <w:pPr>
        <w:ind w:left="3380"/>
        <w:spacing w:after="0" w:line="238" w:lineRule="auto"/>
        <w:rPr>
          <w:sz w:val="20"/>
          <w:szCs w:val="20"/>
          <w:color w:val="auto"/>
        </w:rPr>
      </w:pPr>
      <w:r>
        <w:rPr>
          <w:rFonts w:ascii="Arial" w:cs="Arial" w:eastAsia="Arial" w:hAnsi="Arial"/>
          <w:sz w:val="16"/>
          <w:szCs w:val="16"/>
          <w:color w:val="auto"/>
        </w:rPr>
        <w:t>•  Technology and Innovation Experience</w:t>
      </w:r>
    </w:p>
    <w:p>
      <w:pPr>
        <w:ind w:left="3380"/>
        <w:spacing w:after="0" w:line="237" w:lineRule="auto"/>
        <w:rPr>
          <w:sz w:val="20"/>
          <w:szCs w:val="20"/>
          <w:color w:val="auto"/>
        </w:rPr>
      </w:pPr>
      <w:r>
        <w:rPr>
          <w:rFonts w:ascii="Arial" w:cs="Arial" w:eastAsia="Arial" w:hAnsi="Arial"/>
          <w:sz w:val="16"/>
          <w:szCs w:val="16"/>
          <w:color w:val="auto"/>
        </w:rPr>
        <w:t>•  Risk and Regulatory Experience</w:t>
      </w:r>
    </w:p>
    <w:p>
      <w:pPr>
        <w:ind w:left="3380"/>
        <w:spacing w:after="0"/>
        <w:rPr>
          <w:sz w:val="20"/>
          <w:szCs w:val="20"/>
          <w:color w:val="auto"/>
        </w:rPr>
      </w:pPr>
      <w:r>
        <w:rPr>
          <w:rFonts w:ascii="Arial" w:cs="Arial" w:eastAsia="Arial" w:hAnsi="Arial"/>
          <w:sz w:val="16"/>
          <w:szCs w:val="16"/>
          <w:color w:val="auto"/>
        </w:rPr>
        <w:t>•  International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186690</wp:posOffset>
            </wp:positionV>
            <wp:extent cx="5958205" cy="3473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58205" cy="3473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284993"/>
        </w:rPr>
        <w:t>OUR BOARD RECOMMENDS A VOTE “FOR” EACH OF THE EIGHT NOMINEES</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21</w:t>
      </w:r>
    </w:p>
    <w:p>
      <w:pPr>
        <w:sectPr>
          <w:pgSz w:w="11900" w:h="16838" w:orient="portrait"/>
          <w:cols w:equalWidth="0" w:num="1">
            <w:col w:w="9340"/>
          </w:cols>
          <w:pgMar w:left="1280" w:top="448" w:right="1279" w:bottom="1440" w:gutter="0" w:footer="0" w:header="0"/>
        </w:sectPr>
      </w:pPr>
    </w:p>
    <w:bookmarkStart w:id="27" w:name="page28"/>
    <w:bookmarkEnd w:id="27"/>
    <w:p>
      <w:pPr>
        <w:jc w:val="center"/>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257175</wp:posOffset>
            </wp:positionV>
            <wp:extent cx="59410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auto"/>
        </w:rPr>
        <w:t>Compensation for our independent directors consists of a cash retainer fee based on Board and committee service and an annual equity award based on Board service. Our Board believes that providing a meaningful portion of compensation in the form of equity creates a direct linkage with company performance and stockholder interests.</w:t>
      </w:r>
    </w:p>
    <w:p>
      <w:pPr>
        <w:spacing w:after="0" w:line="176"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The Corporate Governance Committee annually reviews the total compensation of our independent directors and each element of our independent director compensation program. Based on its review, the Corporate Governance Committee makes a recommendation to the Board. The Board then determines the form and amount of independent director compensation after reviewing the recommendation.</w:t>
      </w:r>
    </w:p>
    <w:p>
      <w:pPr>
        <w:spacing w:after="0" w:line="142"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As part of its annual review, the Corporate Governance Committee asks its independent compensation consulting firm, Compensia, Inc., to provide an assessment of the competitiveness of the Board’s compensation program. In order to assess the competitiveness of the Board compensation program, Compensia used the market data of our peer group, which is the group of companies used for our executive compensation review (see “Compensation Discussion and Analysis—Peer Group” below). The assessment reviews all elements of director compensation (e.g., annual retainers, equity compensation, committee member compensation, committee chair additional compensation and non-executive chairman compensation). In addition, the assessment evaluates the director compensation program design to provide the Corporate Governance Committee an understanding of how the program design compares to both best and market practices.</w:t>
      </w:r>
    </w:p>
    <w:p>
      <w:pPr>
        <w:spacing w:after="0" w:line="185" w:lineRule="exact"/>
        <w:rPr>
          <w:sz w:val="20"/>
          <w:szCs w:val="20"/>
          <w:color w:val="auto"/>
        </w:rPr>
      </w:pPr>
    </w:p>
    <w:p>
      <w:pPr>
        <w:ind w:right="280"/>
        <w:spacing w:after="0" w:line="264" w:lineRule="auto"/>
        <w:rPr>
          <w:sz w:val="20"/>
          <w:szCs w:val="20"/>
          <w:color w:val="auto"/>
        </w:rPr>
      </w:pPr>
      <w:r>
        <w:rPr>
          <w:rFonts w:ascii="Arial" w:cs="Arial" w:eastAsia="Arial" w:hAnsi="Arial"/>
          <w:sz w:val="16"/>
          <w:szCs w:val="16"/>
          <w:color w:val="auto"/>
        </w:rPr>
        <w:t>Our 2020 Equity and Incentive Compensation Plan, as amended (“2020 Plan”), provides a $750,000 per year limit on non-employee director compensation.</w:t>
      </w:r>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Retainer Fees</w:t>
      </w:r>
    </w:p>
    <w:p>
      <w:pPr>
        <w:spacing w:after="0" w:line="124" w:lineRule="exact"/>
        <w:rPr>
          <w:sz w:val="20"/>
          <w:szCs w:val="20"/>
          <w:color w:val="auto"/>
        </w:rPr>
      </w:pPr>
    </w:p>
    <w:p>
      <w:pPr>
        <w:ind w:right="300"/>
        <w:spacing w:after="0" w:line="246" w:lineRule="auto"/>
        <w:rPr>
          <w:sz w:val="20"/>
          <w:szCs w:val="20"/>
          <w:color w:val="auto"/>
        </w:rPr>
      </w:pPr>
      <w:r>
        <w:rPr>
          <w:rFonts w:ascii="Arial" w:cs="Arial" w:eastAsia="Arial" w:hAnsi="Arial"/>
          <w:sz w:val="16"/>
          <w:szCs w:val="16"/>
          <w:color w:val="auto"/>
        </w:rPr>
        <w:t>Each independent director receives a $68,000 base annual retainer fee. The Board chair receives an additional $100,000 annual premium. The Chair of the Audit Committee receives an additional $30,000, the Chair of the Compensation Committee receives an additional $20,000, and the Chair of the Corporate Governance Committee receives an additional $15,000 annual premium. Annual retainer fees are paid on a quarterly basis.</w:t>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Equity-Based Compensation</w:t>
      </w:r>
    </w:p>
    <w:p>
      <w:pPr>
        <w:spacing w:after="0" w:line="228"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Our independent directors are granted an annual equity award with a target grant date fair value of $250,000. Such grants are made at the discretion of our Board based on the recommendations of the Corporate Governance Committee. Director equity awards generally vest on the earlier to occur of (i) the date that is one year following the date of grant, and (ii) the day immediately prior to the date of the next annual meeting of our stockholders occurring following the date of grant. The independent directors’ equity awards provide for accelerated vesting upon the director’s death or disability (as such terms are defined in the applicable award agreement). For non-employee directors who join the Board prior to the annual meeting of shareholders, our practice is to grant such directors a pro-rated equity award.</w:t>
      </w:r>
    </w:p>
    <w:p>
      <w:pPr>
        <w:spacing w:after="0" w:line="188" w:lineRule="exact"/>
        <w:rPr>
          <w:sz w:val="20"/>
          <w:szCs w:val="20"/>
          <w:color w:val="auto"/>
        </w:rPr>
      </w:pPr>
    </w:p>
    <w:p>
      <w:pPr>
        <w:jc w:val="both"/>
        <w:ind w:right="220"/>
        <w:spacing w:after="0" w:line="304" w:lineRule="auto"/>
        <w:rPr>
          <w:sz w:val="20"/>
          <w:szCs w:val="20"/>
          <w:color w:val="auto"/>
        </w:rPr>
      </w:pPr>
      <w:r>
        <w:rPr>
          <w:rFonts w:ascii="Arial" w:cs="Arial" w:eastAsia="Arial" w:hAnsi="Arial"/>
          <w:sz w:val="14"/>
          <w:szCs w:val="14"/>
          <w:color w:val="auto"/>
        </w:rPr>
        <w:t>On June 1, 2023, our independent directors at the time were each granted 10,994 restricted stock units (“RSUs”). Ms. McCallum and Mr. Benitez were not members of the Board on the date of grant, and each received a pro-rated equity award for their grant upon the commencement of their service. Mr. Lamouche was not eligible for a 2023 RSU award due to his resignation on June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56515</wp:posOffset>
            </wp:positionV>
            <wp:extent cx="693420" cy="1320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3420" cy="13208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22</w:t>
      </w:r>
    </w:p>
    <w:p>
      <w:pPr>
        <w:sectPr>
          <w:pgSz w:w="11900" w:h="16838" w:orient="portrait"/>
          <w:cols w:equalWidth="0" w:num="1">
            <w:col w:w="9360"/>
          </w:cols>
          <w:pgMar w:left="1260" w:top="254" w:right="1279" w:bottom="1440" w:gutter="0" w:footer="0" w:header="0"/>
        </w:sectPr>
      </w:pPr>
    </w:p>
    <w:bookmarkStart w:id="28" w:name="page29"/>
    <w:bookmarkEnd w:id="28"/>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2023 Director Compensation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compensation we paid to our independent directors for the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5123815</wp:posOffset>
            </wp:positionH>
            <wp:positionV relativeFrom="paragraph">
              <wp:posOffset>154940</wp:posOffset>
            </wp:positionV>
            <wp:extent cx="8255" cy="3467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346710"/>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154940</wp:posOffset>
            </wp:positionV>
            <wp:extent cx="8255" cy="1163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1163320"/>
                    </a:xfrm>
                    <a:prstGeom prst="rect">
                      <a:avLst/>
                    </a:prstGeom>
                    <a:noFill/>
                  </pic:spPr>
                </pic:pic>
              </a:graphicData>
            </a:graphic>
          </wp:anchor>
        </w:drawing>
        <w:drawing>
          <wp:anchor simplePos="0" relativeHeight="251657728" behindDoc="1" locked="0" layoutInCell="0" allowOverlap="1">
            <wp:simplePos x="0" y="0"/>
            <wp:positionH relativeFrom="column">
              <wp:posOffset>3300095</wp:posOffset>
            </wp:positionH>
            <wp:positionV relativeFrom="paragraph">
              <wp:posOffset>154940</wp:posOffset>
            </wp:positionV>
            <wp:extent cx="8255" cy="1163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1163320"/>
                    </a:xfrm>
                    <a:prstGeom prst="rect">
                      <a:avLst/>
                    </a:prstGeom>
                    <a:noFill/>
                  </pic:spPr>
                </pic:pic>
              </a:graphicData>
            </a:graphic>
          </wp:anchor>
        </w:drawing>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460" w:type="dxa"/>
            <w:vAlign w:val="bottom"/>
            <w:shd w:val="clear" w:color="auto" w:fill="284993"/>
          </w:tcPr>
          <w:p>
            <w:pPr>
              <w:spacing w:after="0"/>
              <w:rPr>
                <w:sz w:val="16"/>
                <w:szCs w:val="16"/>
                <w:color w:val="auto"/>
              </w:rPr>
            </w:pPr>
          </w:p>
        </w:tc>
        <w:tc>
          <w:tcPr>
            <w:tcW w:w="3340" w:type="dxa"/>
            <w:vAlign w:val="bottom"/>
            <w:shd w:val="clear" w:color="auto" w:fill="284993"/>
          </w:tcPr>
          <w:p>
            <w:pPr>
              <w:jc w:val="center"/>
              <w:ind w:left="1502"/>
              <w:spacing w:after="0"/>
              <w:rPr>
                <w:sz w:val="20"/>
                <w:szCs w:val="20"/>
                <w:color w:val="auto"/>
              </w:rPr>
            </w:pPr>
            <w:r>
              <w:rPr>
                <w:rFonts w:ascii="Arial" w:cs="Arial" w:eastAsia="Arial" w:hAnsi="Arial"/>
                <w:sz w:val="16"/>
                <w:szCs w:val="16"/>
                <w:b w:val="1"/>
                <w:bCs w:val="1"/>
                <w:color w:val="FFFFFF"/>
                <w:w w:val="96"/>
              </w:rPr>
              <w:t>Fees Earned or</w:t>
            </w:r>
          </w:p>
        </w:tc>
        <w:tc>
          <w:tcPr>
            <w:tcW w:w="1280" w:type="dxa"/>
            <w:vAlign w:val="bottom"/>
            <w:shd w:val="clear" w:color="auto" w:fill="284993"/>
          </w:tcPr>
          <w:p>
            <w:pPr>
              <w:jc w:val="center"/>
              <w:ind w:right="25"/>
              <w:spacing w:after="0"/>
              <w:rPr>
                <w:sz w:val="20"/>
                <w:szCs w:val="20"/>
                <w:color w:val="auto"/>
              </w:rPr>
            </w:pPr>
            <w:r>
              <w:rPr>
                <w:rFonts w:ascii="Arial" w:cs="Arial" w:eastAsia="Arial" w:hAnsi="Arial"/>
                <w:sz w:val="16"/>
                <w:szCs w:val="16"/>
                <w:b w:val="1"/>
                <w:bCs w:val="1"/>
                <w:color w:val="FFFFFF"/>
                <w:w w:val="96"/>
              </w:rPr>
              <w:t>Stock</w:t>
            </w:r>
          </w:p>
        </w:tc>
        <w:tc>
          <w:tcPr>
            <w:tcW w:w="1260" w:type="dxa"/>
            <w:vAlign w:val="bottom"/>
            <w:shd w:val="clear" w:color="auto" w:fill="284993"/>
          </w:tcPr>
          <w:p>
            <w:pPr>
              <w:spacing w:after="0"/>
              <w:rPr>
                <w:sz w:val="16"/>
                <w:szCs w:val="16"/>
                <w:color w:val="auto"/>
              </w:rPr>
            </w:pPr>
          </w:p>
        </w:tc>
      </w:tr>
      <w:tr>
        <w:trPr>
          <w:trHeight w:val="182"/>
        </w:trPr>
        <w:tc>
          <w:tcPr>
            <w:tcW w:w="3460" w:type="dxa"/>
            <w:vAlign w:val="bottom"/>
            <w:shd w:val="clear" w:color="auto" w:fill="284993"/>
          </w:tcPr>
          <w:p>
            <w:pPr>
              <w:spacing w:after="0"/>
              <w:rPr>
                <w:sz w:val="15"/>
                <w:szCs w:val="15"/>
                <w:color w:val="auto"/>
              </w:rPr>
            </w:pPr>
          </w:p>
        </w:tc>
        <w:tc>
          <w:tcPr>
            <w:tcW w:w="3340" w:type="dxa"/>
            <w:vAlign w:val="bottom"/>
            <w:shd w:val="clear" w:color="auto" w:fill="284993"/>
          </w:tcPr>
          <w:p>
            <w:pPr>
              <w:jc w:val="center"/>
              <w:ind w:left="1502"/>
              <w:spacing w:after="0" w:line="182" w:lineRule="exact"/>
              <w:rPr>
                <w:sz w:val="20"/>
                <w:szCs w:val="20"/>
                <w:color w:val="auto"/>
              </w:rPr>
            </w:pPr>
            <w:r>
              <w:rPr>
                <w:rFonts w:ascii="Arial" w:cs="Arial" w:eastAsia="Arial" w:hAnsi="Arial"/>
                <w:sz w:val="16"/>
                <w:szCs w:val="16"/>
                <w:b w:val="1"/>
                <w:bCs w:val="1"/>
                <w:color w:val="FFFFFF"/>
                <w:w w:val="95"/>
              </w:rPr>
              <w:t>Paid in Cash</w:t>
            </w:r>
          </w:p>
        </w:tc>
        <w:tc>
          <w:tcPr>
            <w:tcW w:w="1280" w:type="dxa"/>
            <w:vAlign w:val="bottom"/>
            <w:shd w:val="clear" w:color="auto" w:fill="284993"/>
          </w:tcPr>
          <w:p>
            <w:pPr>
              <w:jc w:val="center"/>
              <w:ind w:right="5"/>
              <w:spacing w:after="0" w:line="182" w:lineRule="exact"/>
              <w:rPr>
                <w:sz w:val="20"/>
                <w:szCs w:val="20"/>
                <w:color w:val="auto"/>
              </w:rPr>
            </w:pPr>
            <w:r>
              <w:rPr>
                <w:rFonts w:ascii="Arial" w:cs="Arial" w:eastAsia="Arial" w:hAnsi="Arial"/>
                <w:sz w:val="16"/>
                <w:szCs w:val="16"/>
                <w:b w:val="1"/>
                <w:bCs w:val="1"/>
                <w:color w:val="FFFFFF"/>
                <w:w w:val="96"/>
              </w:rPr>
              <w:t>Awards</w:t>
            </w:r>
          </w:p>
        </w:tc>
        <w:tc>
          <w:tcPr>
            <w:tcW w:w="1260" w:type="dxa"/>
            <w:vAlign w:val="bottom"/>
            <w:shd w:val="clear" w:color="auto" w:fill="284993"/>
          </w:tcPr>
          <w:p>
            <w:pPr>
              <w:jc w:val="right"/>
              <w:ind w:right="382"/>
              <w:spacing w:after="0" w:line="182" w:lineRule="exact"/>
              <w:rPr>
                <w:sz w:val="20"/>
                <w:szCs w:val="20"/>
                <w:color w:val="auto"/>
              </w:rPr>
            </w:pPr>
            <w:r>
              <w:rPr>
                <w:rFonts w:ascii="Arial" w:cs="Arial" w:eastAsia="Arial" w:hAnsi="Arial"/>
                <w:sz w:val="16"/>
                <w:szCs w:val="16"/>
                <w:b w:val="1"/>
                <w:bCs w:val="1"/>
                <w:color w:val="FFFFFF"/>
              </w:rPr>
              <w:t>Total</w:t>
            </w:r>
          </w:p>
        </w:tc>
      </w:tr>
      <w:tr>
        <w:trPr>
          <w:trHeight w:val="196"/>
        </w:trPr>
        <w:tc>
          <w:tcPr>
            <w:tcW w:w="3460" w:type="dxa"/>
            <w:vAlign w:val="bottom"/>
            <w:shd w:val="clear" w:color="auto" w:fill="284993"/>
          </w:tcPr>
          <w:p>
            <w:pPr>
              <w:ind w:left="60"/>
              <w:spacing w:after="0"/>
              <w:rPr>
                <w:sz w:val="20"/>
                <w:szCs w:val="20"/>
                <w:color w:val="auto"/>
              </w:rPr>
            </w:pPr>
            <w:r>
              <w:rPr>
                <w:rFonts w:ascii="Arial" w:cs="Arial" w:eastAsia="Arial" w:hAnsi="Arial"/>
                <w:sz w:val="16"/>
                <w:szCs w:val="16"/>
                <w:b w:val="1"/>
                <w:bCs w:val="1"/>
                <w:color w:val="FFFFFF"/>
              </w:rPr>
              <w:t>Name</w:t>
            </w:r>
          </w:p>
        </w:tc>
        <w:tc>
          <w:tcPr>
            <w:tcW w:w="3340" w:type="dxa"/>
            <w:vAlign w:val="bottom"/>
            <w:shd w:val="clear" w:color="auto" w:fill="284993"/>
          </w:tcPr>
          <w:p>
            <w:pPr>
              <w:jc w:val="center"/>
              <w:ind w:left="1502"/>
              <w:spacing w:after="0"/>
              <w:rPr>
                <w:sz w:val="20"/>
                <w:szCs w:val="20"/>
                <w:color w:val="auto"/>
              </w:rPr>
            </w:pPr>
            <w:r>
              <w:rPr>
                <w:rFonts w:ascii="Arial" w:cs="Arial" w:eastAsia="Arial" w:hAnsi="Arial"/>
                <w:sz w:val="16"/>
                <w:szCs w:val="16"/>
                <w:b w:val="1"/>
                <w:bCs w:val="1"/>
                <w:color w:val="FFFFFF"/>
              </w:rPr>
              <w:t>($)</w:t>
            </w:r>
          </w:p>
        </w:tc>
        <w:tc>
          <w:tcPr>
            <w:tcW w:w="1280" w:type="dxa"/>
            <w:vAlign w:val="bottom"/>
            <w:shd w:val="clear" w:color="auto" w:fill="284993"/>
          </w:tcPr>
          <w:p>
            <w:pPr>
              <w:jc w:val="center"/>
              <w:ind w:right="25"/>
              <w:spacing w:after="0" w:line="197"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0"/>
                <w:szCs w:val="10"/>
                <w:b w:val="1"/>
                <w:bCs w:val="1"/>
                <w:color w:val="FFFFFF"/>
              </w:rPr>
              <w:t>(1)</w:t>
            </w:r>
          </w:p>
        </w:tc>
        <w:tc>
          <w:tcPr>
            <w:tcW w:w="1260" w:type="dxa"/>
            <w:vAlign w:val="bottom"/>
            <w:shd w:val="clear" w:color="auto" w:fill="284993"/>
          </w:tcPr>
          <w:p>
            <w:pPr>
              <w:jc w:val="right"/>
              <w:ind w:right="482"/>
              <w:spacing w:after="0"/>
              <w:rPr>
                <w:sz w:val="20"/>
                <w:szCs w:val="20"/>
                <w:color w:val="auto"/>
              </w:rPr>
            </w:pPr>
            <w:r>
              <w:rPr>
                <w:rFonts w:ascii="Arial" w:cs="Arial" w:eastAsia="Arial" w:hAnsi="Arial"/>
                <w:sz w:val="16"/>
                <w:szCs w:val="16"/>
                <w:b w:val="1"/>
                <w:bCs w:val="1"/>
                <w:color w:val="FFFFFF"/>
              </w:rPr>
              <w:t>($)</w:t>
            </w:r>
          </w:p>
        </w:tc>
      </w:tr>
      <w:tr>
        <w:trPr>
          <w:trHeight w:val="182"/>
        </w:trPr>
        <w:tc>
          <w:tcPr>
            <w:tcW w:w="3460" w:type="dxa"/>
            <w:vAlign w:val="bottom"/>
          </w:tcPr>
          <w:p>
            <w:pPr>
              <w:ind w:left="60"/>
              <w:spacing w:after="0" w:line="182" w:lineRule="exact"/>
              <w:rPr>
                <w:sz w:val="20"/>
                <w:szCs w:val="20"/>
                <w:color w:val="auto"/>
              </w:rPr>
            </w:pPr>
            <w:r>
              <w:rPr>
                <w:rFonts w:ascii="Arial" w:cs="Arial" w:eastAsia="Arial" w:hAnsi="Arial"/>
                <w:sz w:val="16"/>
                <w:szCs w:val="16"/>
                <w:color w:val="auto"/>
              </w:rPr>
              <w:t>Janet O. Estep</w:t>
            </w:r>
          </w:p>
        </w:tc>
        <w:tc>
          <w:tcPr>
            <w:tcW w:w="3340" w:type="dxa"/>
            <w:vAlign w:val="bottom"/>
          </w:tcPr>
          <w:p>
            <w:pPr>
              <w:jc w:val="right"/>
              <w:ind w:right="242"/>
              <w:spacing w:after="0" w:line="182" w:lineRule="exact"/>
              <w:rPr>
                <w:sz w:val="20"/>
                <w:szCs w:val="20"/>
                <w:color w:val="auto"/>
              </w:rPr>
            </w:pPr>
            <w:r>
              <w:rPr>
                <w:rFonts w:ascii="Arial" w:cs="Arial" w:eastAsia="Arial" w:hAnsi="Arial"/>
                <w:sz w:val="16"/>
                <w:szCs w:val="16"/>
                <w:color w:val="auto"/>
              </w:rPr>
              <w:t>68,000</w:t>
            </w:r>
          </w:p>
        </w:tc>
        <w:tc>
          <w:tcPr>
            <w:tcW w:w="1280" w:type="dxa"/>
            <w:vAlign w:val="bottom"/>
          </w:tcPr>
          <w:p>
            <w:pPr>
              <w:jc w:val="right"/>
              <w:ind w:right="305"/>
              <w:spacing w:after="0" w:line="182" w:lineRule="exact"/>
              <w:rPr>
                <w:sz w:val="20"/>
                <w:szCs w:val="20"/>
                <w:color w:val="auto"/>
              </w:rPr>
            </w:pPr>
            <w:r>
              <w:rPr>
                <w:rFonts w:ascii="Arial" w:cs="Arial" w:eastAsia="Arial" w:hAnsi="Arial"/>
                <w:sz w:val="16"/>
                <w:szCs w:val="16"/>
                <w:color w:val="auto"/>
              </w:rPr>
              <w:t>250,004</w:t>
            </w:r>
          </w:p>
        </w:tc>
        <w:tc>
          <w:tcPr>
            <w:tcW w:w="1260" w:type="dxa"/>
            <w:vAlign w:val="bottom"/>
          </w:tcPr>
          <w:p>
            <w:pPr>
              <w:jc w:val="right"/>
              <w:ind w:right="262"/>
              <w:spacing w:after="0" w:line="182" w:lineRule="exact"/>
              <w:rPr>
                <w:sz w:val="20"/>
                <w:szCs w:val="20"/>
                <w:color w:val="auto"/>
              </w:rPr>
            </w:pPr>
            <w:r>
              <w:rPr>
                <w:rFonts w:ascii="Arial" w:cs="Arial" w:eastAsia="Arial" w:hAnsi="Arial"/>
                <w:sz w:val="16"/>
                <w:szCs w:val="16"/>
                <w:color w:val="auto"/>
              </w:rPr>
              <w:t>318,004</w:t>
            </w:r>
          </w:p>
        </w:tc>
      </w:tr>
      <w:tr>
        <w:trPr>
          <w:trHeight w:val="182"/>
        </w:trPr>
        <w:tc>
          <w:tcPr>
            <w:tcW w:w="3460" w:type="dxa"/>
            <w:vAlign w:val="bottom"/>
            <w:shd w:val="clear" w:color="auto" w:fill="9DBDE4"/>
          </w:tcPr>
          <w:p>
            <w:pPr>
              <w:ind w:left="60"/>
              <w:spacing w:after="0" w:line="182" w:lineRule="exact"/>
              <w:rPr>
                <w:sz w:val="20"/>
                <w:szCs w:val="20"/>
                <w:color w:val="auto"/>
              </w:rPr>
            </w:pPr>
            <w:r>
              <w:rPr>
                <w:rFonts w:ascii="Arial" w:cs="Arial" w:eastAsia="Arial" w:hAnsi="Arial"/>
                <w:sz w:val="16"/>
                <w:szCs w:val="16"/>
                <w:color w:val="auto"/>
              </w:rPr>
              <w:t>James C. Hale III</w:t>
            </w:r>
          </w:p>
        </w:tc>
        <w:tc>
          <w:tcPr>
            <w:tcW w:w="3340" w:type="dxa"/>
            <w:vAlign w:val="bottom"/>
            <w:shd w:val="clear" w:color="auto" w:fill="9DBDE4"/>
          </w:tcPr>
          <w:p>
            <w:pPr>
              <w:jc w:val="right"/>
              <w:ind w:right="242"/>
              <w:spacing w:after="0" w:line="182" w:lineRule="exact"/>
              <w:rPr>
                <w:sz w:val="20"/>
                <w:szCs w:val="20"/>
                <w:color w:val="auto"/>
              </w:rPr>
            </w:pPr>
            <w:r>
              <w:rPr>
                <w:rFonts w:ascii="Arial" w:cs="Arial" w:eastAsia="Arial" w:hAnsi="Arial"/>
                <w:sz w:val="16"/>
                <w:szCs w:val="16"/>
                <w:color w:val="auto"/>
              </w:rPr>
              <w:t>68,000</w:t>
            </w:r>
          </w:p>
        </w:tc>
        <w:tc>
          <w:tcPr>
            <w:tcW w:w="1280" w:type="dxa"/>
            <w:vAlign w:val="bottom"/>
            <w:shd w:val="clear" w:color="auto" w:fill="9DBDE4"/>
          </w:tcPr>
          <w:p>
            <w:pPr>
              <w:jc w:val="right"/>
              <w:ind w:right="305"/>
              <w:spacing w:after="0" w:line="182" w:lineRule="exact"/>
              <w:rPr>
                <w:sz w:val="20"/>
                <w:szCs w:val="20"/>
                <w:color w:val="auto"/>
              </w:rPr>
            </w:pPr>
            <w:r>
              <w:rPr>
                <w:rFonts w:ascii="Arial" w:cs="Arial" w:eastAsia="Arial" w:hAnsi="Arial"/>
                <w:sz w:val="16"/>
                <w:szCs w:val="16"/>
                <w:color w:val="auto"/>
              </w:rPr>
              <w:t>250,004</w:t>
            </w:r>
          </w:p>
        </w:tc>
        <w:tc>
          <w:tcPr>
            <w:tcW w:w="1260" w:type="dxa"/>
            <w:vAlign w:val="bottom"/>
            <w:shd w:val="clear" w:color="auto" w:fill="9DBDE4"/>
          </w:tcPr>
          <w:p>
            <w:pPr>
              <w:jc w:val="right"/>
              <w:ind w:right="262"/>
              <w:spacing w:after="0" w:line="182" w:lineRule="exact"/>
              <w:rPr>
                <w:sz w:val="20"/>
                <w:szCs w:val="20"/>
                <w:color w:val="auto"/>
              </w:rPr>
            </w:pPr>
            <w:r>
              <w:rPr>
                <w:rFonts w:ascii="Arial" w:cs="Arial" w:eastAsia="Arial" w:hAnsi="Arial"/>
                <w:sz w:val="16"/>
                <w:szCs w:val="16"/>
                <w:color w:val="auto"/>
              </w:rPr>
              <w:t>318,004</w:t>
            </w:r>
          </w:p>
        </w:tc>
      </w:tr>
      <w:tr>
        <w:trPr>
          <w:trHeight w:val="182"/>
        </w:trPr>
        <w:tc>
          <w:tcPr>
            <w:tcW w:w="3460" w:type="dxa"/>
            <w:vAlign w:val="bottom"/>
          </w:tcPr>
          <w:p>
            <w:pPr>
              <w:ind w:left="60"/>
              <w:spacing w:after="0" w:line="182" w:lineRule="exact"/>
              <w:rPr>
                <w:sz w:val="20"/>
                <w:szCs w:val="20"/>
                <w:color w:val="auto"/>
              </w:rPr>
            </w:pPr>
            <w:r>
              <w:rPr>
                <w:rFonts w:ascii="Arial" w:cs="Arial" w:eastAsia="Arial" w:hAnsi="Arial"/>
                <w:sz w:val="16"/>
                <w:szCs w:val="16"/>
                <w:color w:val="auto"/>
              </w:rPr>
              <w:t>Mary P. Harman</w:t>
            </w:r>
          </w:p>
        </w:tc>
        <w:tc>
          <w:tcPr>
            <w:tcW w:w="3340" w:type="dxa"/>
            <w:vAlign w:val="bottom"/>
          </w:tcPr>
          <w:p>
            <w:pPr>
              <w:jc w:val="right"/>
              <w:ind w:right="242"/>
              <w:spacing w:after="0" w:line="182" w:lineRule="exact"/>
              <w:rPr>
                <w:sz w:val="20"/>
                <w:szCs w:val="20"/>
                <w:color w:val="auto"/>
              </w:rPr>
            </w:pPr>
            <w:r>
              <w:rPr>
                <w:rFonts w:ascii="Arial" w:cs="Arial" w:eastAsia="Arial" w:hAnsi="Arial"/>
                <w:sz w:val="16"/>
                <w:szCs w:val="16"/>
                <w:color w:val="auto"/>
              </w:rPr>
              <w:t>81,500</w:t>
            </w:r>
          </w:p>
        </w:tc>
        <w:tc>
          <w:tcPr>
            <w:tcW w:w="1280" w:type="dxa"/>
            <w:vAlign w:val="bottom"/>
          </w:tcPr>
          <w:p>
            <w:pPr>
              <w:jc w:val="right"/>
              <w:ind w:right="305"/>
              <w:spacing w:after="0" w:line="182" w:lineRule="exact"/>
              <w:rPr>
                <w:sz w:val="20"/>
                <w:szCs w:val="20"/>
                <w:color w:val="auto"/>
              </w:rPr>
            </w:pPr>
            <w:r>
              <w:rPr>
                <w:rFonts w:ascii="Arial" w:cs="Arial" w:eastAsia="Arial" w:hAnsi="Arial"/>
                <w:sz w:val="16"/>
                <w:szCs w:val="16"/>
                <w:color w:val="auto"/>
              </w:rPr>
              <w:t>250,004</w:t>
            </w:r>
          </w:p>
        </w:tc>
        <w:tc>
          <w:tcPr>
            <w:tcW w:w="1260" w:type="dxa"/>
            <w:vAlign w:val="bottom"/>
          </w:tcPr>
          <w:p>
            <w:pPr>
              <w:jc w:val="right"/>
              <w:ind w:right="262"/>
              <w:spacing w:after="0" w:line="182" w:lineRule="exact"/>
              <w:rPr>
                <w:sz w:val="20"/>
                <w:szCs w:val="20"/>
                <w:color w:val="auto"/>
              </w:rPr>
            </w:pPr>
            <w:r>
              <w:rPr>
                <w:rFonts w:ascii="Arial" w:cs="Arial" w:eastAsia="Arial" w:hAnsi="Arial"/>
                <w:sz w:val="16"/>
                <w:szCs w:val="16"/>
                <w:color w:val="auto"/>
              </w:rPr>
              <w:t>331,504</w:t>
            </w:r>
          </w:p>
        </w:tc>
      </w:tr>
      <w:tr>
        <w:trPr>
          <w:trHeight w:val="182"/>
        </w:trPr>
        <w:tc>
          <w:tcPr>
            <w:tcW w:w="3460" w:type="dxa"/>
            <w:vAlign w:val="bottom"/>
            <w:shd w:val="clear" w:color="auto" w:fill="9DBDE4"/>
          </w:tcPr>
          <w:p>
            <w:pPr>
              <w:ind w:left="60"/>
              <w:spacing w:after="0" w:line="182" w:lineRule="exact"/>
              <w:rPr>
                <w:sz w:val="20"/>
                <w:szCs w:val="20"/>
                <w:color w:val="auto"/>
              </w:rPr>
            </w:pPr>
            <w:r>
              <w:rPr>
                <w:rFonts w:ascii="Arial" w:cs="Arial" w:eastAsia="Arial" w:hAnsi="Arial"/>
                <w:sz w:val="14"/>
                <w:szCs w:val="14"/>
                <w:color w:val="auto"/>
              </w:rPr>
              <w:t>Didier R. Lamouche</w:t>
            </w:r>
            <w:r>
              <w:rPr>
                <w:rFonts w:ascii="Arial" w:cs="Arial" w:eastAsia="Arial" w:hAnsi="Arial"/>
                <w:sz w:val="21"/>
                <w:szCs w:val="21"/>
                <w:color w:val="auto"/>
                <w:vertAlign w:val="superscript"/>
              </w:rPr>
              <w:t>(2)</w:t>
            </w:r>
          </w:p>
        </w:tc>
        <w:tc>
          <w:tcPr>
            <w:tcW w:w="3340" w:type="dxa"/>
            <w:vAlign w:val="bottom"/>
            <w:shd w:val="clear" w:color="auto" w:fill="9DBDE4"/>
          </w:tcPr>
          <w:p>
            <w:pPr>
              <w:jc w:val="right"/>
              <w:ind w:right="242"/>
              <w:spacing w:after="0" w:line="182" w:lineRule="exact"/>
              <w:rPr>
                <w:sz w:val="20"/>
                <w:szCs w:val="20"/>
                <w:color w:val="auto"/>
              </w:rPr>
            </w:pPr>
            <w:r>
              <w:rPr>
                <w:rFonts w:ascii="Arial" w:cs="Arial" w:eastAsia="Arial" w:hAnsi="Arial"/>
                <w:sz w:val="16"/>
                <w:szCs w:val="16"/>
                <w:color w:val="auto"/>
              </w:rPr>
              <w:t>34,000</w:t>
            </w:r>
          </w:p>
        </w:tc>
        <w:tc>
          <w:tcPr>
            <w:tcW w:w="1280" w:type="dxa"/>
            <w:vAlign w:val="bottom"/>
            <w:shd w:val="clear" w:color="auto" w:fill="9DBDE4"/>
          </w:tcPr>
          <w:p>
            <w:pPr>
              <w:jc w:val="right"/>
              <w:ind w:right="305"/>
              <w:spacing w:after="0" w:line="182" w:lineRule="exact"/>
              <w:rPr>
                <w:sz w:val="20"/>
                <w:szCs w:val="20"/>
                <w:color w:val="auto"/>
              </w:rPr>
            </w:pPr>
            <w:r>
              <w:rPr>
                <w:rFonts w:ascii="Arial" w:cs="Arial" w:eastAsia="Arial" w:hAnsi="Arial"/>
                <w:sz w:val="16"/>
                <w:szCs w:val="16"/>
                <w:color w:val="auto"/>
              </w:rPr>
              <w:t>-</w:t>
            </w:r>
          </w:p>
        </w:tc>
        <w:tc>
          <w:tcPr>
            <w:tcW w:w="1260" w:type="dxa"/>
            <w:vAlign w:val="bottom"/>
            <w:shd w:val="clear" w:color="auto" w:fill="9DBDE4"/>
          </w:tcPr>
          <w:p>
            <w:pPr>
              <w:jc w:val="right"/>
              <w:ind w:right="262"/>
              <w:spacing w:after="0" w:line="182" w:lineRule="exact"/>
              <w:rPr>
                <w:sz w:val="20"/>
                <w:szCs w:val="20"/>
                <w:color w:val="auto"/>
              </w:rPr>
            </w:pPr>
            <w:r>
              <w:rPr>
                <w:rFonts w:ascii="Arial" w:cs="Arial" w:eastAsia="Arial" w:hAnsi="Arial"/>
                <w:sz w:val="16"/>
                <w:szCs w:val="16"/>
                <w:color w:val="auto"/>
              </w:rPr>
              <w:t>34,000</w:t>
            </w:r>
          </w:p>
        </w:tc>
      </w:tr>
      <w:tr>
        <w:trPr>
          <w:trHeight w:val="182"/>
        </w:trPr>
        <w:tc>
          <w:tcPr>
            <w:tcW w:w="3460" w:type="dxa"/>
            <w:vAlign w:val="bottom"/>
          </w:tcPr>
          <w:p>
            <w:pPr>
              <w:ind w:left="60"/>
              <w:spacing w:after="0" w:line="182" w:lineRule="exact"/>
              <w:rPr>
                <w:sz w:val="20"/>
                <w:szCs w:val="20"/>
                <w:color w:val="auto"/>
              </w:rPr>
            </w:pPr>
            <w:r>
              <w:rPr>
                <w:rFonts w:ascii="Arial" w:cs="Arial" w:eastAsia="Arial" w:hAnsi="Arial"/>
                <w:sz w:val="16"/>
                <w:szCs w:val="16"/>
                <w:color w:val="auto"/>
              </w:rPr>
              <w:t>Charles E. Peters Jr.</w:t>
            </w:r>
          </w:p>
        </w:tc>
        <w:tc>
          <w:tcPr>
            <w:tcW w:w="3340" w:type="dxa"/>
            <w:vAlign w:val="bottom"/>
          </w:tcPr>
          <w:p>
            <w:pPr>
              <w:jc w:val="right"/>
              <w:ind w:right="242"/>
              <w:spacing w:after="0" w:line="182" w:lineRule="exact"/>
              <w:rPr>
                <w:sz w:val="20"/>
                <w:szCs w:val="20"/>
                <w:color w:val="auto"/>
              </w:rPr>
            </w:pPr>
            <w:r>
              <w:rPr>
                <w:rFonts w:ascii="Arial" w:cs="Arial" w:eastAsia="Arial" w:hAnsi="Arial"/>
                <w:sz w:val="16"/>
                <w:szCs w:val="16"/>
                <w:color w:val="auto"/>
              </w:rPr>
              <w:t>95,500</w:t>
            </w:r>
          </w:p>
        </w:tc>
        <w:tc>
          <w:tcPr>
            <w:tcW w:w="1280" w:type="dxa"/>
            <w:vAlign w:val="bottom"/>
          </w:tcPr>
          <w:p>
            <w:pPr>
              <w:jc w:val="right"/>
              <w:ind w:right="305"/>
              <w:spacing w:after="0" w:line="182" w:lineRule="exact"/>
              <w:rPr>
                <w:sz w:val="20"/>
                <w:szCs w:val="20"/>
                <w:color w:val="auto"/>
              </w:rPr>
            </w:pPr>
            <w:r>
              <w:rPr>
                <w:rFonts w:ascii="Arial" w:cs="Arial" w:eastAsia="Arial" w:hAnsi="Arial"/>
                <w:sz w:val="16"/>
                <w:szCs w:val="16"/>
                <w:color w:val="auto"/>
              </w:rPr>
              <w:t>250,004</w:t>
            </w:r>
          </w:p>
        </w:tc>
        <w:tc>
          <w:tcPr>
            <w:tcW w:w="1260" w:type="dxa"/>
            <w:vAlign w:val="bottom"/>
          </w:tcPr>
          <w:p>
            <w:pPr>
              <w:jc w:val="right"/>
              <w:ind w:right="262"/>
              <w:spacing w:after="0" w:line="182" w:lineRule="exact"/>
              <w:rPr>
                <w:sz w:val="20"/>
                <w:szCs w:val="20"/>
                <w:color w:val="auto"/>
              </w:rPr>
            </w:pPr>
            <w:r>
              <w:rPr>
                <w:rFonts w:ascii="Arial" w:cs="Arial" w:eastAsia="Arial" w:hAnsi="Arial"/>
                <w:sz w:val="16"/>
                <w:szCs w:val="16"/>
                <w:color w:val="auto"/>
              </w:rPr>
              <w:t>345,504</w:t>
            </w:r>
          </w:p>
        </w:tc>
      </w:tr>
      <w:tr>
        <w:trPr>
          <w:trHeight w:val="182"/>
        </w:trPr>
        <w:tc>
          <w:tcPr>
            <w:tcW w:w="3460" w:type="dxa"/>
            <w:vAlign w:val="bottom"/>
            <w:shd w:val="clear" w:color="auto" w:fill="9DBDE4"/>
          </w:tcPr>
          <w:p>
            <w:pPr>
              <w:ind w:left="60"/>
              <w:spacing w:after="0" w:line="182" w:lineRule="exact"/>
              <w:rPr>
                <w:sz w:val="20"/>
                <w:szCs w:val="20"/>
                <w:color w:val="auto"/>
              </w:rPr>
            </w:pPr>
            <w:r>
              <w:rPr>
                <w:rFonts w:ascii="Arial" w:cs="Arial" w:eastAsia="Arial" w:hAnsi="Arial"/>
                <w:sz w:val="16"/>
                <w:szCs w:val="16"/>
                <w:color w:val="auto"/>
              </w:rPr>
              <w:t>Adalio T. Sanchez</w:t>
            </w:r>
          </w:p>
        </w:tc>
        <w:tc>
          <w:tcPr>
            <w:tcW w:w="3340" w:type="dxa"/>
            <w:vAlign w:val="bottom"/>
            <w:shd w:val="clear" w:color="auto" w:fill="9DBDE4"/>
          </w:tcPr>
          <w:p>
            <w:pPr>
              <w:jc w:val="right"/>
              <w:ind w:right="242"/>
              <w:spacing w:after="0" w:line="182" w:lineRule="exact"/>
              <w:rPr>
                <w:sz w:val="20"/>
                <w:szCs w:val="20"/>
                <w:color w:val="auto"/>
              </w:rPr>
            </w:pPr>
            <w:r>
              <w:rPr>
                <w:rFonts w:ascii="Arial" w:cs="Arial" w:eastAsia="Arial" w:hAnsi="Arial"/>
                <w:sz w:val="16"/>
                <w:szCs w:val="16"/>
                <w:color w:val="auto"/>
              </w:rPr>
              <w:t>168,000</w:t>
            </w:r>
          </w:p>
        </w:tc>
        <w:tc>
          <w:tcPr>
            <w:tcW w:w="1280" w:type="dxa"/>
            <w:vAlign w:val="bottom"/>
            <w:shd w:val="clear" w:color="auto" w:fill="9DBDE4"/>
          </w:tcPr>
          <w:p>
            <w:pPr>
              <w:jc w:val="right"/>
              <w:ind w:right="305"/>
              <w:spacing w:after="0" w:line="182" w:lineRule="exact"/>
              <w:rPr>
                <w:sz w:val="20"/>
                <w:szCs w:val="20"/>
                <w:color w:val="auto"/>
              </w:rPr>
            </w:pPr>
            <w:r>
              <w:rPr>
                <w:rFonts w:ascii="Arial" w:cs="Arial" w:eastAsia="Arial" w:hAnsi="Arial"/>
                <w:sz w:val="16"/>
                <w:szCs w:val="16"/>
                <w:color w:val="auto"/>
              </w:rPr>
              <w:t>250,004</w:t>
            </w:r>
          </w:p>
        </w:tc>
        <w:tc>
          <w:tcPr>
            <w:tcW w:w="1260" w:type="dxa"/>
            <w:vAlign w:val="bottom"/>
            <w:shd w:val="clear" w:color="auto" w:fill="9DBDE4"/>
          </w:tcPr>
          <w:p>
            <w:pPr>
              <w:jc w:val="right"/>
              <w:ind w:right="262"/>
              <w:spacing w:after="0" w:line="182" w:lineRule="exact"/>
              <w:rPr>
                <w:sz w:val="20"/>
                <w:szCs w:val="20"/>
                <w:color w:val="auto"/>
              </w:rPr>
            </w:pPr>
            <w:r>
              <w:rPr>
                <w:rFonts w:ascii="Arial" w:cs="Arial" w:eastAsia="Arial" w:hAnsi="Arial"/>
                <w:sz w:val="16"/>
                <w:szCs w:val="16"/>
                <w:color w:val="auto"/>
              </w:rPr>
              <w:t>418,004</w:t>
            </w:r>
          </w:p>
        </w:tc>
      </w:tr>
      <w:tr>
        <w:trPr>
          <w:trHeight w:val="182"/>
        </w:trPr>
        <w:tc>
          <w:tcPr>
            <w:tcW w:w="3460" w:type="dxa"/>
            <w:vAlign w:val="bottom"/>
            <w:tcBorders>
              <w:bottom w:val="single" w:sz="8" w:color="284993"/>
            </w:tcBorders>
          </w:tcPr>
          <w:p>
            <w:pPr>
              <w:ind w:left="60"/>
              <w:spacing w:after="0" w:line="182" w:lineRule="exact"/>
              <w:rPr>
                <w:sz w:val="20"/>
                <w:szCs w:val="20"/>
                <w:color w:val="auto"/>
              </w:rPr>
            </w:pPr>
            <w:r>
              <w:rPr>
                <w:rFonts w:ascii="Arial" w:cs="Arial" w:eastAsia="Arial" w:hAnsi="Arial"/>
                <w:sz w:val="16"/>
                <w:szCs w:val="16"/>
                <w:color w:val="auto"/>
              </w:rPr>
              <w:t>Samir M. Zabaneh</w:t>
            </w:r>
          </w:p>
        </w:tc>
        <w:tc>
          <w:tcPr>
            <w:tcW w:w="3340" w:type="dxa"/>
            <w:vAlign w:val="bottom"/>
            <w:tcBorders>
              <w:bottom w:val="single" w:sz="8" w:color="284993"/>
            </w:tcBorders>
          </w:tcPr>
          <w:p>
            <w:pPr>
              <w:jc w:val="right"/>
              <w:ind w:right="242"/>
              <w:spacing w:after="0" w:line="182" w:lineRule="exact"/>
              <w:rPr>
                <w:sz w:val="20"/>
                <w:szCs w:val="20"/>
                <w:color w:val="auto"/>
              </w:rPr>
            </w:pPr>
            <w:r>
              <w:rPr>
                <w:rFonts w:ascii="Arial" w:cs="Arial" w:eastAsia="Arial" w:hAnsi="Arial"/>
                <w:sz w:val="16"/>
                <w:szCs w:val="16"/>
                <w:color w:val="auto"/>
              </w:rPr>
              <w:t>88,000</w:t>
            </w:r>
          </w:p>
        </w:tc>
        <w:tc>
          <w:tcPr>
            <w:tcW w:w="1280" w:type="dxa"/>
            <w:vAlign w:val="bottom"/>
            <w:tcBorders>
              <w:bottom w:val="single" w:sz="8" w:color="284993"/>
            </w:tcBorders>
          </w:tcPr>
          <w:p>
            <w:pPr>
              <w:jc w:val="right"/>
              <w:ind w:right="305"/>
              <w:spacing w:after="0" w:line="182" w:lineRule="exact"/>
              <w:rPr>
                <w:sz w:val="20"/>
                <w:szCs w:val="20"/>
                <w:color w:val="auto"/>
              </w:rPr>
            </w:pPr>
            <w:r>
              <w:rPr>
                <w:rFonts w:ascii="Arial" w:cs="Arial" w:eastAsia="Arial" w:hAnsi="Arial"/>
                <w:sz w:val="16"/>
                <w:szCs w:val="16"/>
                <w:color w:val="auto"/>
              </w:rPr>
              <w:t>250,004</w:t>
            </w:r>
          </w:p>
        </w:tc>
        <w:tc>
          <w:tcPr>
            <w:tcW w:w="1260" w:type="dxa"/>
            <w:vAlign w:val="bottom"/>
            <w:tcBorders>
              <w:bottom w:val="single" w:sz="8" w:color="284993"/>
            </w:tcBorders>
          </w:tcPr>
          <w:p>
            <w:pPr>
              <w:jc w:val="right"/>
              <w:ind w:right="262"/>
              <w:spacing w:after="0" w:line="182" w:lineRule="exact"/>
              <w:rPr>
                <w:sz w:val="20"/>
                <w:szCs w:val="20"/>
                <w:color w:val="auto"/>
              </w:rPr>
            </w:pPr>
            <w:r>
              <w:rPr>
                <w:rFonts w:ascii="Arial" w:cs="Arial" w:eastAsia="Arial" w:hAnsi="Arial"/>
                <w:sz w:val="16"/>
                <w:szCs w:val="16"/>
                <w:color w:val="auto"/>
              </w:rPr>
              <w:t>338,004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5123815</wp:posOffset>
            </wp:positionH>
            <wp:positionV relativeFrom="paragraph">
              <wp:posOffset>-238760</wp:posOffset>
            </wp:positionV>
            <wp:extent cx="8255" cy="1155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115570"/>
                    </a:xfrm>
                    <a:prstGeom prst="rect">
                      <a:avLst/>
                    </a:prstGeom>
                    <a:noFill/>
                  </pic:spPr>
                </pic:pic>
              </a:graphicData>
            </a:graphic>
          </wp:anchor>
        </w:drawing>
        <w:drawing>
          <wp:anchor simplePos="0" relativeHeight="251657728" behindDoc="1" locked="0" layoutInCell="0" allowOverlap="1">
            <wp:simplePos x="0" y="0"/>
            <wp:positionH relativeFrom="column">
              <wp:posOffset>5123815</wp:posOffset>
            </wp:positionH>
            <wp:positionV relativeFrom="paragraph">
              <wp:posOffset>-469900</wp:posOffset>
            </wp:positionV>
            <wp:extent cx="8255" cy="1155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115570"/>
                    </a:xfrm>
                    <a:prstGeom prst="rect">
                      <a:avLst/>
                    </a:prstGeom>
                    <a:noFill/>
                  </pic:spPr>
                </pic:pic>
              </a:graphicData>
            </a:graphic>
          </wp:anchor>
        </w:drawing>
        <w:drawing>
          <wp:anchor simplePos="0" relativeHeight="251657728" behindDoc="1" locked="0" layoutInCell="0" allowOverlap="1">
            <wp:simplePos x="0" y="0"/>
            <wp:positionH relativeFrom="column">
              <wp:posOffset>5123815</wp:posOffset>
            </wp:positionH>
            <wp:positionV relativeFrom="paragraph">
              <wp:posOffset>-701040</wp:posOffset>
            </wp:positionV>
            <wp:extent cx="8255" cy="1155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115570"/>
                    </a:xfrm>
                    <a:prstGeom prst="rect">
                      <a:avLst/>
                    </a:prstGeom>
                    <a:noFill/>
                  </pic:spPr>
                </pic:pic>
              </a:graphicData>
            </a:graphic>
          </wp:anchor>
        </w:drawing>
      </w:r>
    </w:p>
    <w:p>
      <w:pPr>
        <w:spacing w:after="0" w:line="40" w:lineRule="exact"/>
        <w:rPr>
          <w:sz w:val="20"/>
          <w:szCs w:val="20"/>
          <w:color w:val="auto"/>
        </w:rPr>
      </w:pPr>
    </w:p>
    <w:p>
      <w:pPr>
        <w:ind w:left="280" w:right="180" w:hanging="274"/>
        <w:spacing w:after="0" w:line="189" w:lineRule="auto"/>
        <w:tabs>
          <w:tab w:leader="none" w:pos="280" w:val="left"/>
        </w:tabs>
        <w:numPr>
          <w:ilvl w:val="0"/>
          <w:numId w:val="17"/>
        </w:numPr>
        <w:rPr>
          <w:rFonts w:ascii="Arial" w:cs="Arial" w:eastAsia="Arial" w:hAnsi="Arial"/>
          <w:sz w:val="18"/>
          <w:szCs w:val="18"/>
          <w:color w:val="auto"/>
          <w:vertAlign w:val="superscript"/>
        </w:rPr>
      </w:pPr>
      <w:r>
        <w:rPr>
          <w:rFonts w:ascii="Arial" w:cs="Arial" w:eastAsia="Arial" w:hAnsi="Arial"/>
          <w:sz w:val="12"/>
          <w:szCs w:val="12"/>
          <w:color w:val="auto"/>
        </w:rPr>
        <w:t>The grant date fair value of the RSUs granted to our independent directors on June 1, 2023, was $22.74 per share, the closing price on the date of grant, multiplied by the number of shares awarded, 10,994. The fair value was computed in accordance with FASB ASC Topic 718.</w:t>
      </w:r>
    </w:p>
    <w:p>
      <w:pPr>
        <w:ind w:left="280" w:right="160" w:hanging="274"/>
        <w:spacing w:after="0" w:line="193" w:lineRule="auto"/>
        <w:tabs>
          <w:tab w:leader="none" w:pos="280" w:val="left"/>
        </w:tabs>
        <w:numPr>
          <w:ilvl w:val="0"/>
          <w:numId w:val="17"/>
        </w:numPr>
        <w:rPr>
          <w:rFonts w:ascii="Arial" w:cs="Arial" w:eastAsia="Arial" w:hAnsi="Arial"/>
          <w:sz w:val="18"/>
          <w:szCs w:val="18"/>
          <w:color w:val="auto"/>
          <w:vertAlign w:val="superscript"/>
        </w:rPr>
      </w:pPr>
      <w:r>
        <w:rPr>
          <w:rFonts w:ascii="Arial" w:cs="Arial" w:eastAsia="Arial" w:hAnsi="Arial"/>
          <w:sz w:val="12"/>
          <w:szCs w:val="12"/>
          <w:color w:val="auto"/>
        </w:rPr>
        <w:t>Didier R. Lamouche ceased serving as a director of the Company effective on June 1, 2023. This amount reflects the retainer fees that he earned as a director through such date.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each independent director’s aggregate number of stock awards (unvested RSUs) outstanding as of</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4785360</wp:posOffset>
            </wp:positionH>
            <wp:positionV relativeFrom="paragraph">
              <wp:posOffset>146050</wp:posOffset>
            </wp:positionV>
            <wp:extent cx="8255" cy="11715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117157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146050</wp:posOffset>
            </wp:positionV>
            <wp:extent cx="8255" cy="11715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117157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060" w:type="dxa"/>
            <w:vAlign w:val="bottom"/>
            <w:shd w:val="clear" w:color="auto" w:fill="284993"/>
          </w:tcPr>
          <w:p>
            <w:pPr>
              <w:spacing w:after="0"/>
              <w:rPr>
                <w:sz w:val="16"/>
                <w:szCs w:val="16"/>
                <w:color w:val="auto"/>
              </w:rPr>
            </w:pPr>
          </w:p>
        </w:tc>
        <w:tc>
          <w:tcPr>
            <w:tcW w:w="3540" w:type="dxa"/>
            <w:vAlign w:val="bottom"/>
            <w:shd w:val="clear" w:color="auto" w:fill="284993"/>
          </w:tcPr>
          <w:p>
            <w:pPr>
              <w:jc w:val="center"/>
              <w:ind w:left="2082"/>
              <w:spacing w:after="0"/>
              <w:rPr>
                <w:sz w:val="20"/>
                <w:szCs w:val="20"/>
                <w:color w:val="auto"/>
              </w:rPr>
            </w:pPr>
            <w:r>
              <w:rPr>
                <w:rFonts w:ascii="Arial" w:cs="Arial" w:eastAsia="Arial" w:hAnsi="Arial"/>
                <w:sz w:val="16"/>
                <w:szCs w:val="16"/>
                <w:b w:val="1"/>
                <w:bCs w:val="1"/>
                <w:color w:val="FFFFFF"/>
                <w:w w:val="97"/>
              </w:rPr>
              <w:t>Unvested</w:t>
            </w:r>
          </w:p>
        </w:tc>
        <w:tc>
          <w:tcPr>
            <w:tcW w:w="1740" w:type="dxa"/>
            <w:vAlign w:val="bottom"/>
            <w:shd w:val="clear" w:color="auto" w:fill="284993"/>
          </w:tcPr>
          <w:p>
            <w:pPr>
              <w:jc w:val="right"/>
              <w:ind w:right="402"/>
              <w:spacing w:after="0"/>
              <w:rPr>
                <w:sz w:val="20"/>
                <w:szCs w:val="20"/>
                <w:color w:val="auto"/>
              </w:rPr>
            </w:pPr>
            <w:r>
              <w:rPr>
                <w:rFonts w:ascii="Arial" w:cs="Arial" w:eastAsia="Arial" w:hAnsi="Arial"/>
                <w:sz w:val="16"/>
                <w:szCs w:val="16"/>
                <w:b w:val="1"/>
                <w:bCs w:val="1"/>
                <w:color w:val="FFFFFF"/>
              </w:rPr>
              <w:t>Aggregate</w:t>
            </w:r>
          </w:p>
        </w:tc>
      </w:tr>
      <w:tr>
        <w:trPr>
          <w:trHeight w:val="182"/>
        </w:trPr>
        <w:tc>
          <w:tcPr>
            <w:tcW w:w="20" w:type="dxa"/>
            <w:vAlign w:val="bottom"/>
          </w:tcPr>
          <w:p>
            <w:pPr>
              <w:spacing w:after="0"/>
              <w:rPr>
                <w:sz w:val="15"/>
                <w:szCs w:val="15"/>
                <w:color w:val="auto"/>
              </w:rPr>
            </w:pPr>
          </w:p>
        </w:tc>
        <w:tc>
          <w:tcPr>
            <w:tcW w:w="4060" w:type="dxa"/>
            <w:vAlign w:val="bottom"/>
            <w:shd w:val="clear" w:color="auto" w:fill="284993"/>
          </w:tcPr>
          <w:p>
            <w:pPr>
              <w:spacing w:after="0"/>
              <w:rPr>
                <w:sz w:val="15"/>
                <w:szCs w:val="15"/>
                <w:color w:val="auto"/>
              </w:rPr>
            </w:pPr>
          </w:p>
        </w:tc>
        <w:tc>
          <w:tcPr>
            <w:tcW w:w="3540" w:type="dxa"/>
            <w:vAlign w:val="bottom"/>
            <w:shd w:val="clear" w:color="auto" w:fill="284993"/>
          </w:tcPr>
          <w:p>
            <w:pPr>
              <w:jc w:val="center"/>
              <w:ind w:left="2082"/>
              <w:spacing w:after="0" w:line="182" w:lineRule="exact"/>
              <w:rPr>
                <w:sz w:val="20"/>
                <w:szCs w:val="20"/>
                <w:color w:val="auto"/>
              </w:rPr>
            </w:pPr>
            <w:r>
              <w:rPr>
                <w:rFonts w:ascii="Arial" w:cs="Arial" w:eastAsia="Arial" w:hAnsi="Arial"/>
                <w:sz w:val="16"/>
                <w:szCs w:val="16"/>
                <w:b w:val="1"/>
                <w:bCs w:val="1"/>
                <w:color w:val="FFFFFF"/>
                <w:w w:val="96"/>
              </w:rPr>
              <w:t>Stock</w:t>
            </w:r>
          </w:p>
        </w:tc>
        <w:tc>
          <w:tcPr>
            <w:tcW w:w="1740" w:type="dxa"/>
            <w:vAlign w:val="bottom"/>
            <w:shd w:val="clear" w:color="auto" w:fill="284993"/>
          </w:tcPr>
          <w:p>
            <w:pPr>
              <w:jc w:val="right"/>
              <w:ind w:right="562"/>
              <w:spacing w:after="0" w:line="182" w:lineRule="exact"/>
              <w:rPr>
                <w:sz w:val="20"/>
                <w:szCs w:val="20"/>
                <w:color w:val="auto"/>
              </w:rPr>
            </w:pPr>
            <w:r>
              <w:rPr>
                <w:rFonts w:ascii="Arial" w:cs="Arial" w:eastAsia="Arial" w:hAnsi="Arial"/>
                <w:sz w:val="16"/>
                <w:szCs w:val="16"/>
                <w:b w:val="1"/>
                <w:bCs w:val="1"/>
                <w:color w:val="FFFFFF"/>
              </w:rPr>
              <w:t>Stock</w:t>
            </w:r>
          </w:p>
        </w:tc>
      </w:tr>
      <w:tr>
        <w:trPr>
          <w:trHeight w:val="209"/>
        </w:trPr>
        <w:tc>
          <w:tcPr>
            <w:tcW w:w="20" w:type="dxa"/>
            <w:vAlign w:val="bottom"/>
          </w:tcPr>
          <w:p>
            <w:pPr>
              <w:spacing w:after="0"/>
              <w:rPr>
                <w:sz w:val="18"/>
                <w:szCs w:val="18"/>
                <w:color w:val="auto"/>
              </w:rPr>
            </w:pPr>
          </w:p>
        </w:tc>
        <w:tc>
          <w:tcPr>
            <w:tcW w:w="4060" w:type="dxa"/>
            <w:vAlign w:val="bottom"/>
            <w:shd w:val="clear" w:color="auto" w:fill="284993"/>
          </w:tcPr>
          <w:p>
            <w:pPr>
              <w:spacing w:after="0"/>
              <w:rPr>
                <w:sz w:val="20"/>
                <w:szCs w:val="20"/>
                <w:color w:val="auto"/>
              </w:rPr>
            </w:pPr>
            <w:r>
              <w:rPr>
                <w:rFonts w:ascii="Arial" w:cs="Arial" w:eastAsia="Arial" w:hAnsi="Arial"/>
                <w:sz w:val="16"/>
                <w:szCs w:val="16"/>
                <w:b w:val="1"/>
                <w:bCs w:val="1"/>
                <w:color w:val="FFFFFF"/>
              </w:rPr>
              <w:t>   Name</w:t>
            </w:r>
          </w:p>
        </w:tc>
        <w:tc>
          <w:tcPr>
            <w:tcW w:w="3540" w:type="dxa"/>
            <w:vAlign w:val="bottom"/>
            <w:shd w:val="clear" w:color="auto" w:fill="284993"/>
          </w:tcPr>
          <w:p>
            <w:pPr>
              <w:jc w:val="center"/>
              <w:ind w:left="2062"/>
              <w:spacing w:after="0"/>
              <w:rPr>
                <w:sz w:val="20"/>
                <w:szCs w:val="20"/>
                <w:color w:val="auto"/>
              </w:rPr>
            </w:pPr>
            <w:r>
              <w:rPr>
                <w:rFonts w:ascii="Arial" w:cs="Arial" w:eastAsia="Arial" w:hAnsi="Arial"/>
                <w:sz w:val="16"/>
                <w:szCs w:val="16"/>
                <w:b w:val="1"/>
                <w:bCs w:val="1"/>
                <w:color w:val="FFFFFF"/>
                <w:w w:val="96"/>
              </w:rPr>
              <w:t>Awards</w:t>
            </w:r>
          </w:p>
        </w:tc>
        <w:tc>
          <w:tcPr>
            <w:tcW w:w="1740" w:type="dxa"/>
            <w:vAlign w:val="bottom"/>
            <w:shd w:val="clear" w:color="auto" w:fill="284993"/>
          </w:tcPr>
          <w:p>
            <w:pPr>
              <w:jc w:val="right"/>
              <w:ind w:right="242"/>
              <w:spacing w:after="0"/>
              <w:rPr>
                <w:sz w:val="20"/>
                <w:szCs w:val="20"/>
                <w:color w:val="auto"/>
              </w:rPr>
            </w:pPr>
            <w:r>
              <w:rPr>
                <w:rFonts w:ascii="Arial" w:cs="Arial" w:eastAsia="Arial" w:hAnsi="Arial"/>
                <w:sz w:val="16"/>
                <w:szCs w:val="16"/>
                <w:b w:val="1"/>
                <w:bCs w:val="1"/>
                <w:color w:val="FFFFFF"/>
              </w:rPr>
              <w:t>Option Awards</w:t>
            </w:r>
          </w:p>
        </w:tc>
      </w:tr>
      <w:tr>
        <w:trPr>
          <w:trHeight w:val="182"/>
        </w:trPr>
        <w:tc>
          <w:tcPr>
            <w:tcW w:w="20" w:type="dxa"/>
            <w:vAlign w:val="bottom"/>
          </w:tcPr>
          <w:p>
            <w:pPr>
              <w:spacing w:after="0"/>
              <w:rPr>
                <w:sz w:val="15"/>
                <w:szCs w:val="15"/>
                <w:color w:val="auto"/>
              </w:rPr>
            </w:pPr>
          </w:p>
        </w:tc>
        <w:tc>
          <w:tcPr>
            <w:tcW w:w="4060" w:type="dxa"/>
            <w:vAlign w:val="bottom"/>
          </w:tcPr>
          <w:p>
            <w:pPr>
              <w:ind w:left="60"/>
              <w:spacing w:after="0" w:line="182" w:lineRule="exact"/>
              <w:rPr>
                <w:sz w:val="20"/>
                <w:szCs w:val="20"/>
                <w:color w:val="auto"/>
              </w:rPr>
            </w:pPr>
            <w:r>
              <w:rPr>
                <w:rFonts w:ascii="Arial" w:cs="Arial" w:eastAsia="Arial" w:hAnsi="Arial"/>
                <w:sz w:val="16"/>
                <w:szCs w:val="16"/>
                <w:color w:val="auto"/>
              </w:rPr>
              <w:t>Janet O. Estep</w:t>
            </w:r>
          </w:p>
        </w:tc>
        <w:tc>
          <w:tcPr>
            <w:tcW w:w="3540" w:type="dxa"/>
            <w:vAlign w:val="bottom"/>
          </w:tcPr>
          <w:p>
            <w:pPr>
              <w:jc w:val="right"/>
              <w:ind w:right="262"/>
              <w:spacing w:after="0" w:line="182" w:lineRule="exact"/>
              <w:rPr>
                <w:sz w:val="20"/>
                <w:szCs w:val="20"/>
                <w:color w:val="auto"/>
              </w:rPr>
            </w:pPr>
            <w:r>
              <w:rPr>
                <w:rFonts w:ascii="Arial" w:cs="Arial" w:eastAsia="Arial" w:hAnsi="Arial"/>
                <w:sz w:val="16"/>
                <w:szCs w:val="16"/>
                <w:color w:val="auto"/>
              </w:rPr>
              <w:t>10,994</w:t>
            </w:r>
          </w:p>
        </w:tc>
        <w:tc>
          <w:tcPr>
            <w:tcW w:w="1740" w:type="dxa"/>
            <w:vAlign w:val="bottom"/>
          </w:tcPr>
          <w:p>
            <w:pPr>
              <w:jc w:val="right"/>
              <w:ind w:right="222"/>
              <w:spacing w:after="0" w:line="182" w:lineRule="exact"/>
              <w:rPr>
                <w:sz w:val="20"/>
                <w:szCs w:val="20"/>
                <w:color w:val="auto"/>
              </w:rPr>
            </w:pPr>
            <w:r>
              <w:rPr>
                <w:rFonts w:ascii="Arial" w:cs="Arial" w:eastAsia="Arial" w:hAnsi="Arial"/>
                <w:sz w:val="16"/>
                <w:szCs w:val="16"/>
                <w:color w:val="auto"/>
              </w:rPr>
              <w:t>-</w:t>
            </w:r>
          </w:p>
        </w:tc>
      </w:tr>
      <w:tr>
        <w:trPr>
          <w:trHeight w:val="182"/>
        </w:trPr>
        <w:tc>
          <w:tcPr>
            <w:tcW w:w="20" w:type="dxa"/>
            <w:vAlign w:val="bottom"/>
          </w:tcPr>
          <w:p>
            <w:pPr>
              <w:spacing w:after="0"/>
              <w:rPr>
                <w:sz w:val="15"/>
                <w:szCs w:val="15"/>
                <w:color w:val="auto"/>
              </w:rPr>
            </w:pPr>
          </w:p>
        </w:tc>
        <w:tc>
          <w:tcPr>
            <w:tcW w:w="4060" w:type="dxa"/>
            <w:vAlign w:val="bottom"/>
            <w:shd w:val="clear" w:color="auto" w:fill="9DBDE4"/>
          </w:tcPr>
          <w:p>
            <w:pPr>
              <w:ind w:left="60"/>
              <w:spacing w:after="0" w:line="182" w:lineRule="exact"/>
              <w:rPr>
                <w:sz w:val="20"/>
                <w:szCs w:val="20"/>
                <w:color w:val="auto"/>
              </w:rPr>
            </w:pPr>
            <w:r>
              <w:rPr>
                <w:rFonts w:ascii="Arial" w:cs="Arial" w:eastAsia="Arial" w:hAnsi="Arial"/>
                <w:sz w:val="16"/>
                <w:szCs w:val="16"/>
                <w:color w:val="auto"/>
              </w:rPr>
              <w:t>James C. Hale III</w:t>
            </w:r>
          </w:p>
        </w:tc>
        <w:tc>
          <w:tcPr>
            <w:tcW w:w="3540" w:type="dxa"/>
            <w:vAlign w:val="bottom"/>
            <w:shd w:val="clear" w:color="auto" w:fill="9DBDE4"/>
          </w:tcPr>
          <w:p>
            <w:pPr>
              <w:jc w:val="right"/>
              <w:ind w:right="262"/>
              <w:spacing w:after="0" w:line="182" w:lineRule="exact"/>
              <w:rPr>
                <w:sz w:val="20"/>
                <w:szCs w:val="20"/>
                <w:color w:val="auto"/>
              </w:rPr>
            </w:pPr>
            <w:r>
              <w:rPr>
                <w:rFonts w:ascii="Arial" w:cs="Arial" w:eastAsia="Arial" w:hAnsi="Arial"/>
                <w:sz w:val="16"/>
                <w:szCs w:val="16"/>
                <w:color w:val="auto"/>
              </w:rPr>
              <w:t>-</w:t>
            </w:r>
          </w:p>
        </w:tc>
        <w:tc>
          <w:tcPr>
            <w:tcW w:w="1740" w:type="dxa"/>
            <w:vAlign w:val="bottom"/>
            <w:shd w:val="clear" w:color="auto" w:fill="9DBDE4"/>
          </w:tcPr>
          <w:p>
            <w:pPr>
              <w:jc w:val="right"/>
              <w:ind w:right="222"/>
              <w:spacing w:after="0" w:line="182" w:lineRule="exact"/>
              <w:rPr>
                <w:sz w:val="20"/>
                <w:szCs w:val="20"/>
                <w:color w:val="auto"/>
              </w:rPr>
            </w:pPr>
            <w:r>
              <w:rPr>
                <w:rFonts w:ascii="Arial" w:cs="Arial" w:eastAsia="Arial" w:hAnsi="Arial"/>
                <w:sz w:val="16"/>
                <w:szCs w:val="16"/>
                <w:color w:val="auto"/>
              </w:rPr>
              <w:t>-</w:t>
            </w:r>
          </w:p>
        </w:tc>
      </w:tr>
      <w:tr>
        <w:trPr>
          <w:trHeight w:val="182"/>
        </w:trPr>
        <w:tc>
          <w:tcPr>
            <w:tcW w:w="20" w:type="dxa"/>
            <w:vAlign w:val="bottom"/>
          </w:tcPr>
          <w:p>
            <w:pPr>
              <w:spacing w:after="0"/>
              <w:rPr>
                <w:sz w:val="15"/>
                <w:szCs w:val="15"/>
                <w:color w:val="auto"/>
              </w:rPr>
            </w:pPr>
          </w:p>
        </w:tc>
        <w:tc>
          <w:tcPr>
            <w:tcW w:w="4060" w:type="dxa"/>
            <w:vAlign w:val="bottom"/>
          </w:tcPr>
          <w:p>
            <w:pPr>
              <w:ind w:left="60"/>
              <w:spacing w:after="0" w:line="182" w:lineRule="exact"/>
              <w:rPr>
                <w:sz w:val="20"/>
                <w:szCs w:val="20"/>
                <w:color w:val="auto"/>
              </w:rPr>
            </w:pPr>
            <w:r>
              <w:rPr>
                <w:rFonts w:ascii="Arial" w:cs="Arial" w:eastAsia="Arial" w:hAnsi="Arial"/>
                <w:sz w:val="16"/>
                <w:szCs w:val="16"/>
                <w:color w:val="auto"/>
              </w:rPr>
              <w:t>Mary P. Harman</w:t>
            </w:r>
          </w:p>
        </w:tc>
        <w:tc>
          <w:tcPr>
            <w:tcW w:w="3540" w:type="dxa"/>
            <w:vAlign w:val="bottom"/>
          </w:tcPr>
          <w:p>
            <w:pPr>
              <w:jc w:val="right"/>
              <w:ind w:right="262"/>
              <w:spacing w:after="0" w:line="182" w:lineRule="exact"/>
              <w:rPr>
                <w:sz w:val="20"/>
                <w:szCs w:val="20"/>
                <w:color w:val="auto"/>
              </w:rPr>
            </w:pPr>
            <w:r>
              <w:rPr>
                <w:rFonts w:ascii="Arial" w:cs="Arial" w:eastAsia="Arial" w:hAnsi="Arial"/>
                <w:sz w:val="16"/>
                <w:szCs w:val="16"/>
                <w:color w:val="auto"/>
              </w:rPr>
              <w:t>10,994</w:t>
            </w:r>
          </w:p>
        </w:tc>
        <w:tc>
          <w:tcPr>
            <w:tcW w:w="1740" w:type="dxa"/>
            <w:vAlign w:val="bottom"/>
          </w:tcPr>
          <w:p>
            <w:pPr>
              <w:jc w:val="right"/>
              <w:ind w:right="222"/>
              <w:spacing w:after="0" w:line="182" w:lineRule="exact"/>
              <w:rPr>
                <w:sz w:val="20"/>
                <w:szCs w:val="20"/>
                <w:color w:val="auto"/>
              </w:rPr>
            </w:pPr>
            <w:r>
              <w:rPr>
                <w:rFonts w:ascii="Arial" w:cs="Arial" w:eastAsia="Arial" w:hAnsi="Arial"/>
                <w:sz w:val="16"/>
                <w:szCs w:val="16"/>
                <w:color w:val="auto"/>
              </w:rPr>
              <w:t>-</w:t>
            </w:r>
          </w:p>
        </w:tc>
      </w:tr>
      <w:tr>
        <w:trPr>
          <w:trHeight w:val="182"/>
        </w:trPr>
        <w:tc>
          <w:tcPr>
            <w:tcW w:w="20" w:type="dxa"/>
            <w:vAlign w:val="bottom"/>
          </w:tcPr>
          <w:p>
            <w:pPr>
              <w:spacing w:after="0"/>
              <w:rPr>
                <w:sz w:val="15"/>
                <w:szCs w:val="15"/>
                <w:color w:val="auto"/>
              </w:rPr>
            </w:pPr>
          </w:p>
        </w:tc>
        <w:tc>
          <w:tcPr>
            <w:tcW w:w="4060" w:type="dxa"/>
            <w:vAlign w:val="bottom"/>
            <w:shd w:val="clear" w:color="auto" w:fill="9DBDE4"/>
          </w:tcPr>
          <w:p>
            <w:pPr>
              <w:ind w:left="60"/>
              <w:spacing w:after="0" w:line="182" w:lineRule="exact"/>
              <w:rPr>
                <w:sz w:val="20"/>
                <w:szCs w:val="20"/>
                <w:color w:val="auto"/>
              </w:rPr>
            </w:pPr>
            <w:r>
              <w:rPr>
                <w:rFonts w:ascii="Arial" w:cs="Arial" w:eastAsia="Arial" w:hAnsi="Arial"/>
                <w:sz w:val="14"/>
                <w:szCs w:val="14"/>
                <w:color w:val="auto"/>
              </w:rPr>
              <w:t>Didier R. Lamouche</w:t>
            </w:r>
            <w:r>
              <w:rPr>
                <w:rFonts w:ascii="Arial" w:cs="Arial" w:eastAsia="Arial" w:hAnsi="Arial"/>
                <w:sz w:val="21"/>
                <w:szCs w:val="21"/>
                <w:color w:val="auto"/>
                <w:vertAlign w:val="superscript"/>
              </w:rPr>
              <w:t>(1)</w:t>
            </w:r>
          </w:p>
        </w:tc>
        <w:tc>
          <w:tcPr>
            <w:tcW w:w="3540" w:type="dxa"/>
            <w:vAlign w:val="bottom"/>
            <w:shd w:val="clear" w:color="auto" w:fill="9DBDE4"/>
          </w:tcPr>
          <w:p>
            <w:pPr>
              <w:jc w:val="right"/>
              <w:ind w:right="262"/>
              <w:spacing w:after="0" w:line="182" w:lineRule="exact"/>
              <w:rPr>
                <w:sz w:val="20"/>
                <w:szCs w:val="20"/>
                <w:color w:val="auto"/>
              </w:rPr>
            </w:pPr>
            <w:r>
              <w:rPr>
                <w:rFonts w:ascii="Arial" w:cs="Arial" w:eastAsia="Arial" w:hAnsi="Arial"/>
                <w:sz w:val="16"/>
                <w:szCs w:val="16"/>
                <w:color w:val="auto"/>
              </w:rPr>
              <w:t>10,994</w:t>
            </w:r>
          </w:p>
        </w:tc>
        <w:tc>
          <w:tcPr>
            <w:tcW w:w="1740" w:type="dxa"/>
            <w:vAlign w:val="bottom"/>
            <w:shd w:val="clear" w:color="auto" w:fill="9DBDE4"/>
          </w:tcPr>
          <w:p>
            <w:pPr>
              <w:jc w:val="right"/>
              <w:ind w:right="222"/>
              <w:spacing w:after="0" w:line="182" w:lineRule="exact"/>
              <w:rPr>
                <w:sz w:val="20"/>
                <w:szCs w:val="20"/>
                <w:color w:val="auto"/>
              </w:rPr>
            </w:pPr>
            <w:r>
              <w:rPr>
                <w:rFonts w:ascii="Arial" w:cs="Arial" w:eastAsia="Arial" w:hAnsi="Arial"/>
                <w:sz w:val="16"/>
                <w:szCs w:val="16"/>
                <w:color w:val="auto"/>
              </w:rPr>
              <w:t>-</w:t>
            </w:r>
          </w:p>
        </w:tc>
      </w:tr>
      <w:tr>
        <w:trPr>
          <w:trHeight w:val="182"/>
        </w:trPr>
        <w:tc>
          <w:tcPr>
            <w:tcW w:w="20" w:type="dxa"/>
            <w:vAlign w:val="bottom"/>
          </w:tcPr>
          <w:p>
            <w:pPr>
              <w:spacing w:after="0"/>
              <w:rPr>
                <w:sz w:val="15"/>
                <w:szCs w:val="15"/>
                <w:color w:val="auto"/>
              </w:rPr>
            </w:pPr>
          </w:p>
        </w:tc>
        <w:tc>
          <w:tcPr>
            <w:tcW w:w="4060" w:type="dxa"/>
            <w:vAlign w:val="bottom"/>
          </w:tcPr>
          <w:p>
            <w:pPr>
              <w:ind w:left="60"/>
              <w:spacing w:after="0" w:line="182" w:lineRule="exact"/>
              <w:rPr>
                <w:sz w:val="20"/>
                <w:szCs w:val="20"/>
                <w:color w:val="auto"/>
              </w:rPr>
            </w:pPr>
            <w:r>
              <w:rPr>
                <w:rFonts w:ascii="Arial" w:cs="Arial" w:eastAsia="Arial" w:hAnsi="Arial"/>
                <w:sz w:val="16"/>
                <w:szCs w:val="16"/>
                <w:color w:val="auto"/>
              </w:rPr>
              <w:t>Charles E. Peters Jr.</w:t>
            </w:r>
          </w:p>
        </w:tc>
        <w:tc>
          <w:tcPr>
            <w:tcW w:w="3540" w:type="dxa"/>
            <w:vAlign w:val="bottom"/>
          </w:tcPr>
          <w:p>
            <w:pPr>
              <w:jc w:val="right"/>
              <w:ind w:right="262"/>
              <w:spacing w:after="0" w:line="182" w:lineRule="exact"/>
              <w:rPr>
                <w:sz w:val="20"/>
                <w:szCs w:val="20"/>
                <w:color w:val="auto"/>
              </w:rPr>
            </w:pPr>
            <w:r>
              <w:rPr>
                <w:rFonts w:ascii="Arial" w:cs="Arial" w:eastAsia="Arial" w:hAnsi="Arial"/>
                <w:sz w:val="16"/>
                <w:szCs w:val="16"/>
                <w:color w:val="auto"/>
              </w:rPr>
              <w:t>10,994</w:t>
            </w:r>
          </w:p>
        </w:tc>
        <w:tc>
          <w:tcPr>
            <w:tcW w:w="1740" w:type="dxa"/>
            <w:vAlign w:val="bottom"/>
          </w:tcPr>
          <w:p>
            <w:pPr>
              <w:jc w:val="right"/>
              <w:ind w:right="222"/>
              <w:spacing w:after="0" w:line="182" w:lineRule="exact"/>
              <w:rPr>
                <w:sz w:val="20"/>
                <w:szCs w:val="20"/>
                <w:color w:val="auto"/>
              </w:rPr>
            </w:pPr>
            <w:r>
              <w:rPr>
                <w:rFonts w:ascii="Arial" w:cs="Arial" w:eastAsia="Arial" w:hAnsi="Arial"/>
                <w:sz w:val="16"/>
                <w:szCs w:val="16"/>
                <w:color w:val="auto"/>
              </w:rPr>
              <w:t>-</w:t>
            </w:r>
          </w:p>
        </w:tc>
      </w:tr>
      <w:tr>
        <w:trPr>
          <w:trHeight w:val="182"/>
        </w:trPr>
        <w:tc>
          <w:tcPr>
            <w:tcW w:w="20" w:type="dxa"/>
            <w:vAlign w:val="bottom"/>
          </w:tcPr>
          <w:p>
            <w:pPr>
              <w:spacing w:after="0"/>
              <w:rPr>
                <w:sz w:val="15"/>
                <w:szCs w:val="15"/>
                <w:color w:val="auto"/>
              </w:rPr>
            </w:pPr>
          </w:p>
        </w:tc>
        <w:tc>
          <w:tcPr>
            <w:tcW w:w="4060" w:type="dxa"/>
            <w:vAlign w:val="bottom"/>
            <w:shd w:val="clear" w:color="auto" w:fill="9DBDE4"/>
          </w:tcPr>
          <w:p>
            <w:pPr>
              <w:ind w:left="60"/>
              <w:spacing w:after="0" w:line="182" w:lineRule="exact"/>
              <w:rPr>
                <w:sz w:val="20"/>
                <w:szCs w:val="20"/>
                <w:color w:val="auto"/>
              </w:rPr>
            </w:pPr>
            <w:r>
              <w:rPr>
                <w:rFonts w:ascii="Arial" w:cs="Arial" w:eastAsia="Arial" w:hAnsi="Arial"/>
                <w:sz w:val="16"/>
                <w:szCs w:val="16"/>
                <w:color w:val="auto"/>
              </w:rPr>
              <w:t>Adalio T. Sanchez</w:t>
            </w:r>
          </w:p>
        </w:tc>
        <w:tc>
          <w:tcPr>
            <w:tcW w:w="3540" w:type="dxa"/>
            <w:vAlign w:val="bottom"/>
            <w:shd w:val="clear" w:color="auto" w:fill="9DBDE4"/>
          </w:tcPr>
          <w:p>
            <w:pPr>
              <w:jc w:val="right"/>
              <w:ind w:right="262"/>
              <w:spacing w:after="0" w:line="182" w:lineRule="exact"/>
              <w:rPr>
                <w:sz w:val="20"/>
                <w:szCs w:val="20"/>
                <w:color w:val="auto"/>
              </w:rPr>
            </w:pPr>
            <w:r>
              <w:rPr>
                <w:rFonts w:ascii="Arial" w:cs="Arial" w:eastAsia="Arial" w:hAnsi="Arial"/>
                <w:sz w:val="16"/>
                <w:szCs w:val="16"/>
                <w:color w:val="auto"/>
              </w:rPr>
              <w:t>10,994</w:t>
            </w:r>
          </w:p>
        </w:tc>
        <w:tc>
          <w:tcPr>
            <w:tcW w:w="1740" w:type="dxa"/>
            <w:vAlign w:val="bottom"/>
            <w:shd w:val="clear" w:color="auto" w:fill="9DBDE4"/>
          </w:tcPr>
          <w:p>
            <w:pPr>
              <w:jc w:val="right"/>
              <w:ind w:right="222"/>
              <w:spacing w:after="0" w:line="182" w:lineRule="exact"/>
              <w:rPr>
                <w:sz w:val="20"/>
                <w:szCs w:val="20"/>
                <w:color w:val="auto"/>
              </w:rPr>
            </w:pPr>
            <w:r>
              <w:rPr>
                <w:rFonts w:ascii="Arial" w:cs="Arial" w:eastAsia="Arial" w:hAnsi="Arial"/>
                <w:sz w:val="16"/>
                <w:szCs w:val="16"/>
                <w:color w:val="auto"/>
              </w:rPr>
              <w:t>-</w:t>
            </w:r>
          </w:p>
        </w:tc>
      </w:tr>
      <w:tr>
        <w:trPr>
          <w:trHeight w:val="182"/>
        </w:trPr>
        <w:tc>
          <w:tcPr>
            <w:tcW w:w="20" w:type="dxa"/>
            <w:vAlign w:val="bottom"/>
          </w:tcPr>
          <w:p>
            <w:pPr>
              <w:spacing w:after="0"/>
              <w:rPr>
                <w:sz w:val="15"/>
                <w:szCs w:val="15"/>
                <w:color w:val="auto"/>
              </w:rPr>
            </w:pPr>
          </w:p>
        </w:tc>
        <w:tc>
          <w:tcPr>
            <w:tcW w:w="4060" w:type="dxa"/>
            <w:vAlign w:val="bottom"/>
            <w:tcBorders>
              <w:bottom w:val="single" w:sz="8" w:color="284993"/>
            </w:tcBorders>
          </w:tcPr>
          <w:p>
            <w:pPr>
              <w:ind w:left="60"/>
              <w:spacing w:after="0" w:line="182" w:lineRule="exact"/>
              <w:rPr>
                <w:sz w:val="20"/>
                <w:szCs w:val="20"/>
                <w:color w:val="auto"/>
              </w:rPr>
            </w:pPr>
            <w:r>
              <w:rPr>
                <w:rFonts w:ascii="Arial" w:cs="Arial" w:eastAsia="Arial" w:hAnsi="Arial"/>
                <w:sz w:val="16"/>
                <w:szCs w:val="16"/>
                <w:color w:val="auto"/>
              </w:rPr>
              <w:t>Samir M. Zabaneh</w:t>
            </w:r>
          </w:p>
        </w:tc>
        <w:tc>
          <w:tcPr>
            <w:tcW w:w="3540" w:type="dxa"/>
            <w:vAlign w:val="bottom"/>
            <w:tcBorders>
              <w:bottom w:val="single" w:sz="8" w:color="284993"/>
            </w:tcBorders>
          </w:tcPr>
          <w:p>
            <w:pPr>
              <w:jc w:val="right"/>
              <w:ind w:right="262"/>
              <w:spacing w:after="0" w:line="182" w:lineRule="exact"/>
              <w:rPr>
                <w:sz w:val="20"/>
                <w:szCs w:val="20"/>
                <w:color w:val="auto"/>
              </w:rPr>
            </w:pPr>
            <w:r>
              <w:rPr>
                <w:rFonts w:ascii="Arial" w:cs="Arial" w:eastAsia="Arial" w:hAnsi="Arial"/>
                <w:sz w:val="16"/>
                <w:szCs w:val="16"/>
                <w:color w:val="auto"/>
              </w:rPr>
              <w:t>10,994</w:t>
            </w:r>
          </w:p>
        </w:tc>
        <w:tc>
          <w:tcPr>
            <w:tcW w:w="1740" w:type="dxa"/>
            <w:vAlign w:val="bottom"/>
            <w:tcBorders>
              <w:bottom w:val="single" w:sz="8" w:color="284993"/>
            </w:tcBorders>
          </w:tcPr>
          <w:p>
            <w:pPr>
              <w:jc w:val="right"/>
              <w:ind w:right="222"/>
              <w:spacing w:after="0" w:line="182" w:lineRule="exact"/>
              <w:rPr>
                <w:sz w:val="20"/>
                <w:szCs w:val="20"/>
                <w:color w:val="auto"/>
              </w:rPr>
            </w:pPr>
            <w:r>
              <w:rPr>
                <w:rFonts w:ascii="Arial" w:cs="Arial" w:eastAsia="Arial" w:hAnsi="Arial"/>
                <w:sz w:val="16"/>
                <w:szCs w:val="16"/>
                <w:color w:val="auto"/>
              </w:rPr>
              <w:t>-</w:t>
            </w:r>
          </w:p>
        </w:tc>
      </w:tr>
    </w:tbl>
    <w:p>
      <w:pPr>
        <w:spacing w:after="0" w:line="13" w:lineRule="exact"/>
        <w:rPr>
          <w:sz w:val="20"/>
          <w:szCs w:val="20"/>
          <w:color w:val="auto"/>
        </w:rPr>
      </w:pPr>
    </w:p>
    <w:p>
      <w:pPr>
        <w:ind w:left="280" w:hanging="274"/>
        <w:spacing w:after="0"/>
        <w:tabs>
          <w:tab w:leader="none" w:pos="280" w:val="left"/>
        </w:tabs>
        <w:numPr>
          <w:ilvl w:val="0"/>
          <w:numId w:val="18"/>
        </w:numPr>
        <w:rPr>
          <w:rFonts w:ascii="Arial" w:cs="Arial" w:eastAsia="Arial" w:hAnsi="Arial"/>
          <w:sz w:val="18"/>
          <w:szCs w:val="18"/>
          <w:color w:val="auto"/>
          <w:vertAlign w:val="superscript"/>
        </w:rPr>
      </w:pPr>
      <w:r>
        <w:rPr>
          <w:rFonts w:ascii="Arial" w:cs="Arial" w:eastAsia="Arial" w:hAnsi="Arial"/>
          <w:sz w:val="12"/>
          <w:szCs w:val="12"/>
          <w:color w:val="auto"/>
        </w:rPr>
        <w:t>Didier R. Lamouche ceased serving as a director of the Company effective on June 1, 2023, before ACI granted stock awards on June 1, 2023.</w:t>
      </w:r>
    </w:p>
    <w:p>
      <w:pPr>
        <w:spacing w:after="0" w:line="173"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Director Stock Ownership Guidelines</w:t>
      </w:r>
    </w:p>
    <w:p>
      <w:pPr>
        <w:spacing w:after="0" w:line="124"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The Board has stock ownership guidelines designed to further link the interests of our Board with those of our stockholders. These guidelines provide that each of our independent directors should have equity positions in ACI with a value equal to five times his or her annual retainer amount (base retainer only). Direct and indirect stock ownership, including the vested in-the-money portion of any stock options held by the independent director, are included in determining each director’s equity position. Each independent director has five years to achieve the target ownership level. A director who fails to meet the ownership guidelines within the five-year period will not be eligible for new equity awards until the director achieves his or her prescribed ownership level. All independent directors are in compliance with our stock ownership guidelines.</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23</w:t>
      </w:r>
    </w:p>
    <w:p>
      <w:pPr>
        <w:sectPr>
          <w:pgSz w:w="11900" w:h="16838" w:orient="portrait"/>
          <w:cols w:equalWidth="0" w:num="1">
            <w:col w:w="9360"/>
          </w:cols>
          <w:pgMar w:left="1260" w:top="286" w:right="127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257175</wp:posOffset>
            </wp:positionV>
            <wp:extent cx="59410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At all times during 2023, each member of the Audit Committee was “independent” as defined in the NASDAQ listing standards. Our Board determined that each member met the NASDAQ regulatory requirements for financial literacy, and all members, other than Ms. Estep, are “audit committee financial experts” as defined under SEC rules.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operates pursuant to a charter, a copy of which is available on our website at aciworldwide.com.</w:t>
      </w:r>
    </w:p>
    <w:p>
      <w:pPr>
        <w:spacing w:after="0" w:line="206"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The Audit Committee, on behalf of our Board, oversees ACI’s financial reporting process as more fully described in its charter. Management is responsible for the preparation, presentation and integrity of ACI’s consolidated financial statements, accounting and financial reporting principles, internal controls over financial reporting and compliance with laws and regulations and ethical business standards. Management is responsible for objectively reviewing and evaluating the adequacy, effectiveness and quality of ACI’s system of internal controls. Audit Committee members are not professional accountants or auditors, and their functions are not intended to duplicate or to certify the activities of management or the independent registered public accounting firm.</w:t>
      </w:r>
    </w:p>
    <w:p>
      <w:pPr>
        <w:spacing w:after="0" w:line="186"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ACI’s independent registered public accounting firm, Deloitte &amp; Touche LLP (“Deloitte”), is responsible for performing independent audits of ACI’s consolidated financial statements and the effectiveness of ACI’s internal controls over financial reporting in accordance with the standards of the Public Company Accounting Oversight Board (United States) (“PCAOB”) and to issue reports thereon. In fulfilling its oversight responsibilities, the Audit Committee (i) reviewed and discussed the audited consolidated financial statements and the footnotes thereto in ACI’s annual report on Form 10-K for 2023 with management and Deloitte, and (ii) discussed with management and Deloitte the quality, not just the acceptability, of the accounting principles, the reasonableness of significant judgments and the clarity of the disclosures in the financial statements. The Audit Committee discussed with Deloitte the matters required to be discussed by PCAOB Auditing Standard No. 1301 “Communication with Audit Committees”, Rule 2-07 “Communication with Audit Committees” of Regulation S-X, and other PCAOB Rules and Standards. The Audit Committee discussed with ACI’s internal auditors and Deloitte, with and without management present, their evaluations of ACI’s internal accounting controls and reviewed with management the basis for management’s assessment of the effectiveness of ACI’s internal controls over financial reporting. The Audit Committee has also discussed with Deloitte the matters required to be discussed by the Statement on Auditing Standards No. 61, as amended (AICPA, Professional Standards, Vol. 1 AU Section 380), as adopted by the Public Company Accounting and Oversight Board in Rule 3200T.</w:t>
      </w:r>
    </w:p>
    <w:p>
      <w:pPr>
        <w:spacing w:after="0" w:line="351"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Deloitte is responsible for expressing opinions on (i) the conformity of ACI’s audited consolidated financial statements, in all material respects, to accounting principles generally accepted in the U.S., and (ii) the effectiveness of ACI’s internal controls over financial reporting. Deloitte has full and free access to the Audit Committee. Deloitte has expressed the opinion that ACI’s audited consolidated financial statements conform, in all material respects, to accounting principles generally accepted in the U.S. The Audit Committee reviewed and discussed with Deloitte its judgments as to the quality, not just the acceptability, of ACI’s accounting principles and such other matters as are required to be discussed by the standards of the PCAOB.</w:t>
      </w:r>
    </w:p>
    <w:p>
      <w:pPr>
        <w:spacing w:after="0" w:line="186"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The Audit Committee discussed with Deloitte its independence from management and ACI received from Deloitte the written disclosures and the letter required by applicable requirements of the PCAOB, including as required by PCAOB Ethics and Independence Rule 3526 “Communication with Audit Committees Concerning Independence,” regarding Deloitte’s communications with the Audit Committee concerning independence, and has discussed with Deloitte and management Deloitte’s independence. Upon completing these activities, the Audit Committee concluded that Deloitte is independent from the Company and its management.</w:t>
      </w:r>
    </w:p>
    <w:p>
      <w:pPr>
        <w:spacing w:after="0" w:line="15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 reliance on the reviews and discussions referred to above, the Audit Committee recommended to our Board that the audited consolidated financial statements be included in ACI’s annual report on Form 10-K for 2023 and filed with the Securities and Exchange Commission.</w:t>
      </w:r>
    </w:p>
    <w:p>
      <w:pPr>
        <w:spacing w:after="0" w:line="202" w:lineRule="exact"/>
        <w:rPr>
          <w:sz w:val="20"/>
          <w:szCs w:val="20"/>
          <w:color w:val="auto"/>
        </w:rPr>
      </w:pPr>
    </w:p>
    <w:p>
      <w:pPr>
        <w:jc w:val="center"/>
        <w:ind w:left="4860"/>
        <w:spacing w:after="0"/>
        <w:rPr>
          <w:sz w:val="20"/>
          <w:szCs w:val="20"/>
          <w:color w:val="auto"/>
        </w:rPr>
      </w:pPr>
      <w:r>
        <w:rPr>
          <w:rFonts w:ascii="Arial" w:cs="Arial" w:eastAsia="Arial" w:hAnsi="Arial"/>
          <w:sz w:val="16"/>
          <w:szCs w:val="16"/>
          <w:color w:val="auto"/>
        </w:rPr>
        <w:t>Members of the Audit Committee</w:t>
      </w:r>
    </w:p>
    <w:p>
      <w:pPr>
        <w:spacing w:after="0" w:line="232" w:lineRule="exact"/>
        <w:rPr>
          <w:sz w:val="20"/>
          <w:szCs w:val="20"/>
          <w:color w:val="auto"/>
        </w:rPr>
      </w:pPr>
    </w:p>
    <w:p>
      <w:pPr>
        <w:jc w:val="center"/>
        <w:ind w:left="4860"/>
        <w:spacing w:after="0"/>
        <w:rPr>
          <w:sz w:val="20"/>
          <w:szCs w:val="20"/>
          <w:color w:val="auto"/>
        </w:rPr>
      </w:pPr>
      <w:r>
        <w:rPr>
          <w:rFonts w:ascii="Arial" w:cs="Arial" w:eastAsia="Arial" w:hAnsi="Arial"/>
          <w:sz w:val="16"/>
          <w:szCs w:val="16"/>
          <w:color w:val="auto"/>
        </w:rPr>
        <w:t>Charles E. Peters, Jr., Chair</w:t>
      </w:r>
    </w:p>
    <w:p>
      <w:pPr>
        <w:spacing w:after="0" w:line="10" w:lineRule="exact"/>
        <w:rPr>
          <w:sz w:val="20"/>
          <w:szCs w:val="20"/>
          <w:color w:val="auto"/>
        </w:rPr>
      </w:pPr>
    </w:p>
    <w:p>
      <w:pPr>
        <w:jc w:val="center"/>
        <w:ind w:left="4860"/>
        <w:spacing w:after="0"/>
        <w:rPr>
          <w:sz w:val="20"/>
          <w:szCs w:val="20"/>
          <w:color w:val="auto"/>
        </w:rPr>
      </w:pPr>
      <w:r>
        <w:rPr>
          <w:rFonts w:ascii="Arial" w:cs="Arial" w:eastAsia="Arial" w:hAnsi="Arial"/>
          <w:sz w:val="16"/>
          <w:szCs w:val="16"/>
          <w:color w:val="auto"/>
        </w:rPr>
        <w:t>Janet O. Estep</w:t>
      </w:r>
    </w:p>
    <w:p>
      <w:pPr>
        <w:jc w:val="center"/>
        <w:ind w:left="4860"/>
        <w:spacing w:after="0" w:line="237" w:lineRule="auto"/>
        <w:rPr>
          <w:sz w:val="20"/>
          <w:szCs w:val="20"/>
          <w:color w:val="auto"/>
        </w:rPr>
      </w:pPr>
      <w:r>
        <w:rPr>
          <w:rFonts w:ascii="Arial" w:cs="Arial" w:eastAsia="Arial" w:hAnsi="Arial"/>
          <w:sz w:val="16"/>
          <w:szCs w:val="16"/>
          <w:color w:val="auto"/>
        </w:rPr>
        <w:t>James C. Hale III</w:t>
      </w:r>
    </w:p>
    <w:p>
      <w:pPr>
        <w:jc w:val="center"/>
        <w:ind w:left="4860"/>
        <w:spacing w:after="0"/>
        <w:rPr>
          <w:sz w:val="20"/>
          <w:szCs w:val="20"/>
          <w:color w:val="auto"/>
        </w:rPr>
      </w:pPr>
      <w:r>
        <w:rPr>
          <w:rFonts w:ascii="Arial" w:cs="Arial" w:eastAsia="Arial" w:hAnsi="Arial"/>
          <w:sz w:val="16"/>
          <w:szCs w:val="16"/>
          <w:color w:val="auto"/>
        </w:rPr>
        <w:t>Samir M. Zabaneh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96520</wp:posOffset>
            </wp:positionV>
            <wp:extent cx="693420" cy="1320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3420" cy="13208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24</w:t>
      </w:r>
    </w:p>
    <w:p>
      <w:pPr>
        <w:sectPr>
          <w:pgSz w:w="11900" w:h="16838" w:orient="portrait"/>
          <w:cols w:equalWidth="0" w:num="1">
            <w:col w:w="9320"/>
          </w:cols>
          <w:pgMar w:left="1260" w:top="254" w:right="1319" w:bottom="1440" w:gutter="0" w:footer="0" w:header="0"/>
        </w:sectPr>
      </w:pPr>
    </w:p>
    <w:bookmarkStart w:id="30" w:name="page31"/>
    <w:bookmarkEnd w:id="30"/>
    <w:p>
      <w:pPr>
        <w:jc w:val="center"/>
        <w:spacing w:after="0" w:line="260" w:lineRule="auto"/>
        <w:rPr>
          <w:sz w:val="20"/>
          <w:szCs w:val="20"/>
          <w:color w:val="auto"/>
        </w:rPr>
      </w:pPr>
      <w:r>
        <w:rPr>
          <w:rFonts w:ascii="Arial" w:cs="Arial" w:eastAsia="Arial" w:hAnsi="Arial"/>
          <w:sz w:val="51"/>
          <w:szCs w:val="5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Proposal 2 — Ratification of Appointment of ACI’s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59410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The Audit Committee has selected and appointed, and our Board has approved, the Audit Committee’s selection and appointment of, Deloitte &amp; Touche LLP as our independent registered public accounting firm for the fiscal year ending December 31, 2024. Neither our Bylaws nor other governing documents or law require stockholder ratification of the appointment of Deloitte &amp; Touche LLP as our independent registered public accounting firm. However, the Board is submitting the appointment of Deloitte &amp; Touche LLP to the stockholders for ratification as a matter of good corporate practice. If the stockholders do not ratify the selection, the Audit Committee will consider whether it is appropriate to select another independent registered public accounting firm for the next fiscal year. Even if the selection is ratified by our stockholders, the Audit Committee may, in its discretion, change the appointment at any time during the year if it determines that such a change would be in the best interests of stockholders.</w:t>
      </w:r>
    </w:p>
    <w:p>
      <w:pPr>
        <w:spacing w:after="0" w:line="185"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Representatives of Deloitte &amp; Touche LLP are expected to be present at the Annual Meeting to make a statement should they so desire and to respond to appropriate questions.</w:t>
      </w: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Independent Registered Public Accounting Firm Fees</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The following table sets forth the aggregate fees paid or payable for the indicated services performed by Deloitte during 2023 and 2022 in its capacity as our independent registered public accounting firm during such years.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960" w:type="dxa"/>
            <w:vAlign w:val="bottom"/>
            <w:shd w:val="clear" w:color="auto" w:fill="284993"/>
          </w:tcPr>
          <w:p>
            <w:pPr>
              <w:spacing w:after="0"/>
              <w:rPr>
                <w:sz w:val="16"/>
                <w:szCs w:val="16"/>
                <w:color w:val="auto"/>
              </w:rPr>
            </w:pPr>
          </w:p>
        </w:tc>
        <w:tc>
          <w:tcPr>
            <w:tcW w:w="3560" w:type="dxa"/>
            <w:vAlign w:val="bottom"/>
            <w:shd w:val="clear" w:color="auto" w:fill="284993"/>
          </w:tcPr>
          <w:p>
            <w:pPr>
              <w:jc w:val="right"/>
              <w:ind w:right="553"/>
              <w:spacing w:after="0"/>
              <w:rPr>
                <w:sz w:val="20"/>
                <w:szCs w:val="20"/>
                <w:color w:val="auto"/>
              </w:rPr>
            </w:pPr>
            <w:r>
              <w:rPr>
                <w:rFonts w:ascii="Arial" w:cs="Arial" w:eastAsia="Arial" w:hAnsi="Arial"/>
                <w:sz w:val="17"/>
                <w:szCs w:val="17"/>
                <w:b w:val="1"/>
                <w:bCs w:val="1"/>
                <w:color w:val="FFFFFF"/>
              </w:rPr>
              <w:t>2023</w:t>
            </w:r>
          </w:p>
        </w:tc>
        <w:tc>
          <w:tcPr>
            <w:tcW w:w="1820" w:type="dxa"/>
            <w:vAlign w:val="bottom"/>
            <w:shd w:val="clear" w:color="auto" w:fill="284993"/>
          </w:tcPr>
          <w:p>
            <w:pPr>
              <w:jc w:val="right"/>
              <w:ind w:right="793"/>
              <w:spacing w:after="0"/>
              <w:rPr>
                <w:sz w:val="20"/>
                <w:szCs w:val="20"/>
                <w:color w:val="auto"/>
              </w:rPr>
            </w:pPr>
            <w:r>
              <w:rPr>
                <w:rFonts w:ascii="Arial" w:cs="Arial" w:eastAsia="Arial" w:hAnsi="Arial"/>
                <w:sz w:val="17"/>
                <w:szCs w:val="17"/>
                <w:b w:val="1"/>
                <w:bCs w:val="1"/>
                <w:color w:val="FFFFFF"/>
              </w:rPr>
              <w:t>2022</w:t>
            </w:r>
          </w:p>
        </w:tc>
      </w:tr>
      <w:tr>
        <w:trPr>
          <w:trHeight w:val="227"/>
        </w:trPr>
        <w:tc>
          <w:tcPr>
            <w:tcW w:w="20" w:type="dxa"/>
            <w:vAlign w:val="bottom"/>
          </w:tcPr>
          <w:p>
            <w:pPr>
              <w:spacing w:after="0"/>
              <w:rPr>
                <w:sz w:val="19"/>
                <w:szCs w:val="19"/>
                <w:color w:val="auto"/>
              </w:rPr>
            </w:pPr>
          </w:p>
        </w:tc>
        <w:tc>
          <w:tcPr>
            <w:tcW w:w="3960" w:type="dxa"/>
            <w:vAlign w:val="bottom"/>
            <w:shd w:val="clear" w:color="auto" w:fill="284993"/>
          </w:tcPr>
          <w:p>
            <w:pPr>
              <w:spacing w:after="0"/>
              <w:rPr>
                <w:sz w:val="20"/>
                <w:szCs w:val="20"/>
                <w:color w:val="auto"/>
              </w:rPr>
            </w:pPr>
            <w:r>
              <w:rPr>
                <w:rFonts w:ascii="Arial" w:cs="Arial" w:eastAsia="Arial" w:hAnsi="Arial"/>
                <w:sz w:val="17"/>
                <w:szCs w:val="17"/>
                <w:b w:val="1"/>
                <w:bCs w:val="1"/>
                <w:color w:val="FFFFFF"/>
              </w:rPr>
              <w:t>  Fee Category</w:t>
            </w:r>
          </w:p>
        </w:tc>
        <w:tc>
          <w:tcPr>
            <w:tcW w:w="3560" w:type="dxa"/>
            <w:vAlign w:val="bottom"/>
            <w:shd w:val="clear" w:color="auto" w:fill="284993"/>
          </w:tcPr>
          <w:p>
            <w:pPr>
              <w:jc w:val="right"/>
              <w:ind w:right="693"/>
              <w:spacing w:after="0"/>
              <w:rPr>
                <w:sz w:val="20"/>
                <w:szCs w:val="20"/>
                <w:color w:val="auto"/>
              </w:rPr>
            </w:pPr>
            <w:r>
              <w:rPr>
                <w:rFonts w:ascii="Arial" w:cs="Arial" w:eastAsia="Arial" w:hAnsi="Arial"/>
                <w:sz w:val="17"/>
                <w:szCs w:val="17"/>
                <w:b w:val="1"/>
                <w:bCs w:val="1"/>
                <w:color w:val="FFFFFF"/>
              </w:rPr>
              <w:t>$</w:t>
            </w:r>
          </w:p>
        </w:tc>
        <w:tc>
          <w:tcPr>
            <w:tcW w:w="1820" w:type="dxa"/>
            <w:vAlign w:val="bottom"/>
            <w:shd w:val="clear" w:color="auto" w:fill="284993"/>
          </w:tcPr>
          <w:p>
            <w:pPr>
              <w:jc w:val="right"/>
              <w:ind w:right="933"/>
              <w:spacing w:after="0"/>
              <w:rPr>
                <w:sz w:val="20"/>
                <w:szCs w:val="20"/>
                <w:color w:val="auto"/>
              </w:rPr>
            </w:pPr>
            <w:r>
              <w:rPr>
                <w:rFonts w:ascii="Arial" w:cs="Arial" w:eastAsia="Arial" w:hAnsi="Arial"/>
                <w:sz w:val="17"/>
                <w:szCs w:val="17"/>
                <w:b w:val="1"/>
                <w:bCs w:val="1"/>
                <w:color w:val="FFFFFF"/>
              </w:rPr>
              <w:t>$</w:t>
            </w:r>
          </w:p>
        </w:tc>
      </w:tr>
      <w:tr>
        <w:trPr>
          <w:trHeight w:val="195"/>
        </w:trPr>
        <w:tc>
          <w:tcPr>
            <w:tcW w:w="20" w:type="dxa"/>
            <w:vAlign w:val="bottom"/>
          </w:tcPr>
          <w:p>
            <w:pPr>
              <w:spacing w:after="0"/>
              <w:rPr>
                <w:sz w:val="16"/>
                <w:szCs w:val="16"/>
                <w:color w:val="auto"/>
              </w:rPr>
            </w:pPr>
          </w:p>
        </w:tc>
        <w:tc>
          <w:tcPr>
            <w:tcW w:w="3960" w:type="dxa"/>
            <w:vAlign w:val="bottom"/>
          </w:tcPr>
          <w:p>
            <w:pPr>
              <w:ind w:left="100"/>
              <w:spacing w:after="0"/>
              <w:rPr>
                <w:sz w:val="20"/>
                <w:szCs w:val="20"/>
                <w:color w:val="auto"/>
              </w:rPr>
            </w:pPr>
            <w:r>
              <w:rPr>
                <w:rFonts w:ascii="Arial" w:cs="Arial" w:eastAsia="Arial" w:hAnsi="Arial"/>
                <w:sz w:val="17"/>
                <w:szCs w:val="17"/>
                <w:color w:val="auto"/>
              </w:rPr>
              <w:t>Audit Fees</w:t>
            </w:r>
          </w:p>
        </w:tc>
        <w:tc>
          <w:tcPr>
            <w:tcW w:w="3560" w:type="dxa"/>
            <w:vAlign w:val="bottom"/>
          </w:tcPr>
          <w:p>
            <w:pPr>
              <w:jc w:val="right"/>
              <w:ind w:right="333"/>
              <w:spacing w:after="0"/>
              <w:rPr>
                <w:sz w:val="20"/>
                <w:szCs w:val="20"/>
                <w:color w:val="auto"/>
              </w:rPr>
            </w:pPr>
            <w:r>
              <w:rPr>
                <w:rFonts w:ascii="Arial" w:cs="Arial" w:eastAsia="Arial" w:hAnsi="Arial"/>
                <w:sz w:val="17"/>
                <w:szCs w:val="17"/>
                <w:color w:val="auto"/>
              </w:rPr>
              <w:t>3,639,134</w:t>
            </w:r>
          </w:p>
        </w:tc>
        <w:tc>
          <w:tcPr>
            <w:tcW w:w="1820" w:type="dxa"/>
            <w:vAlign w:val="bottom"/>
          </w:tcPr>
          <w:p>
            <w:pPr>
              <w:jc w:val="right"/>
              <w:ind w:right="553"/>
              <w:spacing w:after="0"/>
              <w:rPr>
                <w:sz w:val="20"/>
                <w:szCs w:val="20"/>
                <w:color w:val="auto"/>
              </w:rPr>
            </w:pPr>
            <w:r>
              <w:rPr>
                <w:rFonts w:ascii="Arial" w:cs="Arial" w:eastAsia="Arial" w:hAnsi="Arial"/>
                <w:sz w:val="17"/>
                <w:szCs w:val="17"/>
                <w:color w:val="auto"/>
              </w:rPr>
              <w:t>3,482,503</w:t>
            </w:r>
          </w:p>
        </w:tc>
      </w:tr>
      <w:tr>
        <w:trPr>
          <w:trHeight w:val="195"/>
        </w:trPr>
        <w:tc>
          <w:tcPr>
            <w:tcW w:w="20" w:type="dxa"/>
            <w:vAlign w:val="bottom"/>
          </w:tcPr>
          <w:p>
            <w:pPr>
              <w:spacing w:after="0"/>
              <w:rPr>
                <w:sz w:val="16"/>
                <w:szCs w:val="16"/>
                <w:color w:val="auto"/>
              </w:rPr>
            </w:pPr>
          </w:p>
        </w:tc>
        <w:tc>
          <w:tcPr>
            <w:tcW w:w="3960" w:type="dxa"/>
            <w:vAlign w:val="bottom"/>
            <w:shd w:val="clear" w:color="auto" w:fill="9DBDE4"/>
          </w:tcPr>
          <w:p>
            <w:pPr>
              <w:ind w:left="100"/>
              <w:spacing w:after="0"/>
              <w:rPr>
                <w:sz w:val="20"/>
                <w:szCs w:val="20"/>
                <w:color w:val="auto"/>
              </w:rPr>
            </w:pPr>
            <w:r>
              <w:rPr>
                <w:rFonts w:ascii="Arial" w:cs="Arial" w:eastAsia="Arial" w:hAnsi="Arial"/>
                <w:sz w:val="17"/>
                <w:szCs w:val="17"/>
                <w:color w:val="auto"/>
              </w:rPr>
              <w:t>Audit-Related Fees</w:t>
            </w:r>
          </w:p>
        </w:tc>
        <w:tc>
          <w:tcPr>
            <w:tcW w:w="3560" w:type="dxa"/>
            <w:vAlign w:val="bottom"/>
            <w:shd w:val="clear" w:color="auto" w:fill="9DBDE4"/>
          </w:tcPr>
          <w:p>
            <w:pPr>
              <w:jc w:val="right"/>
              <w:ind w:right="333"/>
              <w:spacing w:after="0"/>
              <w:rPr>
                <w:sz w:val="20"/>
                <w:szCs w:val="20"/>
                <w:color w:val="auto"/>
              </w:rPr>
            </w:pPr>
            <w:r>
              <w:rPr>
                <w:rFonts w:ascii="Arial" w:cs="Arial" w:eastAsia="Arial" w:hAnsi="Arial"/>
                <w:sz w:val="17"/>
                <w:szCs w:val="17"/>
                <w:color w:val="auto"/>
              </w:rPr>
              <w:t>0</w:t>
            </w:r>
          </w:p>
        </w:tc>
        <w:tc>
          <w:tcPr>
            <w:tcW w:w="1820" w:type="dxa"/>
            <w:vAlign w:val="bottom"/>
            <w:shd w:val="clear" w:color="auto" w:fill="9DBDE4"/>
          </w:tcPr>
          <w:p>
            <w:pPr>
              <w:jc w:val="right"/>
              <w:ind w:right="553"/>
              <w:spacing w:after="0"/>
              <w:rPr>
                <w:sz w:val="20"/>
                <w:szCs w:val="20"/>
                <w:color w:val="auto"/>
              </w:rPr>
            </w:pPr>
            <w:r>
              <w:rPr>
                <w:rFonts w:ascii="Arial" w:cs="Arial" w:eastAsia="Arial" w:hAnsi="Arial"/>
                <w:sz w:val="17"/>
                <w:szCs w:val="17"/>
                <w:color w:val="auto"/>
              </w:rPr>
              <w:t>25,000</w:t>
            </w:r>
          </w:p>
        </w:tc>
      </w:tr>
      <w:tr>
        <w:trPr>
          <w:trHeight w:val="195"/>
        </w:trPr>
        <w:tc>
          <w:tcPr>
            <w:tcW w:w="20" w:type="dxa"/>
            <w:vAlign w:val="bottom"/>
          </w:tcPr>
          <w:p>
            <w:pPr>
              <w:spacing w:after="0"/>
              <w:rPr>
                <w:sz w:val="16"/>
                <w:szCs w:val="16"/>
                <w:color w:val="auto"/>
              </w:rPr>
            </w:pPr>
          </w:p>
        </w:tc>
        <w:tc>
          <w:tcPr>
            <w:tcW w:w="3960" w:type="dxa"/>
            <w:vAlign w:val="bottom"/>
          </w:tcPr>
          <w:p>
            <w:pPr>
              <w:ind w:left="100"/>
              <w:spacing w:after="0"/>
              <w:rPr>
                <w:sz w:val="20"/>
                <w:szCs w:val="20"/>
                <w:color w:val="auto"/>
              </w:rPr>
            </w:pPr>
            <w:r>
              <w:rPr>
                <w:rFonts w:ascii="Arial" w:cs="Arial" w:eastAsia="Arial" w:hAnsi="Arial"/>
                <w:sz w:val="17"/>
                <w:szCs w:val="17"/>
                <w:color w:val="auto"/>
              </w:rPr>
              <w:t>Tax Fees</w:t>
            </w:r>
          </w:p>
        </w:tc>
        <w:tc>
          <w:tcPr>
            <w:tcW w:w="3560" w:type="dxa"/>
            <w:vAlign w:val="bottom"/>
          </w:tcPr>
          <w:p>
            <w:pPr>
              <w:jc w:val="right"/>
              <w:ind w:right="333"/>
              <w:spacing w:after="0"/>
              <w:rPr>
                <w:sz w:val="20"/>
                <w:szCs w:val="20"/>
                <w:color w:val="auto"/>
              </w:rPr>
            </w:pPr>
            <w:r>
              <w:rPr>
                <w:rFonts w:ascii="Arial" w:cs="Arial" w:eastAsia="Arial" w:hAnsi="Arial"/>
                <w:sz w:val="17"/>
                <w:szCs w:val="17"/>
                <w:color w:val="auto"/>
              </w:rPr>
              <w:t>847,896</w:t>
            </w:r>
          </w:p>
        </w:tc>
        <w:tc>
          <w:tcPr>
            <w:tcW w:w="1820" w:type="dxa"/>
            <w:vAlign w:val="bottom"/>
          </w:tcPr>
          <w:p>
            <w:pPr>
              <w:jc w:val="right"/>
              <w:ind w:right="553"/>
              <w:spacing w:after="0"/>
              <w:rPr>
                <w:sz w:val="20"/>
                <w:szCs w:val="20"/>
                <w:color w:val="auto"/>
              </w:rPr>
            </w:pPr>
            <w:r>
              <w:rPr>
                <w:rFonts w:ascii="Arial" w:cs="Arial" w:eastAsia="Arial" w:hAnsi="Arial"/>
                <w:sz w:val="17"/>
                <w:szCs w:val="17"/>
                <w:color w:val="auto"/>
              </w:rPr>
              <w:t>702,923</w:t>
            </w:r>
          </w:p>
        </w:tc>
      </w:tr>
      <w:tr>
        <w:trPr>
          <w:trHeight w:val="195"/>
        </w:trPr>
        <w:tc>
          <w:tcPr>
            <w:tcW w:w="20" w:type="dxa"/>
            <w:vAlign w:val="bottom"/>
          </w:tcPr>
          <w:p>
            <w:pPr>
              <w:spacing w:after="0"/>
              <w:rPr>
                <w:sz w:val="16"/>
                <w:szCs w:val="16"/>
                <w:color w:val="auto"/>
              </w:rPr>
            </w:pPr>
          </w:p>
        </w:tc>
        <w:tc>
          <w:tcPr>
            <w:tcW w:w="3960" w:type="dxa"/>
            <w:vAlign w:val="bottom"/>
            <w:shd w:val="clear" w:color="auto" w:fill="9DBDE4"/>
          </w:tcPr>
          <w:p>
            <w:pPr>
              <w:ind w:left="100"/>
              <w:spacing w:after="0"/>
              <w:rPr>
                <w:sz w:val="20"/>
                <w:szCs w:val="20"/>
                <w:color w:val="auto"/>
              </w:rPr>
            </w:pPr>
            <w:r>
              <w:rPr>
                <w:rFonts w:ascii="Arial" w:cs="Arial" w:eastAsia="Arial" w:hAnsi="Arial"/>
                <w:sz w:val="17"/>
                <w:szCs w:val="17"/>
                <w:color w:val="auto"/>
              </w:rPr>
              <w:t>All Other Fees</w:t>
            </w:r>
          </w:p>
        </w:tc>
        <w:tc>
          <w:tcPr>
            <w:tcW w:w="3560" w:type="dxa"/>
            <w:vAlign w:val="bottom"/>
            <w:shd w:val="clear" w:color="auto" w:fill="9DBDE4"/>
          </w:tcPr>
          <w:p>
            <w:pPr>
              <w:jc w:val="right"/>
              <w:ind w:right="333"/>
              <w:spacing w:after="0"/>
              <w:rPr>
                <w:sz w:val="20"/>
                <w:szCs w:val="20"/>
                <w:color w:val="auto"/>
              </w:rPr>
            </w:pPr>
            <w:r>
              <w:rPr>
                <w:rFonts w:ascii="Arial" w:cs="Arial" w:eastAsia="Arial" w:hAnsi="Arial"/>
                <w:sz w:val="17"/>
                <w:szCs w:val="17"/>
                <w:color w:val="auto"/>
              </w:rPr>
              <w:t>0</w:t>
            </w:r>
          </w:p>
        </w:tc>
        <w:tc>
          <w:tcPr>
            <w:tcW w:w="1820" w:type="dxa"/>
            <w:vAlign w:val="bottom"/>
            <w:shd w:val="clear" w:color="auto" w:fill="9DBDE4"/>
          </w:tcPr>
          <w:p>
            <w:pPr>
              <w:jc w:val="right"/>
              <w:ind w:right="553"/>
              <w:spacing w:after="0"/>
              <w:rPr>
                <w:sz w:val="20"/>
                <w:szCs w:val="20"/>
                <w:color w:val="auto"/>
              </w:rPr>
            </w:pPr>
            <w:r>
              <w:rPr>
                <w:rFonts w:ascii="Arial" w:cs="Arial" w:eastAsia="Arial" w:hAnsi="Arial"/>
                <w:sz w:val="17"/>
                <w:szCs w:val="17"/>
                <w:color w:val="auto"/>
              </w:rPr>
              <w:t>0</w:t>
            </w:r>
          </w:p>
        </w:tc>
      </w:tr>
      <w:tr>
        <w:trPr>
          <w:trHeight w:val="195"/>
        </w:trPr>
        <w:tc>
          <w:tcPr>
            <w:tcW w:w="20" w:type="dxa"/>
            <w:vAlign w:val="bottom"/>
          </w:tcPr>
          <w:p>
            <w:pPr>
              <w:spacing w:after="0"/>
              <w:rPr>
                <w:sz w:val="16"/>
                <w:szCs w:val="16"/>
                <w:color w:val="auto"/>
              </w:rPr>
            </w:pPr>
          </w:p>
        </w:tc>
        <w:tc>
          <w:tcPr>
            <w:tcW w:w="3960" w:type="dxa"/>
            <w:vAlign w:val="bottom"/>
            <w:tcBorders>
              <w:bottom w:val="single" w:sz="8" w:color="284993"/>
            </w:tcBorders>
          </w:tcPr>
          <w:p>
            <w:pPr>
              <w:ind w:left="100"/>
              <w:spacing w:after="0"/>
              <w:rPr>
                <w:sz w:val="20"/>
                <w:szCs w:val="20"/>
                <w:color w:val="auto"/>
              </w:rPr>
            </w:pPr>
            <w:r>
              <w:rPr>
                <w:rFonts w:ascii="Arial" w:cs="Arial" w:eastAsia="Arial" w:hAnsi="Arial"/>
                <w:sz w:val="17"/>
                <w:szCs w:val="17"/>
                <w:b w:val="1"/>
                <w:bCs w:val="1"/>
                <w:color w:val="auto"/>
              </w:rPr>
              <w:t>Total Fees</w:t>
            </w:r>
          </w:p>
        </w:tc>
        <w:tc>
          <w:tcPr>
            <w:tcW w:w="3560" w:type="dxa"/>
            <w:vAlign w:val="bottom"/>
            <w:tcBorders>
              <w:bottom w:val="single" w:sz="8" w:color="284993"/>
            </w:tcBorders>
          </w:tcPr>
          <w:p>
            <w:pPr>
              <w:jc w:val="right"/>
              <w:ind w:right="333"/>
              <w:spacing w:after="0"/>
              <w:rPr>
                <w:sz w:val="20"/>
                <w:szCs w:val="20"/>
                <w:color w:val="auto"/>
              </w:rPr>
            </w:pPr>
            <w:r>
              <w:rPr>
                <w:rFonts w:ascii="Arial" w:cs="Arial" w:eastAsia="Arial" w:hAnsi="Arial"/>
                <w:sz w:val="17"/>
                <w:szCs w:val="17"/>
                <w:color w:val="auto"/>
              </w:rPr>
              <w:t>4,487,030</w:t>
            </w:r>
          </w:p>
        </w:tc>
        <w:tc>
          <w:tcPr>
            <w:tcW w:w="1820" w:type="dxa"/>
            <w:vAlign w:val="bottom"/>
            <w:tcBorders>
              <w:bottom w:val="single" w:sz="8" w:color="284993"/>
            </w:tcBorders>
          </w:tcPr>
          <w:p>
            <w:pPr>
              <w:jc w:val="right"/>
              <w:ind w:right="553"/>
              <w:spacing w:after="0"/>
              <w:rPr>
                <w:sz w:val="20"/>
                <w:szCs w:val="20"/>
                <w:color w:val="auto"/>
              </w:rPr>
            </w:pPr>
            <w:r>
              <w:rPr>
                <w:rFonts w:ascii="Arial" w:cs="Arial" w:eastAsia="Arial" w:hAnsi="Arial"/>
                <w:sz w:val="17"/>
                <w:szCs w:val="17"/>
                <w:color w:val="auto"/>
              </w:rPr>
              <w:t>4,210,426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4760595</wp:posOffset>
            </wp:positionH>
            <wp:positionV relativeFrom="paragraph">
              <wp:posOffset>-882015</wp:posOffset>
            </wp:positionV>
            <wp:extent cx="8255" cy="8826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82650"/>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-882015</wp:posOffset>
            </wp:positionV>
            <wp:extent cx="8255" cy="8826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82650"/>
                    </a:xfrm>
                    <a:prstGeom prst="rect">
                      <a:avLst/>
                    </a:prstGeom>
                    <a:noFill/>
                  </pic:spPr>
                </pic:pic>
              </a:graphicData>
            </a:graphic>
          </wp:anchor>
        </w:drawing>
      </w:r>
    </w:p>
    <w:p>
      <w:pPr>
        <w:spacing w:after="0" w:line="176"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 This category represents the aggregate fees paid or payable to Deloitte &amp; Touche LLP for professional services rendered</w:t>
      </w:r>
      <w:r>
        <w:rPr>
          <w:rFonts w:ascii="Arial" w:cs="Arial" w:eastAsia="Arial" w:hAnsi="Arial"/>
          <w:sz w:val="16"/>
          <w:szCs w:val="16"/>
          <w:i w:val="1"/>
          <w:iCs w:val="1"/>
          <w:color w:val="auto"/>
        </w:rPr>
        <w:t xml:space="preserve"> </w:t>
      </w:r>
      <w:r>
        <w:rPr>
          <w:rFonts w:ascii="Arial" w:cs="Arial" w:eastAsia="Arial" w:hAnsi="Arial"/>
          <w:sz w:val="16"/>
          <w:szCs w:val="16"/>
          <w:color w:val="auto"/>
        </w:rPr>
        <w:t>for (i) the audit of our annual financial statements and quarterly reviews of ACI’s annual consolidated financial statements for 2023 and 2022, (ii) the audit of the effectiveness of ACI’s internal controls over financial reporting as of December 31, 2023 and December 31, 2022 in accordance with the standards of the PCAOB and (iii) statutory audits of certain subsidiaries.</w:t>
      </w:r>
    </w:p>
    <w:p>
      <w:pPr>
        <w:spacing w:after="0" w:line="181" w:lineRule="exact"/>
        <w:rPr>
          <w:sz w:val="20"/>
          <w:szCs w:val="20"/>
          <w:color w:val="auto"/>
        </w:rPr>
      </w:pPr>
    </w:p>
    <w:p>
      <w:pPr>
        <w:jc w:val="both"/>
        <w:ind w:right="40"/>
        <w:spacing w:after="0" w:line="251" w:lineRule="auto"/>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This category represents the aggregate fees billed by Deloitte &amp; Touche LLP for professional services rendered for</w:t>
      </w:r>
      <w:r>
        <w:rPr>
          <w:rFonts w:ascii="Arial" w:cs="Arial" w:eastAsia="Arial" w:hAnsi="Arial"/>
          <w:sz w:val="16"/>
          <w:szCs w:val="16"/>
          <w:i w:val="1"/>
          <w:iCs w:val="1"/>
          <w:color w:val="auto"/>
        </w:rPr>
        <w:t xml:space="preserve"> </w:t>
      </w:r>
      <w:r>
        <w:rPr>
          <w:rFonts w:ascii="Arial" w:cs="Arial" w:eastAsia="Arial" w:hAnsi="Arial"/>
          <w:sz w:val="16"/>
          <w:szCs w:val="16"/>
          <w:color w:val="auto"/>
        </w:rPr>
        <w:t>assurance and related services that were reasonably related to the performance of the audit or review of ACI’s financial statements that are not reported under “Audit Fees” for 2023 or 2022.</w:t>
      </w:r>
    </w:p>
    <w:p>
      <w:pPr>
        <w:spacing w:after="0" w:line="176"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 This category represents the aggregate fees billed by Deloitte &amp; Touche LLP for tax-related services rendered to ACI for</w:t>
      </w:r>
      <w:r>
        <w:rPr>
          <w:rFonts w:ascii="Arial" w:cs="Arial" w:eastAsia="Arial" w:hAnsi="Arial"/>
          <w:sz w:val="16"/>
          <w:szCs w:val="16"/>
          <w:i w:val="1"/>
          <w:iCs w:val="1"/>
          <w:color w:val="auto"/>
        </w:rPr>
        <w:t xml:space="preserve"> </w:t>
      </w:r>
      <w:r>
        <w:rPr>
          <w:rFonts w:ascii="Arial" w:cs="Arial" w:eastAsia="Arial" w:hAnsi="Arial"/>
          <w:sz w:val="16"/>
          <w:szCs w:val="16"/>
          <w:color w:val="auto"/>
        </w:rPr>
        <w:t>2023 and 2022. Tax fees billed by Deloitte &amp; Touche LLP in 2023 and 2022 consisted of fees for professional services related primarily to tax compliance, planning, advice, and consulting services.</w:t>
      </w:r>
    </w:p>
    <w:p>
      <w:pPr>
        <w:spacing w:after="0" w:line="176"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 There were no other fees billed by Deloitte &amp; Touche LLP for services rendered to ACI during 2023 or 2022,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the services described above under “Audit Fees,” “Audit-Related Fees” and “Tax Fees.”</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25</w:t>
      </w:r>
    </w:p>
    <w:p>
      <w:pPr>
        <w:sectPr>
          <w:pgSz w:w="11900" w:h="16838" w:orient="portrait"/>
          <w:cols w:equalWidth="0" w:num="1">
            <w:col w:w="9360"/>
          </w:cols>
          <w:pgMar w:left="1260" w:top="254" w:right="1279" w:bottom="1440" w:gutter="0" w:footer="0" w:header="0"/>
        </w:sectPr>
      </w:pPr>
    </w:p>
    <w:bookmarkStart w:id="31" w:name="page32"/>
    <w:bookmarkEnd w:id="31"/>
    <w:p>
      <w:pPr>
        <w:ind w:right="40"/>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The Audit Committee has considered whether the provision of the services by Deloitte &amp; Touche LLP as described above in “Tax Fees” is compatible with maintaining the independent registered public accounting firm’s independence.</w:t>
      </w:r>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Pre-Approval of Audit and Non-Audit Services</w:t>
      </w:r>
    </w:p>
    <w:p>
      <w:pPr>
        <w:spacing w:after="0" w:line="124"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We have policies for pre-approval of all audit and non-audit services to be provided to us by our independent registered public accounting firm and its member firms. Under these policies, all audit and non-audit services to be performed by our independent registered public accounting firm must be approved by the Audit Committee in advance. A proposal for audit and non-audit services must include a description and purpose of the services, estimated fees and other terms of the services. To the extent a proposal relates to non-audit services, a determination that such services qualify as permitted non-audit services and an explanation as to why the provision of such services would not impair the independence of our independent registered public accounting firm are also required. Any engagement letter relating to a proposal must be presented to the Audit Committee for review and approval, and the Chair of the Audit Committee may sign, or authorize an officer to sign, such engagement letter.</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All services provided by Deloitte &amp; Touche LLP in 2023 and 2022 were pre-approved by the Audit Committee.</w:t>
      </w:r>
    </w:p>
    <w:p>
      <w:pPr>
        <w:spacing w:after="0" w:line="195"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Vote Required</w:t>
      </w:r>
    </w:p>
    <w:p>
      <w:pPr>
        <w:spacing w:after="0" w:line="124"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The affirmative vote of a majority of the shares represented at the Annual Meeting and actually voting on this proposal is required for the approval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5958205" cy="5372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58205" cy="537210"/>
                    </a:xfrm>
                    <a:prstGeom prst="rect">
                      <a:avLst/>
                    </a:prstGeom>
                    <a:noFill/>
                  </pic:spPr>
                </pic:pic>
              </a:graphicData>
            </a:graphic>
          </wp:anchor>
        </w:drawing>
      </w:r>
    </w:p>
    <w:p>
      <w:pPr>
        <w:spacing w:after="0" w:line="327" w:lineRule="exact"/>
        <w:rPr>
          <w:sz w:val="20"/>
          <w:szCs w:val="20"/>
          <w:color w:val="auto"/>
        </w:rPr>
      </w:pPr>
    </w:p>
    <w:p>
      <w:pPr>
        <w:ind w:left="360" w:right="180"/>
        <w:spacing w:after="0" w:line="257" w:lineRule="auto"/>
        <w:rPr>
          <w:sz w:val="20"/>
          <w:szCs w:val="20"/>
          <w:color w:val="auto"/>
        </w:rPr>
      </w:pPr>
      <w:r>
        <w:rPr>
          <w:rFonts w:ascii="Arial" w:cs="Arial" w:eastAsia="Arial" w:hAnsi="Arial"/>
          <w:sz w:val="16"/>
          <w:szCs w:val="16"/>
          <w:b w:val="1"/>
          <w:bCs w:val="1"/>
          <w:color w:val="284993"/>
        </w:rPr>
        <w:t>OUR BOARD RECOMMENDS THAT STOCKHOLDERS VOTE “FOR” RATIFICATION OF THE APPOINTMENT OF DELOITTE &amp; TOUCHE LLP AS OUR INDEPENDENT REGISTERED PUBLIC ACCOUNTING FIRM FOR THE FISCAL 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145415</wp:posOffset>
            </wp:positionV>
            <wp:extent cx="693420" cy="1320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3420" cy="13208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26</w:t>
      </w:r>
    </w:p>
    <w:p>
      <w:pPr>
        <w:sectPr>
          <w:pgSz w:w="11900" w:h="16838" w:orient="portrait"/>
          <w:cols w:equalWidth="0" w:num="1">
            <w:col w:w="9320"/>
          </w:cols>
          <w:pgMar w:left="1260" w:top="296" w:right="1319" w:bottom="1440" w:gutter="0" w:footer="0" w:header="0"/>
        </w:sectPr>
      </w:pPr>
    </w:p>
    <w:bookmarkStart w:id="32" w:name="page33"/>
    <w:bookmarkEnd w:id="32"/>
    <w:p>
      <w:pPr>
        <w:ind w:left="60" w:right="60" w:firstLine="53"/>
        <w:spacing w:after="0" w:line="281" w:lineRule="auto"/>
        <w:rPr>
          <w:sz w:val="20"/>
          <w:szCs w:val="20"/>
          <w:color w:val="auto"/>
        </w:rPr>
      </w:pPr>
      <w:r>
        <w:rPr>
          <w:rFonts w:ascii="Arial" w:cs="Arial" w:eastAsia="Arial" w:hAnsi="Arial"/>
          <w:sz w:val="51"/>
          <w:szCs w:val="5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Proposal 3 — Advisory Vote to Approve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59410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As required pursuant to Section 14A of the Exchange Act, stockholders are asked to cast an advisory vote on the compensation of our Named Executive Officers as disclosed in this Proxy Statement pursuant to the compensation disclosure rules of the SEC, including the Compensation Discussion and Analysis, the accompanying compensation tables and related narrative disclosures contained in this Proxy Statement. This advisory vote is commonly known as a “say-on-pay” vote.</w:t>
      </w:r>
    </w:p>
    <w:p>
      <w:pPr>
        <w:spacing w:after="0" w:line="181" w:lineRule="exact"/>
        <w:rPr>
          <w:sz w:val="20"/>
          <w:szCs w:val="20"/>
          <w:color w:val="auto"/>
        </w:rPr>
      </w:pPr>
    </w:p>
    <w:p>
      <w:pPr>
        <w:ind w:right="140"/>
        <w:spacing w:after="0" w:line="287" w:lineRule="auto"/>
        <w:rPr>
          <w:sz w:val="20"/>
          <w:szCs w:val="20"/>
          <w:color w:val="auto"/>
        </w:rPr>
      </w:pPr>
      <w:r>
        <w:rPr>
          <w:rFonts w:ascii="Arial" w:cs="Arial" w:eastAsia="Arial" w:hAnsi="Arial"/>
          <w:sz w:val="14"/>
          <w:szCs w:val="14"/>
          <w:color w:val="auto"/>
        </w:rPr>
        <w:t>As described in the Compensation Discussion and Analysis, our executive compensation programs are performance-based programs with a significant portion of each Named Executive Officer’s overall compensation opportunity linked to our annual and long-term financial performance and our long-term relative total shareholder return. The Compensation Committee sets challenging thresholds and target performance levels for each of the metrics in our incentive compensation plans to help ensure that the amounts earned are based upon outstanding performance as measured against pre-established financial, operational and strategic objectives.</w:t>
      </w:r>
    </w:p>
    <w:p>
      <w:pPr>
        <w:spacing w:after="0" w:line="155"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We value the feedback from our stockholders regarding our executive compensation programs. As part of our ongoing shareholder dialogue, we regularly seek feedback on these programs, as well as other important issues. Over the last year we proactively reached out to stockholders representing more than two-thirds of our outstanding shares. For the stockholders that were interested in engaging with us, the feedback from our stockholders has been generally positive. The feedback from our stockholders, and our resulting actions, are described in the Compensation Discussion and Analysis.</w:t>
      </w:r>
    </w:p>
    <w:p>
      <w:pPr>
        <w:spacing w:after="0" w:line="182" w:lineRule="exact"/>
        <w:rPr>
          <w:sz w:val="20"/>
          <w:szCs w:val="20"/>
          <w:color w:val="auto"/>
        </w:rPr>
      </w:pPr>
    </w:p>
    <w:p>
      <w:pPr>
        <w:jc w:val="both"/>
        <w:ind w:right="500"/>
        <w:spacing w:after="0" w:line="251" w:lineRule="auto"/>
        <w:rPr>
          <w:sz w:val="20"/>
          <w:szCs w:val="20"/>
          <w:color w:val="auto"/>
        </w:rPr>
      </w:pPr>
      <w:r>
        <w:rPr>
          <w:rFonts w:ascii="Arial" w:cs="Arial" w:eastAsia="Arial" w:hAnsi="Arial"/>
          <w:sz w:val="16"/>
          <w:szCs w:val="16"/>
          <w:color w:val="auto"/>
        </w:rPr>
        <w:t>We urge our stockholders to read the Compensation Discussion and Analysis, the accompanying compensation tables and other related tables and narrative disclosures, which describe in more detail how our executive compensation policies and procedures operate and are designed to achieve our compensation objectives.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Stockholders are being asked to approve the following resolution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5958205" cy="5784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58205" cy="57848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200" w:right="340"/>
        <w:spacing w:after="0" w:line="304" w:lineRule="auto"/>
        <w:rPr>
          <w:sz w:val="20"/>
          <w:szCs w:val="20"/>
          <w:color w:val="auto"/>
        </w:rPr>
      </w:pPr>
      <w:r>
        <w:rPr>
          <w:rFonts w:ascii="Arial" w:cs="Arial" w:eastAsia="Arial" w:hAnsi="Arial"/>
          <w:sz w:val="14"/>
          <w:szCs w:val="14"/>
          <w:color w:val="284993"/>
        </w:rPr>
        <w:t>RESOLVED, that our stockholders approve, on an advisory basis, the compensation of our Named Executive Officers, as disclosed in this Proxy Statement pursuant to the compensation disclosure rules of the Securities and Exchange Commission, including the Compensation Discussion and Analysis, the accompanying compensation tables and related narrative disclosures.</w:t>
      </w: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Advisory Vote</w:t>
      </w:r>
    </w:p>
    <w:p>
      <w:pPr>
        <w:spacing w:after="0" w:line="124"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As this is an advisory vote, the outcome of the vote is not binding on ACI or the Board. However, we value the opinions expressed by our stockholders and the Compensation Committee will consider the outcome of the vote when making future executive compensation decisions. Currently, advisory say-on-pay votes are scheduled to be held once every year. It is anticipated that our next say-on-pay vote will occur at our 2025 Annual Meeting of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Vote Required</w:t>
      </w:r>
    </w:p>
    <w:p>
      <w:pPr>
        <w:spacing w:after="0" w:line="124"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color w:val="auto"/>
        </w:rPr>
        <w:t>The affirmative vote of a majority of the shares represented at the Annual Meeting and actually voting on this proposal is required for the approval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5958205" cy="4629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58205" cy="462915"/>
                    </a:xfrm>
                    <a:prstGeom prst="rect">
                      <a:avLst/>
                    </a:prstGeom>
                    <a:noFill/>
                  </pic:spPr>
                </pic:pic>
              </a:graphicData>
            </a:graphic>
          </wp:anchor>
        </w:drawing>
      </w:r>
    </w:p>
    <w:p>
      <w:pPr>
        <w:spacing w:after="0" w:line="379" w:lineRule="exact"/>
        <w:rPr>
          <w:sz w:val="20"/>
          <w:szCs w:val="20"/>
          <w:color w:val="auto"/>
        </w:rPr>
      </w:pPr>
    </w:p>
    <w:p>
      <w:pPr>
        <w:ind w:left="200" w:right="860"/>
        <w:spacing w:after="0" w:line="277" w:lineRule="auto"/>
        <w:rPr>
          <w:sz w:val="20"/>
          <w:szCs w:val="20"/>
          <w:color w:val="auto"/>
        </w:rPr>
      </w:pPr>
      <w:r>
        <w:rPr>
          <w:rFonts w:ascii="Arial" w:cs="Arial" w:eastAsia="Arial" w:hAnsi="Arial"/>
          <w:sz w:val="16"/>
          <w:szCs w:val="16"/>
          <w:b w:val="1"/>
          <w:bCs w:val="1"/>
          <w:color w:val="284993"/>
        </w:rPr>
        <w:t>OUR BOARD RECOMMENDS THAT STOCKHOLDERS VOTE “FOR” THE ADVISORY VOTE TO APPROVE NAMED EXECUTIVE OFFICER COMPENSATION AS DISCLOSED IN THIS PROXY STATEMENT.</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27</w:t>
      </w:r>
    </w:p>
    <w:p>
      <w:pPr>
        <w:sectPr>
          <w:pgSz w:w="11900" w:h="16838" w:orient="portrait"/>
          <w:cols w:equalWidth="0" w:num="1">
            <w:col w:w="9360"/>
          </w:cols>
          <w:pgMar w:left="1260" w:top="254" w:right="1279" w:bottom="1440" w:gutter="0" w:footer="0" w:header="0"/>
        </w:sectPr>
      </w:pPr>
    </w:p>
    <w:bookmarkStart w:id="33" w:name="page34"/>
    <w:bookmarkEnd w:id="33"/>
    <w:p>
      <w:pPr>
        <w:jc w:val="center"/>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Information Regarding Security</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52"/>
          <w:szCs w:val="52"/>
          <w:color w:val="auto"/>
        </w:rPr>
        <w:t>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224155</wp:posOffset>
            </wp:positionV>
            <wp:extent cx="59410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the beneficial ownership of our common stock as of March 31, 2024 by</w:t>
      </w:r>
    </w:p>
    <w:p>
      <w:pPr>
        <w:spacing w:after="0" w:line="12" w:lineRule="exact"/>
        <w:rPr>
          <w:sz w:val="20"/>
          <w:szCs w:val="20"/>
          <w:color w:val="auto"/>
        </w:rPr>
      </w:pPr>
    </w:p>
    <w:p>
      <w:pPr>
        <w:ind w:left="180" w:hanging="174"/>
        <w:spacing w:after="0"/>
        <w:tabs>
          <w:tab w:leader="none" w:pos="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each of our directors, (ii) each of our Named Executive Officers (as defined in the “Compensation Discussion and Analysis” below),</w:t>
      </w:r>
    </w:p>
    <w:p>
      <w:pPr>
        <w:spacing w:after="0" w:line="20" w:lineRule="exact"/>
        <w:rPr>
          <w:rFonts w:ascii="Arial" w:cs="Arial" w:eastAsia="Arial" w:hAnsi="Arial"/>
          <w:sz w:val="14"/>
          <w:szCs w:val="14"/>
          <w:color w:val="auto"/>
        </w:rPr>
      </w:pPr>
    </w:p>
    <w:p>
      <w:pPr>
        <w:ind w:right="40" w:firstLine="6"/>
        <w:spacing w:after="0" w:line="277" w:lineRule="auto"/>
        <w:tabs>
          <w:tab w:leader="none" w:pos="251" w:val="left"/>
        </w:tabs>
        <w:numPr>
          <w:ilvl w:val="0"/>
          <w:numId w:val="20"/>
        </w:numPr>
        <w:rPr>
          <w:rFonts w:ascii="Arial" w:cs="Arial" w:eastAsia="Arial" w:hAnsi="Arial"/>
          <w:sz w:val="14"/>
          <w:szCs w:val="14"/>
          <w:color w:val="auto"/>
        </w:rPr>
      </w:pPr>
      <w:r>
        <w:rPr>
          <w:rFonts w:ascii="Arial" w:cs="Arial" w:eastAsia="Arial" w:hAnsi="Arial"/>
          <w:sz w:val="14"/>
          <w:szCs w:val="14"/>
          <w:color w:val="auto"/>
        </w:rPr>
        <w:t>all of our executive officers and directors as a group, and (iv) each person known by us to beneficially own more than 5% of the outstanding shares of our common stock. The percentages in these tables are based on 106,412,716 outstanding shares of common stock as of March 31, 2024. Beneficial ownership is determined in accordance with the rules of the SEC and generally includes voting and/or investment power with respect to the securities. In computing the number of shares beneficially owned by a person and the percentage ownership of that person, shares underlying options held by that person that will be exercisable within 60 days of March 31, 2024 and shares underlying other equity awards that will vest within 60 days of March 31, 2024 are deemed to be outstanding. Such shares, however, are not deemed to be outstanding for the purpose of computing the percentage ownership of any other person. The following table does not include shares underlying rTSR Performance Share Awards (as defined below) that are subject to vesting to the extent that performance objectives are achieved. No family relationships exist among our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243205</wp:posOffset>
            </wp:positionV>
            <wp:extent cx="8255" cy="41586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4158615"/>
                    </a:xfrm>
                    <a:prstGeom prst="rect">
                      <a:avLst/>
                    </a:prstGeom>
                    <a:noFill/>
                  </pic:spPr>
                </pic:pic>
              </a:graphicData>
            </a:graphic>
          </wp:anchor>
        </w:drawing>
        <w:drawing>
          <wp:anchor simplePos="0" relativeHeight="251657728" behindDoc="1" locked="0" layoutInCell="0" allowOverlap="1">
            <wp:simplePos x="0" y="0"/>
            <wp:positionH relativeFrom="column">
              <wp:posOffset>4645025</wp:posOffset>
            </wp:positionH>
            <wp:positionV relativeFrom="paragraph">
              <wp:posOffset>243205</wp:posOffset>
            </wp:positionV>
            <wp:extent cx="8255" cy="41586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4158615"/>
                    </a:xfrm>
                    <a:prstGeom prst="rect">
                      <a:avLst/>
                    </a:prstGeom>
                    <a:noFill/>
                  </pic:spPr>
                </pic:pic>
              </a:graphicData>
            </a:graphic>
          </wp:anchor>
        </w:drawing>
        <w:drawing>
          <wp:anchor simplePos="0" relativeHeight="251657728" behindDoc="1" locked="0" layoutInCell="0" allowOverlap="1">
            <wp:simplePos x="0" y="0"/>
            <wp:positionH relativeFrom="column">
              <wp:posOffset>3688080</wp:posOffset>
            </wp:positionH>
            <wp:positionV relativeFrom="paragraph">
              <wp:posOffset>243205</wp:posOffset>
            </wp:positionV>
            <wp:extent cx="8255" cy="41586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415861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243205</wp:posOffset>
            </wp:positionV>
            <wp:extent cx="8255" cy="41586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4158615"/>
                    </a:xfrm>
                    <a:prstGeom prst="rect">
                      <a:avLst/>
                    </a:prstGeom>
                    <a:noFill/>
                  </pic:spPr>
                </pic:pic>
              </a:graphicData>
            </a:graphic>
          </wp:anchor>
        </w:drawing>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shd w:val="clear" w:color="auto" w:fill="284993"/>
          </w:tcPr>
          <w:p>
            <w:pPr>
              <w:spacing w:after="0"/>
              <w:rPr>
                <w:sz w:val="14"/>
                <w:szCs w:val="14"/>
                <w:color w:val="auto"/>
              </w:rPr>
            </w:pPr>
          </w:p>
        </w:tc>
        <w:tc>
          <w:tcPr>
            <w:tcW w:w="1660" w:type="dxa"/>
            <w:vAlign w:val="bottom"/>
            <w:shd w:val="clear" w:color="auto" w:fill="284993"/>
          </w:tcPr>
          <w:p>
            <w:pPr>
              <w:spacing w:after="0"/>
              <w:rPr>
                <w:sz w:val="14"/>
                <w:szCs w:val="14"/>
                <w:color w:val="auto"/>
              </w:rPr>
            </w:pPr>
          </w:p>
        </w:tc>
        <w:tc>
          <w:tcPr>
            <w:tcW w:w="152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w w:val="99"/>
              </w:rPr>
              <w:t>Number of Shares</w:t>
            </w:r>
          </w:p>
        </w:tc>
        <w:tc>
          <w:tcPr>
            <w:tcW w:w="1160" w:type="dxa"/>
            <w:vAlign w:val="bottom"/>
            <w:shd w:val="clear" w:color="auto" w:fill="284993"/>
          </w:tcPr>
          <w:p>
            <w:pPr>
              <w:spacing w:after="0"/>
              <w:rPr>
                <w:sz w:val="14"/>
                <w:szCs w:val="14"/>
                <w:color w:val="auto"/>
              </w:rPr>
            </w:pPr>
          </w:p>
        </w:tc>
        <w:tc>
          <w:tcPr>
            <w:tcW w:w="880" w:type="dxa"/>
            <w:vAlign w:val="bottom"/>
            <w:shd w:val="clear" w:color="auto" w:fill="284993"/>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120" w:type="dxa"/>
            <w:vAlign w:val="bottom"/>
            <w:shd w:val="clear" w:color="auto" w:fill="284993"/>
          </w:tcPr>
          <w:p>
            <w:pPr>
              <w:spacing w:after="0"/>
              <w:rPr>
                <w:sz w:val="13"/>
                <w:szCs w:val="13"/>
                <w:color w:val="auto"/>
              </w:rPr>
            </w:pPr>
          </w:p>
        </w:tc>
        <w:tc>
          <w:tcPr>
            <w:tcW w:w="1660" w:type="dxa"/>
            <w:vAlign w:val="bottom"/>
            <w:shd w:val="clear" w:color="auto" w:fill="284993"/>
          </w:tcPr>
          <w:p>
            <w:pPr>
              <w:spacing w:after="0"/>
              <w:rPr>
                <w:sz w:val="13"/>
                <w:szCs w:val="13"/>
                <w:color w:val="auto"/>
              </w:rPr>
            </w:pPr>
          </w:p>
        </w:tc>
        <w:tc>
          <w:tcPr>
            <w:tcW w:w="1520" w:type="dxa"/>
            <w:vAlign w:val="bottom"/>
            <w:shd w:val="clear" w:color="auto" w:fill="284993"/>
          </w:tcPr>
          <w:p>
            <w:pPr>
              <w:jc w:val="center"/>
              <w:spacing w:after="0" w:line="156" w:lineRule="exact"/>
              <w:rPr>
                <w:sz w:val="20"/>
                <w:szCs w:val="20"/>
                <w:color w:val="auto"/>
              </w:rPr>
            </w:pPr>
            <w:r>
              <w:rPr>
                <w:rFonts w:ascii="Arial" w:cs="Arial" w:eastAsia="Arial" w:hAnsi="Arial"/>
                <w:sz w:val="14"/>
                <w:szCs w:val="14"/>
                <w:b w:val="1"/>
                <w:bCs w:val="1"/>
                <w:color w:val="FFFFFF"/>
              </w:rPr>
              <w:t>Subject to</w:t>
            </w:r>
          </w:p>
        </w:tc>
        <w:tc>
          <w:tcPr>
            <w:tcW w:w="1160" w:type="dxa"/>
            <w:vAlign w:val="bottom"/>
            <w:shd w:val="clear" w:color="auto" w:fill="284993"/>
          </w:tcPr>
          <w:p>
            <w:pPr>
              <w:spacing w:after="0"/>
              <w:rPr>
                <w:sz w:val="13"/>
                <w:szCs w:val="13"/>
                <w:color w:val="auto"/>
              </w:rPr>
            </w:pPr>
          </w:p>
        </w:tc>
        <w:tc>
          <w:tcPr>
            <w:tcW w:w="880" w:type="dxa"/>
            <w:vAlign w:val="bottom"/>
            <w:shd w:val="clear" w:color="auto" w:fill="284993"/>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120" w:type="dxa"/>
            <w:vAlign w:val="bottom"/>
            <w:shd w:val="clear" w:color="auto" w:fill="284993"/>
          </w:tcPr>
          <w:p>
            <w:pPr>
              <w:spacing w:after="0"/>
              <w:rPr>
                <w:sz w:val="13"/>
                <w:szCs w:val="13"/>
                <w:color w:val="auto"/>
              </w:rPr>
            </w:pPr>
          </w:p>
        </w:tc>
        <w:tc>
          <w:tcPr>
            <w:tcW w:w="1660" w:type="dxa"/>
            <w:vAlign w:val="bottom"/>
            <w:shd w:val="clear" w:color="auto" w:fill="284993"/>
          </w:tcPr>
          <w:p>
            <w:pPr>
              <w:spacing w:after="0"/>
              <w:rPr>
                <w:sz w:val="13"/>
                <w:szCs w:val="13"/>
                <w:color w:val="auto"/>
              </w:rPr>
            </w:pPr>
          </w:p>
        </w:tc>
        <w:tc>
          <w:tcPr>
            <w:tcW w:w="1520" w:type="dxa"/>
            <w:vAlign w:val="bottom"/>
            <w:shd w:val="clear" w:color="auto" w:fill="284993"/>
          </w:tcPr>
          <w:p>
            <w:pPr>
              <w:jc w:val="center"/>
              <w:spacing w:after="0" w:line="156" w:lineRule="exact"/>
              <w:rPr>
                <w:sz w:val="20"/>
                <w:szCs w:val="20"/>
                <w:color w:val="auto"/>
              </w:rPr>
            </w:pPr>
            <w:r>
              <w:rPr>
                <w:rFonts w:ascii="Arial" w:cs="Arial" w:eastAsia="Arial" w:hAnsi="Arial"/>
                <w:sz w:val="14"/>
                <w:szCs w:val="14"/>
                <w:b w:val="1"/>
                <w:bCs w:val="1"/>
                <w:color w:val="FFFFFF"/>
                <w:w w:val="99"/>
              </w:rPr>
              <w:t>Currently</w:t>
            </w:r>
          </w:p>
        </w:tc>
        <w:tc>
          <w:tcPr>
            <w:tcW w:w="1160" w:type="dxa"/>
            <w:vAlign w:val="bottom"/>
            <w:shd w:val="clear" w:color="auto" w:fill="284993"/>
          </w:tcPr>
          <w:p>
            <w:pPr>
              <w:spacing w:after="0"/>
              <w:rPr>
                <w:sz w:val="13"/>
                <w:szCs w:val="13"/>
                <w:color w:val="auto"/>
              </w:rPr>
            </w:pPr>
          </w:p>
        </w:tc>
        <w:tc>
          <w:tcPr>
            <w:tcW w:w="880" w:type="dxa"/>
            <w:vAlign w:val="bottom"/>
            <w:shd w:val="clear" w:color="auto" w:fill="284993"/>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120" w:type="dxa"/>
            <w:vAlign w:val="bottom"/>
            <w:shd w:val="clear" w:color="auto" w:fill="284993"/>
          </w:tcPr>
          <w:p>
            <w:pPr>
              <w:spacing w:after="0"/>
              <w:rPr>
                <w:sz w:val="13"/>
                <w:szCs w:val="13"/>
                <w:color w:val="auto"/>
              </w:rPr>
            </w:pPr>
          </w:p>
        </w:tc>
        <w:tc>
          <w:tcPr>
            <w:tcW w:w="1660" w:type="dxa"/>
            <w:vAlign w:val="bottom"/>
            <w:shd w:val="clear" w:color="auto" w:fill="284993"/>
          </w:tcPr>
          <w:p>
            <w:pPr>
              <w:spacing w:after="0"/>
              <w:rPr>
                <w:sz w:val="13"/>
                <w:szCs w:val="13"/>
                <w:color w:val="auto"/>
              </w:rPr>
            </w:pPr>
          </w:p>
        </w:tc>
        <w:tc>
          <w:tcPr>
            <w:tcW w:w="1520" w:type="dxa"/>
            <w:vAlign w:val="bottom"/>
            <w:shd w:val="clear" w:color="auto" w:fill="284993"/>
          </w:tcPr>
          <w:p>
            <w:pPr>
              <w:jc w:val="center"/>
              <w:spacing w:after="0" w:line="156" w:lineRule="exact"/>
              <w:rPr>
                <w:sz w:val="20"/>
                <w:szCs w:val="20"/>
                <w:color w:val="auto"/>
              </w:rPr>
            </w:pPr>
            <w:r>
              <w:rPr>
                <w:rFonts w:ascii="Arial" w:cs="Arial" w:eastAsia="Arial" w:hAnsi="Arial"/>
                <w:sz w:val="14"/>
                <w:szCs w:val="14"/>
                <w:b w:val="1"/>
                <w:bCs w:val="1"/>
                <w:color w:val="FFFFFF"/>
                <w:w w:val="97"/>
              </w:rPr>
              <w:t>Exercisable</w:t>
            </w:r>
          </w:p>
        </w:tc>
        <w:tc>
          <w:tcPr>
            <w:tcW w:w="1160" w:type="dxa"/>
            <w:vAlign w:val="bottom"/>
            <w:shd w:val="clear" w:color="auto" w:fill="284993"/>
          </w:tcPr>
          <w:p>
            <w:pPr>
              <w:spacing w:after="0"/>
              <w:rPr>
                <w:sz w:val="13"/>
                <w:szCs w:val="13"/>
                <w:color w:val="auto"/>
              </w:rPr>
            </w:pPr>
          </w:p>
        </w:tc>
        <w:tc>
          <w:tcPr>
            <w:tcW w:w="880" w:type="dxa"/>
            <w:vAlign w:val="bottom"/>
            <w:shd w:val="clear" w:color="auto" w:fill="284993"/>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120" w:type="dxa"/>
            <w:vAlign w:val="bottom"/>
            <w:shd w:val="clear" w:color="auto" w:fill="284993"/>
          </w:tcPr>
          <w:p>
            <w:pPr>
              <w:spacing w:after="0"/>
              <w:rPr>
                <w:sz w:val="13"/>
                <w:szCs w:val="13"/>
                <w:color w:val="auto"/>
              </w:rPr>
            </w:pPr>
          </w:p>
        </w:tc>
        <w:tc>
          <w:tcPr>
            <w:tcW w:w="1660" w:type="dxa"/>
            <w:vAlign w:val="bottom"/>
            <w:shd w:val="clear" w:color="auto" w:fill="284993"/>
          </w:tcPr>
          <w:p>
            <w:pPr>
              <w:spacing w:after="0"/>
              <w:rPr>
                <w:sz w:val="13"/>
                <w:szCs w:val="13"/>
                <w:color w:val="auto"/>
              </w:rPr>
            </w:pPr>
          </w:p>
        </w:tc>
        <w:tc>
          <w:tcPr>
            <w:tcW w:w="1520" w:type="dxa"/>
            <w:vAlign w:val="bottom"/>
            <w:shd w:val="clear" w:color="auto" w:fill="284993"/>
          </w:tcPr>
          <w:p>
            <w:pPr>
              <w:jc w:val="center"/>
              <w:spacing w:after="0" w:line="156" w:lineRule="exact"/>
              <w:rPr>
                <w:sz w:val="20"/>
                <w:szCs w:val="20"/>
                <w:color w:val="auto"/>
              </w:rPr>
            </w:pPr>
            <w:r>
              <w:rPr>
                <w:rFonts w:ascii="Arial" w:cs="Arial" w:eastAsia="Arial" w:hAnsi="Arial"/>
                <w:sz w:val="14"/>
                <w:szCs w:val="14"/>
                <w:b w:val="1"/>
                <w:bCs w:val="1"/>
                <w:color w:val="FFFFFF"/>
                <w:w w:val="98"/>
              </w:rPr>
              <w:t>Options</w:t>
            </w:r>
          </w:p>
        </w:tc>
        <w:tc>
          <w:tcPr>
            <w:tcW w:w="1160" w:type="dxa"/>
            <w:vAlign w:val="bottom"/>
            <w:shd w:val="clear" w:color="auto" w:fill="284993"/>
          </w:tcPr>
          <w:p>
            <w:pPr>
              <w:spacing w:after="0"/>
              <w:rPr>
                <w:sz w:val="13"/>
                <w:szCs w:val="13"/>
                <w:color w:val="auto"/>
              </w:rPr>
            </w:pPr>
          </w:p>
        </w:tc>
        <w:tc>
          <w:tcPr>
            <w:tcW w:w="880" w:type="dxa"/>
            <w:vAlign w:val="bottom"/>
            <w:shd w:val="clear" w:color="auto" w:fill="284993"/>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120" w:type="dxa"/>
            <w:vAlign w:val="bottom"/>
            <w:shd w:val="clear" w:color="auto" w:fill="284993"/>
          </w:tcPr>
          <w:p>
            <w:pPr>
              <w:spacing w:after="0"/>
              <w:rPr>
                <w:sz w:val="13"/>
                <w:szCs w:val="13"/>
                <w:color w:val="auto"/>
              </w:rPr>
            </w:pPr>
          </w:p>
        </w:tc>
        <w:tc>
          <w:tcPr>
            <w:tcW w:w="1660" w:type="dxa"/>
            <w:vAlign w:val="bottom"/>
            <w:shd w:val="clear" w:color="auto" w:fill="284993"/>
          </w:tcPr>
          <w:p>
            <w:pPr>
              <w:spacing w:after="0"/>
              <w:rPr>
                <w:sz w:val="13"/>
                <w:szCs w:val="13"/>
                <w:color w:val="auto"/>
              </w:rPr>
            </w:pPr>
          </w:p>
        </w:tc>
        <w:tc>
          <w:tcPr>
            <w:tcW w:w="1520" w:type="dxa"/>
            <w:vAlign w:val="bottom"/>
            <w:shd w:val="clear" w:color="auto" w:fill="284993"/>
          </w:tcPr>
          <w:p>
            <w:pPr>
              <w:jc w:val="center"/>
              <w:spacing w:after="0" w:line="156" w:lineRule="exact"/>
              <w:rPr>
                <w:sz w:val="20"/>
                <w:szCs w:val="20"/>
                <w:color w:val="auto"/>
              </w:rPr>
            </w:pPr>
            <w:r>
              <w:rPr>
                <w:rFonts w:ascii="Arial" w:cs="Arial" w:eastAsia="Arial" w:hAnsi="Arial"/>
                <w:sz w:val="14"/>
                <w:szCs w:val="14"/>
                <w:b w:val="1"/>
                <w:bCs w:val="1"/>
                <w:color w:val="FFFFFF"/>
                <w:w w:val="98"/>
              </w:rPr>
              <w:t>or Which May be</w:t>
            </w:r>
          </w:p>
        </w:tc>
        <w:tc>
          <w:tcPr>
            <w:tcW w:w="1160" w:type="dxa"/>
            <w:vAlign w:val="bottom"/>
            <w:shd w:val="clear" w:color="auto" w:fill="284993"/>
          </w:tcPr>
          <w:p>
            <w:pPr>
              <w:jc w:val="center"/>
              <w:spacing w:after="0" w:line="156" w:lineRule="exact"/>
              <w:rPr>
                <w:sz w:val="20"/>
                <w:szCs w:val="20"/>
                <w:color w:val="auto"/>
              </w:rPr>
            </w:pPr>
            <w:r>
              <w:rPr>
                <w:rFonts w:ascii="Arial" w:cs="Arial" w:eastAsia="Arial" w:hAnsi="Arial"/>
                <w:sz w:val="14"/>
                <w:szCs w:val="14"/>
                <w:b w:val="1"/>
                <w:bCs w:val="1"/>
                <w:color w:val="FFFFFF"/>
                <w:w w:val="97"/>
              </w:rPr>
              <w:t>Total Shares</w:t>
            </w:r>
          </w:p>
        </w:tc>
        <w:tc>
          <w:tcPr>
            <w:tcW w:w="880" w:type="dxa"/>
            <w:vAlign w:val="bottom"/>
            <w:shd w:val="clear" w:color="auto" w:fill="284993"/>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4120" w:type="dxa"/>
            <w:vAlign w:val="bottom"/>
            <w:shd w:val="clear" w:color="auto" w:fill="284993"/>
          </w:tcPr>
          <w:p>
            <w:pPr>
              <w:spacing w:after="0"/>
              <w:rPr>
                <w:sz w:val="13"/>
                <w:szCs w:val="13"/>
                <w:color w:val="auto"/>
              </w:rPr>
            </w:pPr>
          </w:p>
        </w:tc>
        <w:tc>
          <w:tcPr>
            <w:tcW w:w="1660" w:type="dxa"/>
            <w:vAlign w:val="bottom"/>
            <w:shd w:val="clear" w:color="auto" w:fill="284993"/>
          </w:tcPr>
          <w:p>
            <w:pPr>
              <w:jc w:val="right"/>
              <w:ind w:right="83"/>
              <w:spacing w:after="0" w:line="152" w:lineRule="exact"/>
              <w:rPr>
                <w:sz w:val="20"/>
                <w:szCs w:val="20"/>
                <w:color w:val="auto"/>
              </w:rPr>
            </w:pPr>
            <w:r>
              <w:rPr>
                <w:rFonts w:ascii="Arial" w:cs="Arial" w:eastAsia="Arial" w:hAnsi="Arial"/>
                <w:sz w:val="14"/>
                <w:szCs w:val="14"/>
                <w:b w:val="1"/>
                <w:bCs w:val="1"/>
                <w:color w:val="FFFFFF"/>
              </w:rPr>
              <w:t>Number of Shares</w:t>
            </w:r>
          </w:p>
        </w:tc>
        <w:tc>
          <w:tcPr>
            <w:tcW w:w="1520" w:type="dxa"/>
            <w:vAlign w:val="bottom"/>
            <w:shd w:val="clear" w:color="auto" w:fill="284993"/>
          </w:tcPr>
          <w:p>
            <w:pPr>
              <w:jc w:val="center"/>
              <w:spacing w:after="0" w:line="152" w:lineRule="exact"/>
              <w:rPr>
                <w:sz w:val="20"/>
                <w:szCs w:val="20"/>
                <w:color w:val="auto"/>
              </w:rPr>
            </w:pPr>
            <w:r>
              <w:rPr>
                <w:rFonts w:ascii="Arial" w:cs="Arial" w:eastAsia="Arial" w:hAnsi="Arial"/>
                <w:sz w:val="14"/>
                <w:szCs w:val="14"/>
                <w:b w:val="1"/>
                <w:bCs w:val="1"/>
                <w:color w:val="FFFFFF"/>
                <w:w w:val="98"/>
              </w:rPr>
              <w:t>Acquired Within</w:t>
            </w:r>
          </w:p>
        </w:tc>
        <w:tc>
          <w:tcPr>
            <w:tcW w:w="1160" w:type="dxa"/>
            <w:vAlign w:val="bottom"/>
            <w:shd w:val="clear" w:color="auto" w:fill="284993"/>
          </w:tcPr>
          <w:p>
            <w:pPr>
              <w:jc w:val="center"/>
              <w:spacing w:after="0" w:line="152" w:lineRule="exact"/>
              <w:rPr>
                <w:sz w:val="20"/>
                <w:szCs w:val="20"/>
                <w:color w:val="auto"/>
              </w:rPr>
            </w:pPr>
            <w:r>
              <w:rPr>
                <w:rFonts w:ascii="Arial" w:cs="Arial" w:eastAsia="Arial" w:hAnsi="Arial"/>
                <w:sz w:val="14"/>
                <w:szCs w:val="14"/>
                <w:b w:val="1"/>
                <w:bCs w:val="1"/>
                <w:color w:val="FFFFFF"/>
              </w:rPr>
              <w:t>Beneficially</w:t>
            </w:r>
          </w:p>
        </w:tc>
        <w:tc>
          <w:tcPr>
            <w:tcW w:w="880" w:type="dxa"/>
            <w:vAlign w:val="bottom"/>
            <w:shd w:val="clear" w:color="auto" w:fill="284993"/>
          </w:tcPr>
          <w:p>
            <w:pPr>
              <w:spacing w:after="0"/>
              <w:rPr>
                <w:sz w:val="13"/>
                <w:szCs w:val="13"/>
                <w:color w:val="auto"/>
              </w:rPr>
            </w:pPr>
          </w:p>
        </w:tc>
      </w:tr>
      <w:tr>
        <w:trPr>
          <w:trHeight w:val="182"/>
        </w:trPr>
        <w:tc>
          <w:tcPr>
            <w:tcW w:w="20" w:type="dxa"/>
            <w:vAlign w:val="bottom"/>
          </w:tcPr>
          <w:p>
            <w:pPr>
              <w:spacing w:after="0"/>
              <w:rPr>
                <w:sz w:val="15"/>
                <w:szCs w:val="15"/>
                <w:color w:val="auto"/>
              </w:rPr>
            </w:pPr>
          </w:p>
        </w:tc>
        <w:tc>
          <w:tcPr>
            <w:tcW w:w="4120" w:type="dxa"/>
            <w:vAlign w:val="bottom"/>
            <w:shd w:val="clear" w:color="auto" w:fill="284993"/>
          </w:tcPr>
          <w:p>
            <w:pPr>
              <w:spacing w:after="0" w:line="182" w:lineRule="exact"/>
              <w:rPr>
                <w:sz w:val="20"/>
                <w:szCs w:val="20"/>
                <w:color w:val="auto"/>
              </w:rPr>
            </w:pPr>
            <w:r>
              <w:rPr>
                <w:rFonts w:ascii="Arial" w:cs="Arial" w:eastAsia="Arial" w:hAnsi="Arial"/>
                <w:sz w:val="14"/>
                <w:szCs w:val="14"/>
                <w:b w:val="1"/>
                <w:bCs w:val="1"/>
                <w:color w:val="FFFFFF"/>
              </w:rPr>
              <w:t>   Beneficial Owner</w:t>
            </w:r>
            <w:r>
              <w:rPr>
                <w:rFonts w:ascii="Arial" w:cs="Arial" w:eastAsia="Arial" w:hAnsi="Arial"/>
                <w:sz w:val="20"/>
                <w:szCs w:val="20"/>
                <w:b w:val="1"/>
                <w:bCs w:val="1"/>
                <w:color w:val="FFFFFF"/>
                <w:vertAlign w:val="superscript"/>
              </w:rPr>
              <w:t>(1)</w:t>
            </w:r>
          </w:p>
        </w:tc>
        <w:tc>
          <w:tcPr>
            <w:tcW w:w="1660" w:type="dxa"/>
            <w:vAlign w:val="bottom"/>
            <w:shd w:val="clear" w:color="auto" w:fill="284993"/>
          </w:tcPr>
          <w:p>
            <w:pPr>
              <w:jc w:val="right"/>
              <w:ind w:right="163"/>
              <w:spacing w:after="0"/>
              <w:rPr>
                <w:sz w:val="20"/>
                <w:szCs w:val="20"/>
                <w:color w:val="auto"/>
              </w:rPr>
            </w:pPr>
            <w:r>
              <w:rPr>
                <w:rFonts w:ascii="Arial" w:cs="Arial" w:eastAsia="Arial" w:hAnsi="Arial"/>
                <w:sz w:val="14"/>
                <w:szCs w:val="14"/>
                <w:b w:val="1"/>
                <w:bCs w:val="1"/>
                <w:color w:val="FFFFFF"/>
              </w:rPr>
              <w:t>Directly Owned</w:t>
            </w:r>
          </w:p>
        </w:tc>
        <w:tc>
          <w:tcPr>
            <w:tcW w:w="1520" w:type="dxa"/>
            <w:vAlign w:val="bottom"/>
            <w:shd w:val="clear" w:color="auto" w:fill="284993"/>
          </w:tcPr>
          <w:p>
            <w:pPr>
              <w:jc w:val="center"/>
              <w:spacing w:after="0" w:line="182" w:lineRule="exact"/>
              <w:rPr>
                <w:sz w:val="20"/>
                <w:szCs w:val="20"/>
                <w:color w:val="auto"/>
              </w:rPr>
            </w:pPr>
            <w:r>
              <w:rPr>
                <w:rFonts w:ascii="Arial" w:cs="Arial" w:eastAsia="Arial" w:hAnsi="Arial"/>
                <w:sz w:val="14"/>
                <w:szCs w:val="14"/>
                <w:b w:val="1"/>
                <w:bCs w:val="1"/>
                <w:color w:val="FFFFFF"/>
                <w:w w:val="92"/>
              </w:rPr>
              <w:t>60 Days</w:t>
            </w:r>
            <w:r>
              <w:rPr>
                <w:rFonts w:ascii="Arial" w:cs="Arial" w:eastAsia="Arial" w:hAnsi="Arial"/>
                <w:sz w:val="20"/>
                <w:szCs w:val="20"/>
                <w:b w:val="1"/>
                <w:bCs w:val="1"/>
                <w:color w:val="FFFFFF"/>
                <w:w w:val="92"/>
                <w:vertAlign w:val="superscript"/>
              </w:rPr>
              <w:t>(2)</w:t>
            </w:r>
          </w:p>
        </w:tc>
        <w:tc>
          <w:tcPr>
            <w:tcW w:w="116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w w:val="98"/>
              </w:rPr>
              <w:t>Owned</w:t>
            </w:r>
          </w:p>
        </w:tc>
        <w:tc>
          <w:tcPr>
            <w:tcW w:w="880" w:type="dxa"/>
            <w:vAlign w:val="bottom"/>
            <w:shd w:val="clear" w:color="auto" w:fill="284993"/>
          </w:tcPr>
          <w:p>
            <w:pPr>
              <w:jc w:val="right"/>
              <w:ind w:right="123"/>
              <w:spacing w:after="0"/>
              <w:rPr>
                <w:sz w:val="20"/>
                <w:szCs w:val="20"/>
                <w:color w:val="auto"/>
              </w:rPr>
            </w:pPr>
            <w:r>
              <w:rPr>
                <w:rFonts w:ascii="Arial" w:cs="Arial" w:eastAsia="Arial" w:hAnsi="Arial"/>
                <w:sz w:val="14"/>
                <w:szCs w:val="14"/>
                <w:b w:val="1"/>
                <w:bCs w:val="1"/>
                <w:color w:val="FFFFFF"/>
              </w:rPr>
              <w:t>Percent</w:t>
            </w:r>
          </w:p>
        </w:tc>
      </w:tr>
      <w:tr>
        <w:trPr>
          <w:trHeight w:val="208"/>
        </w:trPr>
        <w:tc>
          <w:tcPr>
            <w:tcW w:w="20" w:type="dxa"/>
            <w:vAlign w:val="bottom"/>
          </w:tcPr>
          <w:p>
            <w:pPr>
              <w:spacing w:after="0"/>
              <w:rPr>
                <w:sz w:val="18"/>
                <w:szCs w:val="18"/>
                <w:color w:val="auto"/>
              </w:rPr>
            </w:pPr>
          </w:p>
        </w:tc>
        <w:tc>
          <w:tcPr>
            <w:tcW w:w="4120" w:type="dxa"/>
            <w:vAlign w:val="bottom"/>
          </w:tcPr>
          <w:p>
            <w:pPr>
              <w:ind w:left="80"/>
              <w:spacing w:after="0"/>
              <w:rPr>
                <w:sz w:val="20"/>
                <w:szCs w:val="20"/>
                <w:color w:val="auto"/>
              </w:rPr>
            </w:pPr>
            <w:r>
              <w:rPr>
                <w:rFonts w:ascii="Arial" w:cs="Arial" w:eastAsia="Arial" w:hAnsi="Arial"/>
                <w:sz w:val="16"/>
                <w:szCs w:val="16"/>
                <w:b w:val="1"/>
                <w:bCs w:val="1"/>
                <w:color w:val="auto"/>
              </w:rPr>
              <w:t>5% Stockholders</w:t>
            </w:r>
          </w:p>
        </w:tc>
        <w:tc>
          <w:tcPr>
            <w:tcW w:w="1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70"/>
        </w:trPr>
        <w:tc>
          <w:tcPr>
            <w:tcW w:w="20" w:type="dxa"/>
            <w:vAlign w:val="bottom"/>
          </w:tcPr>
          <w:p>
            <w:pPr>
              <w:spacing w:after="0"/>
              <w:rPr>
                <w:sz w:val="14"/>
                <w:szCs w:val="14"/>
                <w:color w:val="auto"/>
              </w:rPr>
            </w:pPr>
          </w:p>
        </w:tc>
        <w:tc>
          <w:tcPr>
            <w:tcW w:w="4120" w:type="dxa"/>
            <w:vAlign w:val="bottom"/>
            <w:shd w:val="clear" w:color="auto" w:fill="9DBDE4"/>
          </w:tcPr>
          <w:p>
            <w:pPr>
              <w:ind w:left="80"/>
              <w:spacing w:after="0" w:line="170" w:lineRule="exact"/>
              <w:rPr>
                <w:sz w:val="20"/>
                <w:szCs w:val="20"/>
                <w:color w:val="auto"/>
              </w:rPr>
            </w:pPr>
            <w:r>
              <w:rPr>
                <w:rFonts w:ascii="Arial" w:cs="Arial" w:eastAsia="Arial" w:hAnsi="Arial"/>
                <w:sz w:val="13"/>
                <w:szCs w:val="13"/>
                <w:color w:val="auto"/>
              </w:rPr>
              <w:t>BlackRock, Inc.</w:t>
            </w:r>
            <w:r>
              <w:rPr>
                <w:rFonts w:ascii="Arial" w:cs="Arial" w:eastAsia="Arial" w:hAnsi="Arial"/>
                <w:sz w:val="19"/>
                <w:szCs w:val="19"/>
                <w:color w:val="auto"/>
                <w:vertAlign w:val="superscript"/>
              </w:rPr>
              <w:t>(3)</w:t>
            </w:r>
          </w:p>
        </w:tc>
        <w:tc>
          <w:tcPr>
            <w:tcW w:w="1660" w:type="dxa"/>
            <w:vAlign w:val="bottom"/>
            <w:shd w:val="clear" w:color="auto" w:fill="9DBDE4"/>
          </w:tcPr>
          <w:p>
            <w:pPr>
              <w:spacing w:after="0"/>
              <w:rPr>
                <w:sz w:val="14"/>
                <w:szCs w:val="14"/>
                <w:color w:val="auto"/>
              </w:rPr>
            </w:pPr>
          </w:p>
        </w:tc>
        <w:tc>
          <w:tcPr>
            <w:tcW w:w="1520" w:type="dxa"/>
            <w:vAlign w:val="bottom"/>
            <w:shd w:val="clear" w:color="auto" w:fill="9DBDE4"/>
          </w:tcPr>
          <w:p>
            <w:pPr>
              <w:spacing w:after="0"/>
              <w:rPr>
                <w:sz w:val="14"/>
                <w:szCs w:val="14"/>
                <w:color w:val="auto"/>
              </w:rPr>
            </w:pPr>
          </w:p>
        </w:tc>
        <w:tc>
          <w:tcPr>
            <w:tcW w:w="1160" w:type="dxa"/>
            <w:vAlign w:val="bottom"/>
            <w:shd w:val="clear" w:color="auto" w:fill="9DBDE4"/>
          </w:tcPr>
          <w:p>
            <w:pPr>
              <w:spacing w:after="0"/>
              <w:rPr>
                <w:sz w:val="14"/>
                <w:szCs w:val="14"/>
                <w:color w:val="auto"/>
              </w:rPr>
            </w:pPr>
          </w:p>
        </w:tc>
        <w:tc>
          <w:tcPr>
            <w:tcW w:w="880" w:type="dxa"/>
            <w:vAlign w:val="bottom"/>
            <w:shd w:val="clear" w:color="auto" w:fill="9DBDE4"/>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4120" w:type="dxa"/>
            <w:vAlign w:val="bottom"/>
            <w:shd w:val="clear" w:color="auto" w:fill="9DBDE4"/>
          </w:tcPr>
          <w:p>
            <w:pPr>
              <w:ind w:left="80"/>
              <w:spacing w:after="0" w:line="182" w:lineRule="exact"/>
              <w:rPr>
                <w:sz w:val="20"/>
                <w:szCs w:val="20"/>
                <w:color w:val="auto"/>
              </w:rPr>
            </w:pPr>
            <w:r>
              <w:rPr>
                <w:rFonts w:ascii="Arial" w:cs="Arial" w:eastAsia="Arial" w:hAnsi="Arial"/>
                <w:sz w:val="14"/>
                <w:szCs w:val="14"/>
                <w:color w:val="auto"/>
              </w:rPr>
              <w:t>55 East 52</w:t>
            </w:r>
            <w:r>
              <w:rPr>
                <w:rFonts w:ascii="Arial" w:cs="Arial" w:eastAsia="Arial" w:hAnsi="Arial"/>
                <w:sz w:val="21"/>
                <w:szCs w:val="21"/>
                <w:color w:val="auto"/>
                <w:vertAlign w:val="superscript"/>
              </w:rPr>
              <w:t>nd</w:t>
            </w:r>
            <w:r>
              <w:rPr>
                <w:rFonts w:ascii="Arial" w:cs="Arial" w:eastAsia="Arial" w:hAnsi="Arial"/>
                <w:sz w:val="14"/>
                <w:szCs w:val="14"/>
                <w:color w:val="auto"/>
              </w:rPr>
              <w:t xml:space="preserve"> Street</w:t>
            </w:r>
          </w:p>
        </w:tc>
        <w:tc>
          <w:tcPr>
            <w:tcW w:w="1660" w:type="dxa"/>
            <w:vAlign w:val="bottom"/>
            <w:shd w:val="clear" w:color="auto" w:fill="9DBDE4"/>
          </w:tcPr>
          <w:p>
            <w:pPr>
              <w:spacing w:after="0"/>
              <w:rPr>
                <w:sz w:val="15"/>
                <w:szCs w:val="15"/>
                <w:color w:val="auto"/>
              </w:rPr>
            </w:pPr>
          </w:p>
        </w:tc>
        <w:tc>
          <w:tcPr>
            <w:tcW w:w="1520" w:type="dxa"/>
            <w:vAlign w:val="bottom"/>
            <w:shd w:val="clear" w:color="auto" w:fill="9DBDE4"/>
          </w:tcPr>
          <w:p>
            <w:pPr>
              <w:spacing w:after="0"/>
              <w:rPr>
                <w:sz w:val="15"/>
                <w:szCs w:val="15"/>
                <w:color w:val="auto"/>
              </w:rPr>
            </w:pPr>
          </w:p>
        </w:tc>
        <w:tc>
          <w:tcPr>
            <w:tcW w:w="1160" w:type="dxa"/>
            <w:vAlign w:val="bottom"/>
            <w:shd w:val="clear" w:color="auto" w:fill="9DBDE4"/>
          </w:tcPr>
          <w:p>
            <w:pPr>
              <w:spacing w:after="0"/>
              <w:rPr>
                <w:sz w:val="15"/>
                <w:szCs w:val="15"/>
                <w:color w:val="auto"/>
              </w:rPr>
            </w:pPr>
          </w:p>
        </w:tc>
        <w:tc>
          <w:tcPr>
            <w:tcW w:w="880" w:type="dxa"/>
            <w:vAlign w:val="bottom"/>
            <w:shd w:val="clear" w:color="auto" w:fill="9DBDE4"/>
          </w:tcPr>
          <w:p>
            <w:pPr>
              <w:spacing w:after="0"/>
              <w:rPr>
                <w:sz w:val="15"/>
                <w:szCs w:val="15"/>
                <w:color w:val="auto"/>
              </w:rPr>
            </w:pPr>
          </w:p>
        </w:tc>
      </w:tr>
      <w:tr>
        <w:trPr>
          <w:trHeight w:val="233"/>
        </w:trPr>
        <w:tc>
          <w:tcPr>
            <w:tcW w:w="20" w:type="dxa"/>
            <w:vAlign w:val="bottom"/>
          </w:tcPr>
          <w:p>
            <w:pPr>
              <w:spacing w:after="0"/>
              <w:rPr>
                <w:sz w:val="20"/>
                <w:szCs w:val="20"/>
                <w:color w:val="auto"/>
              </w:rPr>
            </w:pPr>
          </w:p>
        </w:tc>
        <w:tc>
          <w:tcPr>
            <w:tcW w:w="4120" w:type="dxa"/>
            <w:vAlign w:val="bottom"/>
            <w:shd w:val="clear" w:color="auto" w:fill="9DBDE4"/>
          </w:tcPr>
          <w:p>
            <w:pPr>
              <w:ind w:left="80"/>
              <w:spacing w:after="0"/>
              <w:rPr>
                <w:sz w:val="20"/>
                <w:szCs w:val="20"/>
                <w:color w:val="auto"/>
              </w:rPr>
            </w:pPr>
            <w:r>
              <w:rPr>
                <w:rFonts w:ascii="Arial" w:cs="Arial" w:eastAsia="Arial" w:hAnsi="Arial"/>
                <w:sz w:val="16"/>
                <w:szCs w:val="16"/>
                <w:color w:val="auto"/>
              </w:rPr>
              <w:t>New York, NY 10055</w:t>
            </w:r>
          </w:p>
        </w:tc>
        <w:tc>
          <w:tcPr>
            <w:tcW w:w="166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18,047,894</w:t>
            </w:r>
          </w:p>
        </w:tc>
        <w:tc>
          <w:tcPr>
            <w:tcW w:w="1520" w:type="dxa"/>
            <w:vAlign w:val="bottom"/>
            <w:shd w:val="clear" w:color="auto" w:fill="9DBDE4"/>
          </w:tcPr>
          <w:p>
            <w:pPr>
              <w:jc w:val="right"/>
              <w:ind w:right="85"/>
              <w:spacing w:after="0"/>
              <w:rPr>
                <w:sz w:val="20"/>
                <w:szCs w:val="20"/>
                <w:color w:val="auto"/>
              </w:rPr>
            </w:pPr>
            <w:r>
              <w:rPr>
                <w:rFonts w:ascii="Arial" w:cs="Arial" w:eastAsia="Arial" w:hAnsi="Arial"/>
                <w:sz w:val="16"/>
                <w:szCs w:val="16"/>
                <w:color w:val="auto"/>
              </w:rPr>
              <w:t>-</w:t>
            </w:r>
          </w:p>
        </w:tc>
        <w:tc>
          <w:tcPr>
            <w:tcW w:w="1160" w:type="dxa"/>
            <w:vAlign w:val="bottom"/>
            <w:shd w:val="clear" w:color="auto" w:fill="9DBDE4"/>
          </w:tcPr>
          <w:p>
            <w:pPr>
              <w:jc w:val="right"/>
              <w:ind w:right="103"/>
              <w:spacing w:after="0"/>
              <w:rPr>
                <w:sz w:val="20"/>
                <w:szCs w:val="20"/>
                <w:color w:val="auto"/>
              </w:rPr>
            </w:pPr>
            <w:r>
              <w:rPr>
                <w:rFonts w:ascii="Arial" w:cs="Arial" w:eastAsia="Arial" w:hAnsi="Arial"/>
                <w:sz w:val="16"/>
                <w:szCs w:val="16"/>
                <w:color w:val="auto"/>
              </w:rPr>
              <w:t>18,047,894</w:t>
            </w:r>
          </w:p>
        </w:tc>
        <w:tc>
          <w:tcPr>
            <w:tcW w:w="88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16.92%</w:t>
            </w:r>
          </w:p>
        </w:tc>
      </w:tr>
      <w:tr>
        <w:trPr>
          <w:trHeight w:val="170"/>
        </w:trPr>
        <w:tc>
          <w:tcPr>
            <w:tcW w:w="20" w:type="dxa"/>
            <w:vAlign w:val="bottom"/>
          </w:tcPr>
          <w:p>
            <w:pPr>
              <w:spacing w:after="0"/>
              <w:rPr>
                <w:sz w:val="14"/>
                <w:szCs w:val="14"/>
                <w:color w:val="auto"/>
              </w:rPr>
            </w:pPr>
          </w:p>
        </w:tc>
        <w:tc>
          <w:tcPr>
            <w:tcW w:w="4120" w:type="dxa"/>
            <w:vAlign w:val="bottom"/>
          </w:tcPr>
          <w:p>
            <w:pPr>
              <w:ind w:left="80"/>
              <w:spacing w:after="0" w:line="170" w:lineRule="exact"/>
              <w:rPr>
                <w:sz w:val="20"/>
                <w:szCs w:val="20"/>
                <w:color w:val="auto"/>
              </w:rPr>
            </w:pPr>
            <w:r>
              <w:rPr>
                <w:rFonts w:ascii="Arial" w:cs="Arial" w:eastAsia="Arial" w:hAnsi="Arial"/>
                <w:sz w:val="13"/>
                <w:szCs w:val="13"/>
                <w:color w:val="auto"/>
              </w:rPr>
              <w:t>The Vanguard Group, Inc.</w:t>
            </w:r>
            <w:r>
              <w:rPr>
                <w:rFonts w:ascii="Arial" w:cs="Arial" w:eastAsia="Arial" w:hAnsi="Arial"/>
                <w:sz w:val="19"/>
                <w:szCs w:val="19"/>
                <w:color w:val="auto"/>
                <w:vertAlign w:val="superscript"/>
              </w:rPr>
              <w:t>(4)</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4120" w:type="dxa"/>
            <w:vAlign w:val="bottom"/>
          </w:tcPr>
          <w:p>
            <w:pPr>
              <w:ind w:left="80"/>
              <w:spacing w:after="0" w:line="182" w:lineRule="exact"/>
              <w:rPr>
                <w:sz w:val="20"/>
                <w:szCs w:val="20"/>
                <w:color w:val="auto"/>
              </w:rPr>
            </w:pPr>
            <w:r>
              <w:rPr>
                <w:rFonts w:ascii="Arial" w:cs="Arial" w:eastAsia="Arial" w:hAnsi="Arial"/>
                <w:sz w:val="16"/>
                <w:szCs w:val="16"/>
                <w:color w:val="auto"/>
              </w:rPr>
              <w:t>100 Vanguard Blvd</w:t>
            </w:r>
          </w:p>
        </w:tc>
        <w:tc>
          <w:tcPr>
            <w:tcW w:w="16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6"/>
        </w:trPr>
        <w:tc>
          <w:tcPr>
            <w:tcW w:w="20" w:type="dxa"/>
            <w:vAlign w:val="bottom"/>
          </w:tcPr>
          <w:p>
            <w:pPr>
              <w:spacing w:after="0"/>
              <w:rPr>
                <w:sz w:val="19"/>
                <w:szCs w:val="19"/>
                <w:color w:val="auto"/>
              </w:rPr>
            </w:pPr>
          </w:p>
        </w:tc>
        <w:tc>
          <w:tcPr>
            <w:tcW w:w="4120" w:type="dxa"/>
            <w:vAlign w:val="bottom"/>
          </w:tcPr>
          <w:p>
            <w:pPr>
              <w:ind w:left="80"/>
              <w:spacing w:after="0"/>
              <w:rPr>
                <w:sz w:val="20"/>
                <w:szCs w:val="20"/>
                <w:color w:val="auto"/>
              </w:rPr>
            </w:pPr>
            <w:r>
              <w:rPr>
                <w:rFonts w:ascii="Arial" w:cs="Arial" w:eastAsia="Arial" w:hAnsi="Arial"/>
                <w:sz w:val="16"/>
                <w:szCs w:val="16"/>
                <w:color w:val="auto"/>
              </w:rPr>
              <w:t>Malvern, PA 19355</w:t>
            </w:r>
          </w:p>
        </w:tc>
        <w:tc>
          <w:tcPr>
            <w:tcW w:w="1660" w:type="dxa"/>
            <w:vAlign w:val="bottom"/>
          </w:tcPr>
          <w:p>
            <w:pPr>
              <w:jc w:val="right"/>
              <w:ind w:right="83"/>
              <w:spacing w:after="0"/>
              <w:rPr>
                <w:sz w:val="20"/>
                <w:szCs w:val="20"/>
                <w:color w:val="auto"/>
              </w:rPr>
            </w:pPr>
            <w:r>
              <w:rPr>
                <w:rFonts w:ascii="Arial" w:cs="Arial" w:eastAsia="Arial" w:hAnsi="Arial"/>
                <w:sz w:val="16"/>
                <w:szCs w:val="16"/>
                <w:color w:val="auto"/>
              </w:rPr>
              <w:t>13,204,817</w:t>
            </w:r>
          </w:p>
        </w:tc>
        <w:tc>
          <w:tcPr>
            <w:tcW w:w="1520" w:type="dxa"/>
            <w:vAlign w:val="bottom"/>
          </w:tcPr>
          <w:p>
            <w:pPr>
              <w:jc w:val="right"/>
              <w:ind w:right="85"/>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13,204,817</w:t>
            </w:r>
          </w:p>
        </w:tc>
        <w:tc>
          <w:tcPr>
            <w:tcW w:w="880" w:type="dxa"/>
            <w:vAlign w:val="bottom"/>
          </w:tcPr>
          <w:p>
            <w:pPr>
              <w:jc w:val="right"/>
              <w:ind w:right="83"/>
              <w:spacing w:after="0"/>
              <w:rPr>
                <w:sz w:val="20"/>
                <w:szCs w:val="20"/>
                <w:color w:val="auto"/>
              </w:rPr>
            </w:pPr>
            <w:r>
              <w:rPr>
                <w:rFonts w:ascii="Arial" w:cs="Arial" w:eastAsia="Arial" w:hAnsi="Arial"/>
                <w:sz w:val="16"/>
                <w:szCs w:val="16"/>
                <w:color w:val="auto"/>
              </w:rPr>
              <w:t>12.38%</w:t>
            </w:r>
          </w:p>
        </w:tc>
      </w:tr>
      <w:tr>
        <w:trPr>
          <w:trHeight w:val="177"/>
        </w:trPr>
        <w:tc>
          <w:tcPr>
            <w:tcW w:w="20" w:type="dxa"/>
            <w:vAlign w:val="bottom"/>
          </w:tcPr>
          <w:p>
            <w:pPr>
              <w:spacing w:after="0"/>
              <w:rPr>
                <w:sz w:val="15"/>
                <w:szCs w:val="15"/>
                <w:color w:val="auto"/>
              </w:rPr>
            </w:pPr>
          </w:p>
        </w:tc>
        <w:tc>
          <w:tcPr>
            <w:tcW w:w="4120" w:type="dxa"/>
            <w:vAlign w:val="bottom"/>
            <w:shd w:val="clear" w:color="auto" w:fill="9DBDE4"/>
          </w:tcPr>
          <w:p>
            <w:pPr>
              <w:ind w:left="80"/>
              <w:spacing w:after="0" w:line="177" w:lineRule="exact"/>
              <w:rPr>
                <w:sz w:val="20"/>
                <w:szCs w:val="20"/>
                <w:color w:val="auto"/>
              </w:rPr>
            </w:pPr>
            <w:r>
              <w:rPr>
                <w:rFonts w:ascii="Arial" w:cs="Arial" w:eastAsia="Arial" w:hAnsi="Arial"/>
                <w:sz w:val="14"/>
                <w:szCs w:val="14"/>
                <w:color w:val="auto"/>
              </w:rPr>
              <w:t>Franklin Mutual Advisers, LLC</w:t>
            </w:r>
            <w:r>
              <w:rPr>
                <w:rFonts w:ascii="Arial" w:cs="Arial" w:eastAsia="Arial" w:hAnsi="Arial"/>
                <w:sz w:val="20"/>
                <w:szCs w:val="20"/>
                <w:color w:val="auto"/>
                <w:vertAlign w:val="superscript"/>
              </w:rPr>
              <w:t>(5)</w:t>
            </w:r>
          </w:p>
        </w:tc>
        <w:tc>
          <w:tcPr>
            <w:tcW w:w="1660" w:type="dxa"/>
            <w:vAlign w:val="bottom"/>
            <w:shd w:val="clear" w:color="auto" w:fill="9DBDE4"/>
          </w:tcPr>
          <w:p>
            <w:pPr>
              <w:spacing w:after="0"/>
              <w:rPr>
                <w:sz w:val="15"/>
                <w:szCs w:val="15"/>
                <w:color w:val="auto"/>
              </w:rPr>
            </w:pPr>
          </w:p>
        </w:tc>
        <w:tc>
          <w:tcPr>
            <w:tcW w:w="1520" w:type="dxa"/>
            <w:vAlign w:val="bottom"/>
            <w:shd w:val="clear" w:color="auto" w:fill="9DBDE4"/>
          </w:tcPr>
          <w:p>
            <w:pPr>
              <w:spacing w:after="0"/>
              <w:rPr>
                <w:sz w:val="15"/>
                <w:szCs w:val="15"/>
                <w:color w:val="auto"/>
              </w:rPr>
            </w:pPr>
          </w:p>
        </w:tc>
        <w:tc>
          <w:tcPr>
            <w:tcW w:w="1160" w:type="dxa"/>
            <w:vAlign w:val="bottom"/>
            <w:shd w:val="clear" w:color="auto" w:fill="9DBDE4"/>
          </w:tcPr>
          <w:p>
            <w:pPr>
              <w:spacing w:after="0"/>
              <w:rPr>
                <w:sz w:val="15"/>
                <w:szCs w:val="15"/>
                <w:color w:val="auto"/>
              </w:rPr>
            </w:pPr>
          </w:p>
        </w:tc>
        <w:tc>
          <w:tcPr>
            <w:tcW w:w="880" w:type="dxa"/>
            <w:vAlign w:val="bottom"/>
            <w:shd w:val="clear" w:color="auto" w:fill="9DBDE4"/>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120" w:type="dxa"/>
            <w:vAlign w:val="bottom"/>
            <w:shd w:val="clear" w:color="auto" w:fill="9DBDE4"/>
          </w:tcPr>
          <w:p>
            <w:pPr>
              <w:ind w:left="80"/>
              <w:spacing w:after="0" w:line="182" w:lineRule="exact"/>
              <w:rPr>
                <w:sz w:val="20"/>
                <w:szCs w:val="20"/>
                <w:color w:val="auto"/>
              </w:rPr>
            </w:pPr>
            <w:r>
              <w:rPr>
                <w:rFonts w:ascii="Arial" w:cs="Arial" w:eastAsia="Arial" w:hAnsi="Arial"/>
                <w:sz w:val="16"/>
                <w:szCs w:val="16"/>
                <w:color w:val="auto"/>
              </w:rPr>
              <w:t>101 John F Kennedy Parkway, #5</w:t>
            </w:r>
          </w:p>
        </w:tc>
        <w:tc>
          <w:tcPr>
            <w:tcW w:w="1660" w:type="dxa"/>
            <w:vAlign w:val="bottom"/>
            <w:shd w:val="clear" w:color="auto" w:fill="9DBDE4"/>
          </w:tcPr>
          <w:p>
            <w:pPr>
              <w:spacing w:after="0"/>
              <w:rPr>
                <w:sz w:val="15"/>
                <w:szCs w:val="15"/>
                <w:color w:val="auto"/>
              </w:rPr>
            </w:pPr>
          </w:p>
        </w:tc>
        <w:tc>
          <w:tcPr>
            <w:tcW w:w="1520" w:type="dxa"/>
            <w:vAlign w:val="bottom"/>
            <w:shd w:val="clear" w:color="auto" w:fill="9DBDE4"/>
          </w:tcPr>
          <w:p>
            <w:pPr>
              <w:spacing w:after="0"/>
              <w:rPr>
                <w:sz w:val="15"/>
                <w:szCs w:val="15"/>
                <w:color w:val="auto"/>
              </w:rPr>
            </w:pPr>
          </w:p>
        </w:tc>
        <w:tc>
          <w:tcPr>
            <w:tcW w:w="1160" w:type="dxa"/>
            <w:vAlign w:val="bottom"/>
            <w:shd w:val="clear" w:color="auto" w:fill="9DBDE4"/>
          </w:tcPr>
          <w:p>
            <w:pPr>
              <w:spacing w:after="0"/>
              <w:rPr>
                <w:sz w:val="15"/>
                <w:szCs w:val="15"/>
                <w:color w:val="auto"/>
              </w:rPr>
            </w:pPr>
          </w:p>
        </w:tc>
        <w:tc>
          <w:tcPr>
            <w:tcW w:w="880" w:type="dxa"/>
            <w:vAlign w:val="bottom"/>
            <w:shd w:val="clear" w:color="auto" w:fill="9DBDE4"/>
          </w:tcPr>
          <w:p>
            <w:pPr>
              <w:spacing w:after="0"/>
              <w:rPr>
                <w:sz w:val="15"/>
                <w:szCs w:val="15"/>
                <w:color w:val="auto"/>
              </w:rPr>
            </w:pPr>
          </w:p>
        </w:tc>
      </w:tr>
      <w:tr>
        <w:trPr>
          <w:trHeight w:val="233"/>
        </w:trPr>
        <w:tc>
          <w:tcPr>
            <w:tcW w:w="20" w:type="dxa"/>
            <w:vAlign w:val="bottom"/>
          </w:tcPr>
          <w:p>
            <w:pPr>
              <w:spacing w:after="0"/>
              <w:rPr>
                <w:sz w:val="20"/>
                <w:szCs w:val="20"/>
                <w:color w:val="auto"/>
              </w:rPr>
            </w:pPr>
          </w:p>
        </w:tc>
        <w:tc>
          <w:tcPr>
            <w:tcW w:w="4120" w:type="dxa"/>
            <w:vAlign w:val="bottom"/>
            <w:shd w:val="clear" w:color="auto" w:fill="9DBDE4"/>
          </w:tcPr>
          <w:p>
            <w:pPr>
              <w:ind w:left="80"/>
              <w:spacing w:after="0"/>
              <w:rPr>
                <w:sz w:val="20"/>
                <w:szCs w:val="20"/>
                <w:color w:val="auto"/>
              </w:rPr>
            </w:pPr>
            <w:r>
              <w:rPr>
                <w:rFonts w:ascii="Arial" w:cs="Arial" w:eastAsia="Arial" w:hAnsi="Arial"/>
                <w:sz w:val="16"/>
                <w:szCs w:val="16"/>
                <w:color w:val="auto"/>
              </w:rPr>
              <w:t>Short Hills, NJ 0778</w:t>
            </w:r>
          </w:p>
        </w:tc>
        <w:tc>
          <w:tcPr>
            <w:tcW w:w="166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8,011,805</w:t>
            </w:r>
          </w:p>
        </w:tc>
        <w:tc>
          <w:tcPr>
            <w:tcW w:w="1520" w:type="dxa"/>
            <w:vAlign w:val="bottom"/>
            <w:shd w:val="clear" w:color="auto" w:fill="9DBDE4"/>
          </w:tcPr>
          <w:p>
            <w:pPr>
              <w:jc w:val="right"/>
              <w:ind w:right="85"/>
              <w:spacing w:after="0"/>
              <w:rPr>
                <w:sz w:val="20"/>
                <w:szCs w:val="20"/>
                <w:color w:val="auto"/>
              </w:rPr>
            </w:pPr>
            <w:r>
              <w:rPr>
                <w:rFonts w:ascii="Arial" w:cs="Arial" w:eastAsia="Arial" w:hAnsi="Arial"/>
                <w:sz w:val="16"/>
                <w:szCs w:val="16"/>
                <w:color w:val="auto"/>
              </w:rPr>
              <w:t>-</w:t>
            </w:r>
          </w:p>
        </w:tc>
        <w:tc>
          <w:tcPr>
            <w:tcW w:w="1160" w:type="dxa"/>
            <w:vAlign w:val="bottom"/>
            <w:shd w:val="clear" w:color="auto" w:fill="9DBDE4"/>
          </w:tcPr>
          <w:p>
            <w:pPr>
              <w:jc w:val="right"/>
              <w:ind w:right="103"/>
              <w:spacing w:after="0"/>
              <w:rPr>
                <w:sz w:val="20"/>
                <w:szCs w:val="20"/>
                <w:color w:val="auto"/>
              </w:rPr>
            </w:pPr>
            <w:r>
              <w:rPr>
                <w:rFonts w:ascii="Arial" w:cs="Arial" w:eastAsia="Arial" w:hAnsi="Arial"/>
                <w:sz w:val="16"/>
                <w:szCs w:val="16"/>
                <w:color w:val="auto"/>
              </w:rPr>
              <w:t>8,011,805</w:t>
            </w:r>
          </w:p>
        </w:tc>
        <w:tc>
          <w:tcPr>
            <w:tcW w:w="88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7.51%</w:t>
            </w:r>
          </w:p>
        </w:tc>
      </w:tr>
      <w:tr>
        <w:trPr>
          <w:trHeight w:val="182"/>
        </w:trPr>
        <w:tc>
          <w:tcPr>
            <w:tcW w:w="20" w:type="dxa"/>
            <w:vAlign w:val="bottom"/>
          </w:tcPr>
          <w:p>
            <w:pPr>
              <w:spacing w:after="0"/>
              <w:rPr>
                <w:sz w:val="15"/>
                <w:szCs w:val="15"/>
                <w:color w:val="auto"/>
              </w:rPr>
            </w:pPr>
          </w:p>
        </w:tc>
        <w:tc>
          <w:tcPr>
            <w:tcW w:w="4120" w:type="dxa"/>
            <w:vAlign w:val="bottom"/>
          </w:tcPr>
          <w:p>
            <w:pPr>
              <w:ind w:left="80"/>
              <w:spacing w:after="0" w:line="182" w:lineRule="exact"/>
              <w:rPr>
                <w:sz w:val="20"/>
                <w:szCs w:val="20"/>
                <w:color w:val="auto"/>
              </w:rPr>
            </w:pPr>
            <w:r>
              <w:rPr>
                <w:rFonts w:ascii="Arial" w:cs="Arial" w:eastAsia="Arial" w:hAnsi="Arial"/>
                <w:sz w:val="16"/>
                <w:szCs w:val="16"/>
                <w:b w:val="1"/>
                <w:bCs w:val="1"/>
                <w:color w:val="auto"/>
              </w:rPr>
              <w:t>Named Executive Officers and Directors:</w:t>
            </w:r>
          </w:p>
        </w:tc>
        <w:tc>
          <w:tcPr>
            <w:tcW w:w="16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8"/>
        </w:trPr>
        <w:tc>
          <w:tcPr>
            <w:tcW w:w="20" w:type="dxa"/>
            <w:vAlign w:val="bottom"/>
          </w:tcPr>
          <w:p>
            <w:pPr>
              <w:spacing w:after="0"/>
              <w:rPr>
                <w:sz w:val="18"/>
                <w:szCs w:val="18"/>
                <w:color w:val="auto"/>
              </w:rPr>
            </w:pPr>
          </w:p>
        </w:tc>
        <w:tc>
          <w:tcPr>
            <w:tcW w:w="4120" w:type="dxa"/>
            <w:vAlign w:val="bottom"/>
            <w:shd w:val="clear" w:color="auto" w:fill="9DBDE4"/>
          </w:tcPr>
          <w:p>
            <w:pPr>
              <w:ind w:left="80"/>
              <w:spacing w:after="0"/>
              <w:rPr>
                <w:sz w:val="20"/>
                <w:szCs w:val="20"/>
                <w:color w:val="auto"/>
              </w:rPr>
            </w:pPr>
            <w:r>
              <w:rPr>
                <w:rFonts w:ascii="Arial" w:cs="Arial" w:eastAsia="Arial" w:hAnsi="Arial"/>
                <w:sz w:val="16"/>
                <w:szCs w:val="16"/>
                <w:color w:val="auto"/>
              </w:rPr>
              <w:t>Thomas W. Warsop, III</w:t>
            </w:r>
          </w:p>
        </w:tc>
        <w:tc>
          <w:tcPr>
            <w:tcW w:w="166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117,474</w:t>
            </w:r>
          </w:p>
        </w:tc>
        <w:tc>
          <w:tcPr>
            <w:tcW w:w="1520" w:type="dxa"/>
            <w:vAlign w:val="bottom"/>
            <w:shd w:val="clear" w:color="auto" w:fill="9DBDE4"/>
          </w:tcPr>
          <w:p>
            <w:pPr>
              <w:jc w:val="right"/>
              <w:ind w:right="85"/>
              <w:spacing w:after="0"/>
              <w:rPr>
                <w:sz w:val="20"/>
                <w:szCs w:val="20"/>
                <w:color w:val="auto"/>
              </w:rPr>
            </w:pPr>
            <w:r>
              <w:rPr>
                <w:rFonts w:ascii="Arial" w:cs="Arial" w:eastAsia="Arial" w:hAnsi="Arial"/>
                <w:sz w:val="16"/>
                <w:szCs w:val="16"/>
                <w:color w:val="auto"/>
              </w:rPr>
              <w:t>-</w:t>
            </w:r>
          </w:p>
        </w:tc>
        <w:tc>
          <w:tcPr>
            <w:tcW w:w="1160" w:type="dxa"/>
            <w:vAlign w:val="bottom"/>
            <w:shd w:val="clear" w:color="auto" w:fill="9DBDE4"/>
          </w:tcPr>
          <w:p>
            <w:pPr>
              <w:jc w:val="right"/>
              <w:ind w:right="103"/>
              <w:spacing w:after="0"/>
              <w:rPr>
                <w:sz w:val="20"/>
                <w:szCs w:val="20"/>
                <w:color w:val="auto"/>
              </w:rPr>
            </w:pPr>
            <w:r>
              <w:rPr>
                <w:rFonts w:ascii="Arial" w:cs="Arial" w:eastAsia="Arial" w:hAnsi="Arial"/>
                <w:sz w:val="16"/>
                <w:szCs w:val="16"/>
                <w:color w:val="auto"/>
              </w:rPr>
              <w:t>117,474</w:t>
            </w:r>
          </w:p>
        </w:tc>
        <w:tc>
          <w:tcPr>
            <w:tcW w:w="88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w:t>
            </w:r>
          </w:p>
        </w:tc>
      </w:tr>
      <w:tr>
        <w:trPr>
          <w:trHeight w:val="207"/>
        </w:trPr>
        <w:tc>
          <w:tcPr>
            <w:tcW w:w="20" w:type="dxa"/>
            <w:vAlign w:val="bottom"/>
          </w:tcPr>
          <w:p>
            <w:pPr>
              <w:spacing w:after="0"/>
              <w:rPr>
                <w:sz w:val="17"/>
                <w:szCs w:val="17"/>
                <w:color w:val="auto"/>
              </w:rPr>
            </w:pPr>
          </w:p>
        </w:tc>
        <w:tc>
          <w:tcPr>
            <w:tcW w:w="4120" w:type="dxa"/>
            <w:vAlign w:val="bottom"/>
          </w:tcPr>
          <w:p>
            <w:pPr>
              <w:ind w:left="80"/>
              <w:spacing w:after="0"/>
              <w:rPr>
                <w:sz w:val="20"/>
                <w:szCs w:val="20"/>
                <w:color w:val="auto"/>
              </w:rPr>
            </w:pPr>
            <w:r>
              <w:rPr>
                <w:rFonts w:ascii="Arial" w:cs="Arial" w:eastAsia="Arial" w:hAnsi="Arial"/>
                <w:sz w:val="16"/>
                <w:szCs w:val="16"/>
                <w:color w:val="auto"/>
              </w:rPr>
              <w:t>Scott. W. Behrens</w:t>
            </w:r>
          </w:p>
        </w:tc>
        <w:tc>
          <w:tcPr>
            <w:tcW w:w="1660" w:type="dxa"/>
            <w:vAlign w:val="bottom"/>
          </w:tcPr>
          <w:p>
            <w:pPr>
              <w:jc w:val="right"/>
              <w:ind w:right="83"/>
              <w:spacing w:after="0"/>
              <w:rPr>
                <w:sz w:val="20"/>
                <w:szCs w:val="20"/>
                <w:color w:val="auto"/>
              </w:rPr>
            </w:pPr>
            <w:r>
              <w:rPr>
                <w:rFonts w:ascii="Arial" w:cs="Arial" w:eastAsia="Arial" w:hAnsi="Arial"/>
                <w:sz w:val="16"/>
                <w:szCs w:val="16"/>
                <w:color w:val="auto"/>
              </w:rPr>
              <w:t>361,117</w:t>
            </w:r>
          </w:p>
        </w:tc>
        <w:tc>
          <w:tcPr>
            <w:tcW w:w="1520" w:type="dxa"/>
            <w:vAlign w:val="bottom"/>
          </w:tcPr>
          <w:p>
            <w:pPr>
              <w:jc w:val="right"/>
              <w:ind w:right="85"/>
              <w:spacing w:after="0"/>
              <w:rPr>
                <w:sz w:val="20"/>
                <w:szCs w:val="20"/>
                <w:color w:val="auto"/>
              </w:rPr>
            </w:pPr>
            <w:r>
              <w:rPr>
                <w:rFonts w:ascii="Arial" w:cs="Arial" w:eastAsia="Arial" w:hAnsi="Arial"/>
                <w:sz w:val="16"/>
                <w:szCs w:val="16"/>
                <w:color w:val="auto"/>
              </w:rPr>
              <w:t>235,482</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596,599</w:t>
            </w:r>
          </w:p>
        </w:tc>
        <w:tc>
          <w:tcPr>
            <w:tcW w:w="88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tcPr>
          <w:p>
            <w:pPr>
              <w:spacing w:after="0"/>
              <w:rPr>
                <w:sz w:val="18"/>
                <w:szCs w:val="18"/>
                <w:color w:val="auto"/>
              </w:rPr>
            </w:pPr>
          </w:p>
        </w:tc>
        <w:tc>
          <w:tcPr>
            <w:tcW w:w="4120" w:type="dxa"/>
            <w:vAlign w:val="bottom"/>
            <w:shd w:val="clear" w:color="auto" w:fill="9DBDE4"/>
          </w:tcPr>
          <w:p>
            <w:pPr>
              <w:ind w:left="80"/>
              <w:spacing w:after="0"/>
              <w:rPr>
                <w:sz w:val="20"/>
                <w:szCs w:val="20"/>
                <w:color w:val="auto"/>
              </w:rPr>
            </w:pPr>
            <w:r>
              <w:rPr>
                <w:rFonts w:ascii="Arial" w:cs="Arial" w:eastAsia="Arial" w:hAnsi="Arial"/>
                <w:sz w:val="16"/>
                <w:szCs w:val="16"/>
                <w:color w:val="auto"/>
              </w:rPr>
              <w:t>Alessandro Silva</w:t>
            </w:r>
          </w:p>
        </w:tc>
        <w:tc>
          <w:tcPr>
            <w:tcW w:w="166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3,943</w:t>
            </w:r>
          </w:p>
        </w:tc>
        <w:tc>
          <w:tcPr>
            <w:tcW w:w="1520" w:type="dxa"/>
            <w:vAlign w:val="bottom"/>
            <w:shd w:val="clear" w:color="auto" w:fill="9DBDE4"/>
          </w:tcPr>
          <w:p>
            <w:pPr>
              <w:jc w:val="right"/>
              <w:ind w:right="85"/>
              <w:spacing w:after="0"/>
              <w:rPr>
                <w:sz w:val="20"/>
                <w:szCs w:val="20"/>
                <w:color w:val="auto"/>
              </w:rPr>
            </w:pPr>
            <w:r>
              <w:rPr>
                <w:rFonts w:ascii="Arial" w:cs="Arial" w:eastAsia="Arial" w:hAnsi="Arial"/>
                <w:sz w:val="16"/>
                <w:szCs w:val="16"/>
                <w:color w:val="auto"/>
              </w:rPr>
              <w:t>4,914</w:t>
            </w:r>
          </w:p>
        </w:tc>
        <w:tc>
          <w:tcPr>
            <w:tcW w:w="1160" w:type="dxa"/>
            <w:vAlign w:val="bottom"/>
            <w:shd w:val="clear" w:color="auto" w:fill="9DBDE4"/>
          </w:tcPr>
          <w:p>
            <w:pPr>
              <w:jc w:val="right"/>
              <w:ind w:right="103"/>
              <w:spacing w:after="0"/>
              <w:rPr>
                <w:sz w:val="20"/>
                <w:szCs w:val="20"/>
                <w:color w:val="auto"/>
              </w:rPr>
            </w:pPr>
            <w:r>
              <w:rPr>
                <w:rFonts w:ascii="Arial" w:cs="Arial" w:eastAsia="Arial" w:hAnsi="Arial"/>
                <w:sz w:val="16"/>
                <w:szCs w:val="16"/>
                <w:color w:val="auto"/>
              </w:rPr>
              <w:t>8,857</w:t>
            </w:r>
          </w:p>
        </w:tc>
        <w:tc>
          <w:tcPr>
            <w:tcW w:w="88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w:t>
            </w:r>
          </w:p>
        </w:tc>
      </w:tr>
      <w:tr>
        <w:trPr>
          <w:trHeight w:val="207"/>
        </w:trPr>
        <w:tc>
          <w:tcPr>
            <w:tcW w:w="20" w:type="dxa"/>
            <w:vAlign w:val="bottom"/>
          </w:tcPr>
          <w:p>
            <w:pPr>
              <w:spacing w:after="0"/>
              <w:rPr>
                <w:sz w:val="17"/>
                <w:szCs w:val="17"/>
                <w:color w:val="auto"/>
              </w:rPr>
            </w:pPr>
          </w:p>
        </w:tc>
        <w:tc>
          <w:tcPr>
            <w:tcW w:w="4120" w:type="dxa"/>
            <w:vAlign w:val="bottom"/>
          </w:tcPr>
          <w:p>
            <w:pPr>
              <w:ind w:left="80"/>
              <w:spacing w:after="0"/>
              <w:rPr>
                <w:sz w:val="20"/>
                <w:szCs w:val="20"/>
                <w:color w:val="auto"/>
              </w:rPr>
            </w:pPr>
            <w:r>
              <w:rPr>
                <w:rFonts w:ascii="Arial" w:cs="Arial" w:eastAsia="Arial" w:hAnsi="Arial"/>
                <w:sz w:val="16"/>
                <w:szCs w:val="16"/>
                <w:color w:val="auto"/>
              </w:rPr>
              <w:t>Deborah L. Guerra</w:t>
            </w:r>
          </w:p>
        </w:tc>
        <w:tc>
          <w:tcPr>
            <w:tcW w:w="1660" w:type="dxa"/>
            <w:vAlign w:val="bottom"/>
          </w:tcPr>
          <w:p>
            <w:pPr>
              <w:jc w:val="right"/>
              <w:ind w:right="83"/>
              <w:spacing w:after="0"/>
              <w:rPr>
                <w:sz w:val="20"/>
                <w:szCs w:val="20"/>
                <w:color w:val="auto"/>
              </w:rPr>
            </w:pPr>
            <w:r>
              <w:rPr>
                <w:rFonts w:ascii="Arial" w:cs="Arial" w:eastAsia="Arial" w:hAnsi="Arial"/>
                <w:sz w:val="16"/>
                <w:szCs w:val="16"/>
                <w:color w:val="auto"/>
              </w:rPr>
              <w:t>13,733</w:t>
            </w:r>
          </w:p>
        </w:tc>
        <w:tc>
          <w:tcPr>
            <w:tcW w:w="1520" w:type="dxa"/>
            <w:vAlign w:val="bottom"/>
          </w:tcPr>
          <w:p>
            <w:pPr>
              <w:jc w:val="right"/>
              <w:ind w:right="85"/>
              <w:spacing w:after="0"/>
              <w:rPr>
                <w:sz w:val="20"/>
                <w:szCs w:val="20"/>
                <w:color w:val="auto"/>
              </w:rPr>
            </w:pPr>
            <w:r>
              <w:rPr>
                <w:rFonts w:ascii="Arial" w:cs="Arial" w:eastAsia="Arial" w:hAnsi="Arial"/>
                <w:sz w:val="16"/>
                <w:szCs w:val="16"/>
                <w:color w:val="auto"/>
              </w:rPr>
              <w:t>3,625</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17,358</w:t>
            </w:r>
          </w:p>
        </w:tc>
        <w:tc>
          <w:tcPr>
            <w:tcW w:w="88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tcPr>
          <w:p>
            <w:pPr>
              <w:spacing w:after="0"/>
              <w:rPr>
                <w:sz w:val="18"/>
                <w:szCs w:val="18"/>
                <w:color w:val="auto"/>
              </w:rPr>
            </w:pPr>
          </w:p>
        </w:tc>
        <w:tc>
          <w:tcPr>
            <w:tcW w:w="4120" w:type="dxa"/>
            <w:vAlign w:val="bottom"/>
            <w:shd w:val="clear" w:color="auto" w:fill="9DBDE4"/>
          </w:tcPr>
          <w:p>
            <w:pPr>
              <w:ind w:left="80"/>
              <w:spacing w:after="0"/>
              <w:rPr>
                <w:sz w:val="20"/>
                <w:szCs w:val="20"/>
                <w:color w:val="auto"/>
              </w:rPr>
            </w:pPr>
            <w:r>
              <w:rPr>
                <w:rFonts w:ascii="Arial" w:cs="Arial" w:eastAsia="Arial" w:hAnsi="Arial"/>
                <w:sz w:val="16"/>
                <w:szCs w:val="16"/>
                <w:color w:val="auto"/>
              </w:rPr>
              <w:t>Abraham Kuruvilla</w:t>
            </w:r>
          </w:p>
        </w:tc>
        <w:tc>
          <w:tcPr>
            <w:tcW w:w="166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w:t>
            </w:r>
          </w:p>
        </w:tc>
        <w:tc>
          <w:tcPr>
            <w:tcW w:w="1520" w:type="dxa"/>
            <w:vAlign w:val="bottom"/>
            <w:shd w:val="clear" w:color="auto" w:fill="9DBDE4"/>
          </w:tcPr>
          <w:p>
            <w:pPr>
              <w:jc w:val="right"/>
              <w:ind w:right="85"/>
              <w:spacing w:after="0"/>
              <w:rPr>
                <w:sz w:val="20"/>
                <w:szCs w:val="20"/>
                <w:color w:val="auto"/>
              </w:rPr>
            </w:pPr>
            <w:r>
              <w:rPr>
                <w:rFonts w:ascii="Arial" w:cs="Arial" w:eastAsia="Arial" w:hAnsi="Arial"/>
                <w:sz w:val="16"/>
                <w:szCs w:val="16"/>
                <w:color w:val="auto"/>
              </w:rPr>
              <w:t>-</w:t>
            </w:r>
          </w:p>
        </w:tc>
        <w:tc>
          <w:tcPr>
            <w:tcW w:w="1160" w:type="dxa"/>
            <w:vAlign w:val="bottom"/>
            <w:shd w:val="clear" w:color="auto" w:fill="9DBDE4"/>
          </w:tcPr>
          <w:p>
            <w:pPr>
              <w:jc w:val="right"/>
              <w:ind w:right="103"/>
              <w:spacing w:after="0"/>
              <w:rPr>
                <w:sz w:val="20"/>
                <w:szCs w:val="20"/>
                <w:color w:val="auto"/>
              </w:rPr>
            </w:pPr>
            <w:r>
              <w:rPr>
                <w:rFonts w:ascii="Arial" w:cs="Arial" w:eastAsia="Arial" w:hAnsi="Arial"/>
                <w:sz w:val="16"/>
                <w:szCs w:val="16"/>
                <w:color w:val="auto"/>
              </w:rPr>
              <w:t>-</w:t>
            </w:r>
          </w:p>
        </w:tc>
        <w:tc>
          <w:tcPr>
            <w:tcW w:w="88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w:t>
            </w:r>
          </w:p>
        </w:tc>
      </w:tr>
      <w:tr>
        <w:trPr>
          <w:trHeight w:val="207"/>
        </w:trPr>
        <w:tc>
          <w:tcPr>
            <w:tcW w:w="20" w:type="dxa"/>
            <w:vAlign w:val="bottom"/>
          </w:tcPr>
          <w:p>
            <w:pPr>
              <w:spacing w:after="0"/>
              <w:rPr>
                <w:sz w:val="17"/>
                <w:szCs w:val="17"/>
                <w:color w:val="auto"/>
              </w:rPr>
            </w:pPr>
          </w:p>
        </w:tc>
        <w:tc>
          <w:tcPr>
            <w:tcW w:w="4120" w:type="dxa"/>
            <w:vAlign w:val="bottom"/>
          </w:tcPr>
          <w:p>
            <w:pPr>
              <w:ind w:left="80"/>
              <w:spacing w:after="0"/>
              <w:rPr>
                <w:sz w:val="20"/>
                <w:szCs w:val="20"/>
                <w:color w:val="auto"/>
              </w:rPr>
            </w:pPr>
            <w:r>
              <w:rPr>
                <w:rFonts w:ascii="Arial" w:cs="Arial" w:eastAsia="Arial" w:hAnsi="Arial"/>
                <w:sz w:val="16"/>
                <w:szCs w:val="16"/>
                <w:color w:val="auto"/>
              </w:rPr>
              <w:t>Janet O. Estep</w:t>
            </w:r>
          </w:p>
        </w:tc>
        <w:tc>
          <w:tcPr>
            <w:tcW w:w="1660" w:type="dxa"/>
            <w:vAlign w:val="bottom"/>
          </w:tcPr>
          <w:p>
            <w:pPr>
              <w:jc w:val="right"/>
              <w:ind w:right="83"/>
              <w:spacing w:after="0"/>
              <w:rPr>
                <w:sz w:val="20"/>
                <w:szCs w:val="20"/>
                <w:color w:val="auto"/>
              </w:rPr>
            </w:pPr>
            <w:r>
              <w:rPr>
                <w:rFonts w:ascii="Arial" w:cs="Arial" w:eastAsia="Arial" w:hAnsi="Arial"/>
                <w:sz w:val="16"/>
                <w:szCs w:val="16"/>
                <w:color w:val="auto"/>
              </w:rPr>
              <w:t>58,600</w:t>
            </w:r>
          </w:p>
        </w:tc>
        <w:tc>
          <w:tcPr>
            <w:tcW w:w="1520" w:type="dxa"/>
            <w:vAlign w:val="bottom"/>
          </w:tcPr>
          <w:p>
            <w:pPr>
              <w:jc w:val="right"/>
              <w:ind w:right="85"/>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58,600</w:t>
            </w:r>
          </w:p>
        </w:tc>
        <w:tc>
          <w:tcPr>
            <w:tcW w:w="88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tcPr>
          <w:p>
            <w:pPr>
              <w:spacing w:after="0"/>
              <w:rPr>
                <w:sz w:val="18"/>
                <w:szCs w:val="18"/>
                <w:color w:val="auto"/>
              </w:rPr>
            </w:pPr>
          </w:p>
        </w:tc>
        <w:tc>
          <w:tcPr>
            <w:tcW w:w="4120" w:type="dxa"/>
            <w:vAlign w:val="bottom"/>
            <w:shd w:val="clear" w:color="auto" w:fill="9DBDE4"/>
          </w:tcPr>
          <w:p>
            <w:pPr>
              <w:ind w:left="80"/>
              <w:spacing w:after="0"/>
              <w:rPr>
                <w:sz w:val="20"/>
                <w:szCs w:val="20"/>
                <w:color w:val="auto"/>
              </w:rPr>
            </w:pPr>
            <w:r>
              <w:rPr>
                <w:rFonts w:ascii="Arial" w:cs="Arial" w:eastAsia="Arial" w:hAnsi="Arial"/>
                <w:sz w:val="16"/>
                <w:szCs w:val="16"/>
                <w:color w:val="auto"/>
              </w:rPr>
              <w:t>James C. Hale III</w:t>
            </w:r>
          </w:p>
        </w:tc>
        <w:tc>
          <w:tcPr>
            <w:tcW w:w="166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73,918</w:t>
            </w:r>
          </w:p>
        </w:tc>
        <w:tc>
          <w:tcPr>
            <w:tcW w:w="1520" w:type="dxa"/>
            <w:vAlign w:val="bottom"/>
            <w:shd w:val="clear" w:color="auto" w:fill="9DBDE4"/>
          </w:tcPr>
          <w:p>
            <w:pPr>
              <w:jc w:val="right"/>
              <w:ind w:right="85"/>
              <w:spacing w:after="0"/>
              <w:rPr>
                <w:sz w:val="20"/>
                <w:szCs w:val="20"/>
                <w:color w:val="auto"/>
              </w:rPr>
            </w:pPr>
            <w:r>
              <w:rPr>
                <w:rFonts w:ascii="Arial" w:cs="Arial" w:eastAsia="Arial" w:hAnsi="Arial"/>
                <w:sz w:val="16"/>
                <w:szCs w:val="16"/>
                <w:color w:val="auto"/>
              </w:rPr>
              <w:t>-</w:t>
            </w:r>
          </w:p>
        </w:tc>
        <w:tc>
          <w:tcPr>
            <w:tcW w:w="1160" w:type="dxa"/>
            <w:vAlign w:val="bottom"/>
            <w:shd w:val="clear" w:color="auto" w:fill="9DBDE4"/>
          </w:tcPr>
          <w:p>
            <w:pPr>
              <w:jc w:val="right"/>
              <w:ind w:right="103"/>
              <w:spacing w:after="0"/>
              <w:rPr>
                <w:sz w:val="20"/>
                <w:szCs w:val="20"/>
                <w:color w:val="auto"/>
              </w:rPr>
            </w:pPr>
            <w:r>
              <w:rPr>
                <w:rFonts w:ascii="Arial" w:cs="Arial" w:eastAsia="Arial" w:hAnsi="Arial"/>
                <w:sz w:val="16"/>
                <w:szCs w:val="16"/>
                <w:color w:val="auto"/>
              </w:rPr>
              <w:t>73,918</w:t>
            </w:r>
          </w:p>
        </w:tc>
        <w:tc>
          <w:tcPr>
            <w:tcW w:w="88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w:t>
            </w:r>
          </w:p>
        </w:tc>
      </w:tr>
      <w:tr>
        <w:trPr>
          <w:trHeight w:val="207"/>
        </w:trPr>
        <w:tc>
          <w:tcPr>
            <w:tcW w:w="20" w:type="dxa"/>
            <w:vAlign w:val="bottom"/>
          </w:tcPr>
          <w:p>
            <w:pPr>
              <w:spacing w:after="0"/>
              <w:rPr>
                <w:sz w:val="17"/>
                <w:szCs w:val="17"/>
                <w:color w:val="auto"/>
              </w:rPr>
            </w:pPr>
          </w:p>
        </w:tc>
        <w:tc>
          <w:tcPr>
            <w:tcW w:w="4120" w:type="dxa"/>
            <w:vAlign w:val="bottom"/>
          </w:tcPr>
          <w:p>
            <w:pPr>
              <w:ind w:left="80"/>
              <w:spacing w:after="0"/>
              <w:rPr>
                <w:sz w:val="20"/>
                <w:szCs w:val="20"/>
                <w:color w:val="auto"/>
              </w:rPr>
            </w:pPr>
            <w:r>
              <w:rPr>
                <w:rFonts w:ascii="Arial" w:cs="Arial" w:eastAsia="Arial" w:hAnsi="Arial"/>
                <w:sz w:val="16"/>
                <w:szCs w:val="16"/>
                <w:color w:val="auto"/>
              </w:rPr>
              <w:t>Mary P. Harman</w:t>
            </w:r>
          </w:p>
        </w:tc>
        <w:tc>
          <w:tcPr>
            <w:tcW w:w="1660" w:type="dxa"/>
            <w:vAlign w:val="bottom"/>
          </w:tcPr>
          <w:p>
            <w:pPr>
              <w:jc w:val="right"/>
              <w:ind w:right="83"/>
              <w:spacing w:after="0"/>
              <w:rPr>
                <w:sz w:val="20"/>
                <w:szCs w:val="20"/>
                <w:color w:val="auto"/>
              </w:rPr>
            </w:pPr>
            <w:r>
              <w:rPr>
                <w:rFonts w:ascii="Arial" w:cs="Arial" w:eastAsia="Arial" w:hAnsi="Arial"/>
                <w:sz w:val="16"/>
                <w:szCs w:val="16"/>
                <w:color w:val="auto"/>
              </w:rPr>
              <w:t>16,107</w:t>
            </w:r>
          </w:p>
        </w:tc>
        <w:tc>
          <w:tcPr>
            <w:tcW w:w="1520" w:type="dxa"/>
            <w:vAlign w:val="bottom"/>
          </w:tcPr>
          <w:p>
            <w:pPr>
              <w:jc w:val="right"/>
              <w:ind w:right="85"/>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16,107</w:t>
            </w:r>
          </w:p>
        </w:tc>
        <w:tc>
          <w:tcPr>
            <w:tcW w:w="88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tcPr>
          <w:p>
            <w:pPr>
              <w:spacing w:after="0"/>
              <w:rPr>
                <w:sz w:val="18"/>
                <w:szCs w:val="18"/>
                <w:color w:val="auto"/>
              </w:rPr>
            </w:pPr>
          </w:p>
        </w:tc>
        <w:tc>
          <w:tcPr>
            <w:tcW w:w="4120" w:type="dxa"/>
            <w:vAlign w:val="bottom"/>
            <w:shd w:val="clear" w:color="auto" w:fill="9DBDE4"/>
          </w:tcPr>
          <w:p>
            <w:pPr>
              <w:ind w:left="80"/>
              <w:spacing w:after="0"/>
              <w:rPr>
                <w:sz w:val="20"/>
                <w:szCs w:val="20"/>
                <w:color w:val="auto"/>
              </w:rPr>
            </w:pPr>
            <w:r>
              <w:rPr>
                <w:rFonts w:ascii="Arial" w:cs="Arial" w:eastAsia="Arial" w:hAnsi="Arial"/>
                <w:sz w:val="16"/>
                <w:szCs w:val="16"/>
                <w:color w:val="auto"/>
              </w:rPr>
              <w:t>Charles E. Peters, Jr.</w:t>
            </w:r>
          </w:p>
        </w:tc>
        <w:tc>
          <w:tcPr>
            <w:tcW w:w="166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75,594</w:t>
            </w:r>
          </w:p>
        </w:tc>
        <w:tc>
          <w:tcPr>
            <w:tcW w:w="1520" w:type="dxa"/>
            <w:vAlign w:val="bottom"/>
            <w:shd w:val="clear" w:color="auto" w:fill="9DBDE4"/>
          </w:tcPr>
          <w:p>
            <w:pPr>
              <w:jc w:val="right"/>
              <w:ind w:right="85"/>
              <w:spacing w:after="0"/>
              <w:rPr>
                <w:sz w:val="20"/>
                <w:szCs w:val="20"/>
                <w:color w:val="auto"/>
              </w:rPr>
            </w:pPr>
            <w:r>
              <w:rPr>
                <w:rFonts w:ascii="Arial" w:cs="Arial" w:eastAsia="Arial" w:hAnsi="Arial"/>
                <w:sz w:val="16"/>
                <w:szCs w:val="16"/>
                <w:color w:val="auto"/>
              </w:rPr>
              <w:t>-</w:t>
            </w:r>
          </w:p>
        </w:tc>
        <w:tc>
          <w:tcPr>
            <w:tcW w:w="1160" w:type="dxa"/>
            <w:vAlign w:val="bottom"/>
            <w:shd w:val="clear" w:color="auto" w:fill="9DBDE4"/>
          </w:tcPr>
          <w:p>
            <w:pPr>
              <w:jc w:val="right"/>
              <w:ind w:right="103"/>
              <w:spacing w:after="0"/>
              <w:rPr>
                <w:sz w:val="20"/>
                <w:szCs w:val="20"/>
                <w:color w:val="auto"/>
              </w:rPr>
            </w:pPr>
            <w:r>
              <w:rPr>
                <w:rFonts w:ascii="Arial" w:cs="Arial" w:eastAsia="Arial" w:hAnsi="Arial"/>
                <w:sz w:val="16"/>
                <w:szCs w:val="16"/>
                <w:color w:val="auto"/>
              </w:rPr>
              <w:t>75,594</w:t>
            </w:r>
          </w:p>
        </w:tc>
        <w:tc>
          <w:tcPr>
            <w:tcW w:w="88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w:t>
            </w:r>
          </w:p>
        </w:tc>
      </w:tr>
      <w:tr>
        <w:trPr>
          <w:trHeight w:val="208"/>
        </w:trPr>
        <w:tc>
          <w:tcPr>
            <w:tcW w:w="20" w:type="dxa"/>
            <w:vAlign w:val="bottom"/>
          </w:tcPr>
          <w:p>
            <w:pPr>
              <w:spacing w:after="0"/>
              <w:rPr>
                <w:sz w:val="18"/>
                <w:szCs w:val="18"/>
                <w:color w:val="auto"/>
              </w:rPr>
            </w:pPr>
          </w:p>
        </w:tc>
        <w:tc>
          <w:tcPr>
            <w:tcW w:w="4120" w:type="dxa"/>
            <w:vAlign w:val="bottom"/>
          </w:tcPr>
          <w:p>
            <w:pPr>
              <w:ind w:left="80"/>
              <w:spacing w:after="0" w:line="208" w:lineRule="exact"/>
              <w:rPr>
                <w:sz w:val="20"/>
                <w:szCs w:val="20"/>
                <w:color w:val="auto"/>
              </w:rPr>
            </w:pPr>
            <w:r>
              <w:rPr>
                <w:rFonts w:ascii="Arial" w:cs="Arial" w:eastAsia="Arial" w:hAnsi="Arial"/>
                <w:sz w:val="16"/>
                <w:szCs w:val="16"/>
                <w:color w:val="auto"/>
              </w:rPr>
              <w:t>Adalio T. Sanchez</w:t>
            </w:r>
            <w:r>
              <w:rPr>
                <w:rFonts w:ascii="Arial" w:cs="Arial" w:eastAsia="Arial" w:hAnsi="Arial"/>
                <w:sz w:val="23"/>
                <w:szCs w:val="23"/>
                <w:color w:val="auto"/>
                <w:vertAlign w:val="superscript"/>
              </w:rPr>
              <w:t>(6)</w:t>
            </w:r>
          </w:p>
        </w:tc>
        <w:tc>
          <w:tcPr>
            <w:tcW w:w="1660" w:type="dxa"/>
            <w:vAlign w:val="bottom"/>
          </w:tcPr>
          <w:p>
            <w:pPr>
              <w:jc w:val="right"/>
              <w:ind w:right="83"/>
              <w:spacing w:after="0"/>
              <w:rPr>
                <w:sz w:val="20"/>
                <w:szCs w:val="20"/>
                <w:color w:val="auto"/>
              </w:rPr>
            </w:pPr>
            <w:r>
              <w:rPr>
                <w:rFonts w:ascii="Arial" w:cs="Arial" w:eastAsia="Arial" w:hAnsi="Arial"/>
                <w:sz w:val="16"/>
                <w:szCs w:val="16"/>
                <w:color w:val="auto"/>
              </w:rPr>
              <w:t>77,222</w:t>
            </w:r>
          </w:p>
        </w:tc>
        <w:tc>
          <w:tcPr>
            <w:tcW w:w="1520" w:type="dxa"/>
            <w:vAlign w:val="bottom"/>
          </w:tcPr>
          <w:p>
            <w:pPr>
              <w:jc w:val="right"/>
              <w:ind w:right="85"/>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77,222</w:t>
            </w:r>
          </w:p>
        </w:tc>
        <w:tc>
          <w:tcPr>
            <w:tcW w:w="88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08"/>
        </w:trPr>
        <w:tc>
          <w:tcPr>
            <w:tcW w:w="20" w:type="dxa"/>
            <w:vAlign w:val="bottom"/>
          </w:tcPr>
          <w:p>
            <w:pPr>
              <w:spacing w:after="0"/>
              <w:rPr>
                <w:sz w:val="18"/>
                <w:szCs w:val="18"/>
                <w:color w:val="auto"/>
              </w:rPr>
            </w:pPr>
          </w:p>
        </w:tc>
        <w:tc>
          <w:tcPr>
            <w:tcW w:w="4120" w:type="dxa"/>
            <w:vAlign w:val="bottom"/>
            <w:shd w:val="clear" w:color="auto" w:fill="9DBDE4"/>
          </w:tcPr>
          <w:p>
            <w:pPr>
              <w:ind w:left="80"/>
              <w:spacing w:after="0"/>
              <w:rPr>
                <w:sz w:val="20"/>
                <w:szCs w:val="20"/>
                <w:color w:val="auto"/>
              </w:rPr>
            </w:pPr>
            <w:r>
              <w:rPr>
                <w:rFonts w:ascii="Arial" w:cs="Arial" w:eastAsia="Arial" w:hAnsi="Arial"/>
                <w:sz w:val="16"/>
                <w:szCs w:val="16"/>
                <w:color w:val="auto"/>
              </w:rPr>
              <w:t>Samir M. Zabaneh</w:t>
            </w:r>
          </w:p>
        </w:tc>
        <w:tc>
          <w:tcPr>
            <w:tcW w:w="166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16,107</w:t>
            </w:r>
          </w:p>
        </w:tc>
        <w:tc>
          <w:tcPr>
            <w:tcW w:w="1520" w:type="dxa"/>
            <w:vAlign w:val="bottom"/>
            <w:shd w:val="clear" w:color="auto" w:fill="9DBDE4"/>
          </w:tcPr>
          <w:p>
            <w:pPr>
              <w:jc w:val="right"/>
              <w:ind w:right="85"/>
              <w:spacing w:after="0"/>
              <w:rPr>
                <w:sz w:val="20"/>
                <w:szCs w:val="20"/>
                <w:color w:val="auto"/>
              </w:rPr>
            </w:pPr>
            <w:r>
              <w:rPr>
                <w:rFonts w:ascii="Arial" w:cs="Arial" w:eastAsia="Arial" w:hAnsi="Arial"/>
                <w:sz w:val="16"/>
                <w:szCs w:val="16"/>
                <w:color w:val="auto"/>
              </w:rPr>
              <w:t>-</w:t>
            </w:r>
          </w:p>
        </w:tc>
        <w:tc>
          <w:tcPr>
            <w:tcW w:w="1160" w:type="dxa"/>
            <w:vAlign w:val="bottom"/>
            <w:shd w:val="clear" w:color="auto" w:fill="9DBDE4"/>
          </w:tcPr>
          <w:p>
            <w:pPr>
              <w:jc w:val="right"/>
              <w:ind w:right="103"/>
              <w:spacing w:after="0"/>
              <w:rPr>
                <w:sz w:val="20"/>
                <w:szCs w:val="20"/>
                <w:color w:val="auto"/>
              </w:rPr>
            </w:pPr>
            <w:r>
              <w:rPr>
                <w:rFonts w:ascii="Arial" w:cs="Arial" w:eastAsia="Arial" w:hAnsi="Arial"/>
                <w:sz w:val="16"/>
                <w:szCs w:val="16"/>
                <w:color w:val="auto"/>
              </w:rPr>
              <w:t>16,107</w:t>
            </w:r>
          </w:p>
        </w:tc>
        <w:tc>
          <w:tcPr>
            <w:tcW w:w="88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w:t>
            </w:r>
          </w:p>
        </w:tc>
      </w:tr>
      <w:tr>
        <w:trPr>
          <w:trHeight w:val="207"/>
        </w:trPr>
        <w:tc>
          <w:tcPr>
            <w:tcW w:w="20" w:type="dxa"/>
            <w:vAlign w:val="bottom"/>
          </w:tcPr>
          <w:p>
            <w:pPr>
              <w:spacing w:after="0"/>
              <w:rPr>
                <w:sz w:val="17"/>
                <w:szCs w:val="17"/>
                <w:color w:val="auto"/>
              </w:rPr>
            </w:pPr>
          </w:p>
        </w:tc>
        <w:tc>
          <w:tcPr>
            <w:tcW w:w="4120" w:type="dxa"/>
            <w:vAlign w:val="bottom"/>
          </w:tcPr>
          <w:p>
            <w:pPr>
              <w:ind w:left="80"/>
              <w:spacing w:after="0"/>
              <w:rPr>
                <w:sz w:val="20"/>
                <w:szCs w:val="20"/>
                <w:color w:val="auto"/>
              </w:rPr>
            </w:pPr>
            <w:r>
              <w:rPr>
                <w:rFonts w:ascii="Arial" w:cs="Arial" w:eastAsia="Arial" w:hAnsi="Arial"/>
                <w:sz w:val="16"/>
                <w:szCs w:val="16"/>
                <w:color w:val="auto"/>
              </w:rPr>
              <w:t>Katrinka McCallum</w:t>
            </w:r>
          </w:p>
        </w:tc>
        <w:tc>
          <w:tcPr>
            <w:tcW w:w="166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85"/>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tcPr>
          <w:p>
            <w:pPr>
              <w:spacing w:after="0"/>
              <w:rPr>
                <w:sz w:val="18"/>
                <w:szCs w:val="18"/>
                <w:color w:val="auto"/>
              </w:rPr>
            </w:pPr>
          </w:p>
        </w:tc>
        <w:tc>
          <w:tcPr>
            <w:tcW w:w="4120" w:type="dxa"/>
            <w:vAlign w:val="bottom"/>
            <w:shd w:val="clear" w:color="auto" w:fill="9DBDE4"/>
          </w:tcPr>
          <w:p>
            <w:pPr>
              <w:ind w:left="80"/>
              <w:spacing w:after="0"/>
              <w:rPr>
                <w:sz w:val="20"/>
                <w:szCs w:val="20"/>
                <w:color w:val="auto"/>
              </w:rPr>
            </w:pPr>
            <w:r>
              <w:rPr>
                <w:rFonts w:ascii="Arial" w:cs="Arial" w:eastAsia="Arial" w:hAnsi="Arial"/>
                <w:sz w:val="16"/>
                <w:szCs w:val="16"/>
                <w:color w:val="auto"/>
              </w:rPr>
              <w:t>Juan A. Benitez</w:t>
            </w:r>
          </w:p>
        </w:tc>
        <w:tc>
          <w:tcPr>
            <w:tcW w:w="166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w:t>
            </w:r>
          </w:p>
        </w:tc>
        <w:tc>
          <w:tcPr>
            <w:tcW w:w="1520" w:type="dxa"/>
            <w:vAlign w:val="bottom"/>
            <w:shd w:val="clear" w:color="auto" w:fill="9DBDE4"/>
          </w:tcPr>
          <w:p>
            <w:pPr>
              <w:jc w:val="right"/>
              <w:ind w:right="85"/>
              <w:spacing w:after="0"/>
              <w:rPr>
                <w:sz w:val="20"/>
                <w:szCs w:val="20"/>
                <w:color w:val="auto"/>
              </w:rPr>
            </w:pPr>
            <w:r>
              <w:rPr>
                <w:rFonts w:ascii="Arial" w:cs="Arial" w:eastAsia="Arial" w:hAnsi="Arial"/>
                <w:sz w:val="16"/>
                <w:szCs w:val="16"/>
                <w:color w:val="auto"/>
              </w:rPr>
              <w:t>-</w:t>
            </w:r>
          </w:p>
        </w:tc>
        <w:tc>
          <w:tcPr>
            <w:tcW w:w="1160" w:type="dxa"/>
            <w:vAlign w:val="bottom"/>
            <w:shd w:val="clear" w:color="auto" w:fill="9DBDE4"/>
          </w:tcPr>
          <w:p>
            <w:pPr>
              <w:jc w:val="right"/>
              <w:ind w:right="103"/>
              <w:spacing w:after="0"/>
              <w:rPr>
                <w:sz w:val="20"/>
                <w:szCs w:val="20"/>
                <w:color w:val="auto"/>
              </w:rPr>
            </w:pPr>
            <w:r>
              <w:rPr>
                <w:rFonts w:ascii="Arial" w:cs="Arial" w:eastAsia="Arial" w:hAnsi="Arial"/>
                <w:sz w:val="16"/>
                <w:szCs w:val="16"/>
                <w:color w:val="auto"/>
              </w:rPr>
              <w:t>-</w:t>
            </w:r>
          </w:p>
        </w:tc>
        <w:tc>
          <w:tcPr>
            <w:tcW w:w="88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w:t>
            </w:r>
          </w:p>
        </w:tc>
      </w:tr>
      <w:tr>
        <w:trPr>
          <w:trHeight w:val="168"/>
        </w:trPr>
        <w:tc>
          <w:tcPr>
            <w:tcW w:w="20" w:type="dxa"/>
            <w:vAlign w:val="bottom"/>
          </w:tcPr>
          <w:p>
            <w:pPr>
              <w:spacing w:after="0"/>
              <w:rPr>
                <w:sz w:val="14"/>
                <w:szCs w:val="14"/>
                <w:color w:val="auto"/>
              </w:rPr>
            </w:pPr>
          </w:p>
        </w:tc>
        <w:tc>
          <w:tcPr>
            <w:tcW w:w="4120" w:type="dxa"/>
            <w:vAlign w:val="bottom"/>
          </w:tcPr>
          <w:p>
            <w:pPr>
              <w:ind w:left="80"/>
              <w:spacing w:after="0" w:line="168" w:lineRule="exact"/>
              <w:rPr>
                <w:sz w:val="20"/>
                <w:szCs w:val="20"/>
                <w:color w:val="auto"/>
              </w:rPr>
            </w:pPr>
            <w:r>
              <w:rPr>
                <w:rFonts w:ascii="Arial" w:cs="Arial" w:eastAsia="Arial" w:hAnsi="Arial"/>
                <w:sz w:val="16"/>
                <w:szCs w:val="16"/>
                <w:b w:val="1"/>
                <w:bCs w:val="1"/>
                <w:color w:val="auto"/>
              </w:rPr>
              <w:t>All Directors and Executive Officers as a group (13</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5"/>
        </w:trPr>
        <w:tc>
          <w:tcPr>
            <w:tcW w:w="20" w:type="dxa"/>
            <w:vAlign w:val="bottom"/>
          </w:tcPr>
          <w:p>
            <w:pPr>
              <w:spacing w:after="0"/>
              <w:rPr>
                <w:sz w:val="18"/>
                <w:szCs w:val="18"/>
                <w:color w:val="auto"/>
              </w:rPr>
            </w:pPr>
          </w:p>
        </w:tc>
        <w:tc>
          <w:tcPr>
            <w:tcW w:w="4120" w:type="dxa"/>
            <w:vAlign w:val="bottom"/>
          </w:tcPr>
          <w:p>
            <w:pPr>
              <w:ind w:left="80"/>
              <w:spacing w:after="0"/>
              <w:rPr>
                <w:sz w:val="20"/>
                <w:szCs w:val="20"/>
                <w:color w:val="auto"/>
              </w:rPr>
            </w:pPr>
            <w:r>
              <w:rPr>
                <w:rFonts w:ascii="Arial" w:cs="Arial" w:eastAsia="Arial" w:hAnsi="Arial"/>
                <w:sz w:val="16"/>
                <w:szCs w:val="16"/>
                <w:b w:val="1"/>
                <w:bCs w:val="1"/>
                <w:color w:val="auto"/>
              </w:rPr>
              <w:t>Persons)</w:t>
            </w:r>
          </w:p>
        </w:tc>
        <w:tc>
          <w:tcPr>
            <w:tcW w:w="1660" w:type="dxa"/>
            <w:vAlign w:val="bottom"/>
          </w:tcPr>
          <w:p>
            <w:pPr>
              <w:jc w:val="right"/>
              <w:ind w:right="83"/>
              <w:spacing w:after="0"/>
              <w:rPr>
                <w:sz w:val="20"/>
                <w:szCs w:val="20"/>
                <w:color w:val="auto"/>
              </w:rPr>
            </w:pPr>
            <w:r>
              <w:rPr>
                <w:rFonts w:ascii="Arial" w:cs="Arial" w:eastAsia="Arial" w:hAnsi="Arial"/>
                <w:sz w:val="16"/>
                <w:szCs w:val="16"/>
                <w:color w:val="auto"/>
              </w:rPr>
              <w:t>813,815</w:t>
            </w:r>
          </w:p>
        </w:tc>
        <w:tc>
          <w:tcPr>
            <w:tcW w:w="1520" w:type="dxa"/>
            <w:vAlign w:val="bottom"/>
          </w:tcPr>
          <w:p>
            <w:pPr>
              <w:jc w:val="right"/>
              <w:ind w:right="85"/>
              <w:spacing w:after="0"/>
              <w:rPr>
                <w:sz w:val="20"/>
                <w:szCs w:val="20"/>
                <w:color w:val="auto"/>
              </w:rPr>
            </w:pPr>
            <w:r>
              <w:rPr>
                <w:rFonts w:ascii="Arial" w:cs="Arial" w:eastAsia="Arial" w:hAnsi="Arial"/>
                <w:sz w:val="16"/>
                <w:szCs w:val="16"/>
                <w:color w:val="auto"/>
              </w:rPr>
              <w:t>244,021</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1,057,836</w:t>
            </w:r>
          </w:p>
        </w:tc>
        <w:tc>
          <w:tcPr>
            <w:tcW w:w="880" w:type="dxa"/>
            <w:vAlign w:val="bottom"/>
          </w:tcPr>
          <w:p>
            <w:pPr>
              <w:jc w:val="right"/>
              <w:ind w:right="83"/>
              <w:spacing w:after="0"/>
              <w:rPr>
                <w:sz w:val="20"/>
                <w:szCs w:val="20"/>
                <w:color w:val="auto"/>
              </w:rPr>
            </w:pPr>
            <w:r>
              <w:rPr>
                <w:rFonts w:ascii="Arial" w:cs="Arial" w:eastAsia="Arial" w:hAnsi="Arial"/>
                <w:sz w:val="16"/>
                <w:szCs w:val="16"/>
                <w:color w:val="auto"/>
              </w:rPr>
              <w:t>1.00%</w:t>
            </w:r>
          </w:p>
        </w:tc>
      </w:tr>
      <w:tr>
        <w:trPr>
          <w:trHeight w:val="46"/>
        </w:trPr>
        <w:tc>
          <w:tcPr>
            <w:tcW w:w="20" w:type="dxa"/>
            <w:vAlign w:val="bottom"/>
          </w:tcPr>
          <w:p>
            <w:pPr>
              <w:spacing w:after="0"/>
              <w:rPr>
                <w:sz w:val="3"/>
                <w:szCs w:val="3"/>
                <w:color w:val="auto"/>
              </w:rPr>
            </w:pPr>
          </w:p>
        </w:tc>
        <w:tc>
          <w:tcPr>
            <w:tcW w:w="4120" w:type="dxa"/>
            <w:vAlign w:val="bottom"/>
            <w:tcBorders>
              <w:bottom w:val="single" w:sz="8" w:color="284993"/>
            </w:tcBorders>
          </w:tcPr>
          <w:p>
            <w:pPr>
              <w:spacing w:after="0"/>
              <w:rPr>
                <w:sz w:val="3"/>
                <w:szCs w:val="3"/>
                <w:color w:val="auto"/>
              </w:rPr>
            </w:pPr>
          </w:p>
        </w:tc>
        <w:tc>
          <w:tcPr>
            <w:tcW w:w="1660" w:type="dxa"/>
            <w:vAlign w:val="bottom"/>
            <w:tcBorders>
              <w:bottom w:val="single" w:sz="8" w:color="284993"/>
            </w:tcBorders>
          </w:tcPr>
          <w:p>
            <w:pPr>
              <w:spacing w:after="0"/>
              <w:rPr>
                <w:sz w:val="3"/>
                <w:szCs w:val="3"/>
                <w:color w:val="auto"/>
              </w:rPr>
            </w:pPr>
          </w:p>
        </w:tc>
        <w:tc>
          <w:tcPr>
            <w:tcW w:w="1520" w:type="dxa"/>
            <w:vAlign w:val="bottom"/>
            <w:tcBorders>
              <w:bottom w:val="single" w:sz="8" w:color="284993"/>
            </w:tcBorders>
          </w:tcPr>
          <w:p>
            <w:pPr>
              <w:spacing w:after="0"/>
              <w:rPr>
                <w:sz w:val="3"/>
                <w:szCs w:val="3"/>
                <w:color w:val="auto"/>
              </w:rPr>
            </w:pPr>
          </w:p>
        </w:tc>
        <w:tc>
          <w:tcPr>
            <w:tcW w:w="1160" w:type="dxa"/>
            <w:vAlign w:val="bottom"/>
            <w:tcBorders>
              <w:bottom w:val="single" w:sz="8" w:color="284993"/>
            </w:tcBorders>
          </w:tcPr>
          <w:p>
            <w:pPr>
              <w:spacing w:after="0"/>
              <w:rPr>
                <w:sz w:val="3"/>
                <w:szCs w:val="3"/>
                <w:color w:val="auto"/>
              </w:rPr>
            </w:pPr>
          </w:p>
        </w:tc>
        <w:tc>
          <w:tcPr>
            <w:tcW w:w="880" w:type="dxa"/>
            <w:vAlign w:val="bottom"/>
            <w:tcBorders>
              <w:bottom w:val="single" w:sz="8" w:color="284993"/>
            </w:tcBorders>
          </w:tcPr>
          <w:p>
            <w:pPr>
              <w:spacing w:after="0"/>
              <w:rPr>
                <w:sz w:val="3"/>
                <w:szCs w:val="3"/>
                <w:color w:val="auto"/>
              </w:rPr>
            </w:pPr>
          </w:p>
        </w:tc>
      </w:tr>
    </w:tbl>
    <w:p>
      <w:pPr>
        <w:spacing w:after="0" w:line="99" w:lineRule="exact"/>
        <w:rPr>
          <w:sz w:val="20"/>
          <w:szCs w:val="20"/>
          <w:color w:val="auto"/>
        </w:rPr>
      </w:pPr>
    </w:p>
    <w:p>
      <w:pPr>
        <w:ind w:left="280" w:hanging="274"/>
        <w:spacing w:after="0"/>
        <w:tabs>
          <w:tab w:leader="none" w:pos="2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Less than 1% of the outstanding shares of our common stock.</w:t>
      </w:r>
    </w:p>
    <w:p>
      <w:pPr>
        <w:ind w:left="280" w:hanging="274"/>
        <w:spacing w:after="0" w:line="186" w:lineRule="auto"/>
        <w:tabs>
          <w:tab w:leader="none" w:pos="280" w:val="left"/>
        </w:tabs>
        <w:numPr>
          <w:ilvl w:val="0"/>
          <w:numId w:val="22"/>
        </w:numPr>
        <w:rPr>
          <w:rFonts w:ascii="Arial" w:cs="Arial" w:eastAsia="Arial" w:hAnsi="Arial"/>
          <w:sz w:val="15"/>
          <w:szCs w:val="15"/>
          <w:color w:val="auto"/>
          <w:vertAlign w:val="superscript"/>
        </w:rPr>
      </w:pPr>
      <w:r>
        <w:rPr>
          <w:rFonts w:ascii="Arial" w:cs="Arial" w:eastAsia="Arial" w:hAnsi="Arial"/>
          <w:sz w:val="10"/>
          <w:szCs w:val="10"/>
          <w:color w:val="auto"/>
        </w:rPr>
        <w:t>The address for all of our directors, director nominees and executive officers is the address of ACI’s office located at 6060 Coventry Drive, Elkhorn, NE 68022.</w:t>
      </w:r>
    </w:p>
    <w:p>
      <w:pPr>
        <w:ind w:left="280" w:right="40" w:hanging="274"/>
        <w:spacing w:after="0" w:line="193" w:lineRule="auto"/>
        <w:tabs>
          <w:tab w:leader="none" w:pos="280" w:val="left"/>
        </w:tabs>
        <w:numPr>
          <w:ilvl w:val="0"/>
          <w:numId w:val="22"/>
        </w:numPr>
        <w:rPr>
          <w:rFonts w:ascii="Arial" w:cs="Arial" w:eastAsia="Arial" w:hAnsi="Arial"/>
          <w:sz w:val="18"/>
          <w:szCs w:val="18"/>
          <w:color w:val="auto"/>
          <w:vertAlign w:val="superscript"/>
        </w:rPr>
      </w:pPr>
      <w:r>
        <w:rPr>
          <w:rFonts w:ascii="Arial" w:cs="Arial" w:eastAsia="Arial" w:hAnsi="Arial"/>
          <w:sz w:val="12"/>
          <w:szCs w:val="12"/>
          <w:color w:val="auto"/>
        </w:rPr>
        <w:t>Includes shares issuable upon exercise of vested stock options as of 60 days following March 31, 2024 and shares underlying other equity awards that will vest within 60 days of March 31, 2024 (May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83185</wp:posOffset>
            </wp:positionV>
            <wp:extent cx="701675" cy="1320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1675" cy="13208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28</w:t>
      </w:r>
    </w:p>
    <w:p>
      <w:pPr>
        <w:sectPr>
          <w:pgSz w:w="11900" w:h="16838" w:orient="portrait"/>
          <w:cols w:equalWidth="0" w:num="1">
            <w:col w:w="9360"/>
          </w:cols>
          <w:pgMar w:left="1260" w:top="254" w:right="1279" w:bottom="1440" w:gutter="0" w:footer="0" w:header="0"/>
        </w:sectPr>
      </w:pPr>
    </w:p>
    <w:bookmarkStart w:id="34" w:name="page35"/>
    <w:bookmarkEnd w:id="34"/>
    <w:p>
      <w:pPr>
        <w:ind w:left="280" w:right="120" w:hanging="274"/>
        <w:spacing w:after="0" w:line="199" w:lineRule="auto"/>
        <w:tabs>
          <w:tab w:leader="none" w:pos="280" w:val="left"/>
        </w:tabs>
        <w:numPr>
          <w:ilvl w:val="0"/>
          <w:numId w:val="23"/>
        </w:numPr>
        <w:rPr>
          <w:rFonts w:ascii="Arial" w:cs="Arial" w:eastAsia="Arial" w:hAnsi="Arial"/>
          <w:sz w:val="18"/>
          <w:szCs w:val="18"/>
          <w:color w:val="auto"/>
          <w:vertAlign w:val="superscript"/>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Represents shares beneficially owned by BlackRock, Inc., or BlackRock, based on a Schedule 13G/A filed with the SEC on January 22, 2024, which contained information as of December 31, 2023. According to the Schedule 13G/A, BlackRock has sole voting power over 17,815,047 shares and has sole dispositive power over 18,047,894 shares.</w:t>
      </w:r>
    </w:p>
    <w:p>
      <w:pPr>
        <w:spacing w:after="0" w:line="1" w:lineRule="exact"/>
        <w:rPr>
          <w:rFonts w:ascii="Arial" w:cs="Arial" w:eastAsia="Arial" w:hAnsi="Arial"/>
          <w:sz w:val="18"/>
          <w:szCs w:val="18"/>
          <w:color w:val="auto"/>
          <w:vertAlign w:val="superscript"/>
        </w:rPr>
      </w:pPr>
    </w:p>
    <w:p>
      <w:pPr>
        <w:ind w:left="280" w:right="20" w:hanging="274"/>
        <w:spacing w:after="0" w:line="193" w:lineRule="auto"/>
        <w:tabs>
          <w:tab w:leader="none" w:pos="280" w:val="left"/>
        </w:tabs>
        <w:numPr>
          <w:ilvl w:val="0"/>
          <w:numId w:val="23"/>
        </w:numPr>
        <w:rPr>
          <w:rFonts w:ascii="Arial" w:cs="Arial" w:eastAsia="Arial" w:hAnsi="Arial"/>
          <w:sz w:val="18"/>
          <w:szCs w:val="18"/>
          <w:color w:val="auto"/>
          <w:vertAlign w:val="superscript"/>
        </w:rPr>
      </w:pPr>
      <w:r>
        <w:rPr>
          <w:rFonts w:ascii="Arial" w:cs="Arial" w:eastAsia="Arial" w:hAnsi="Arial"/>
          <w:sz w:val="12"/>
          <w:szCs w:val="12"/>
          <w:color w:val="auto"/>
        </w:rPr>
        <w:t>Represents shares beneficially owned by The Vanguard Group, Inc., or Vanguard, based on a Schedule 13G/A filed with the SEC on February 13, 2024, which contained information as of December 29, 2023. According to the Schedule 13G/A, Vanguard has shared voting power with respect to 182,458 shares, sole dispositive power with respect to 12,906,616 shares and shared dispositive power with respect to 298,201 shares.</w:t>
      </w:r>
    </w:p>
    <w:p>
      <w:pPr>
        <w:spacing w:after="0" w:line="1" w:lineRule="exact"/>
        <w:rPr>
          <w:rFonts w:ascii="Arial" w:cs="Arial" w:eastAsia="Arial" w:hAnsi="Arial"/>
          <w:sz w:val="18"/>
          <w:szCs w:val="18"/>
          <w:color w:val="auto"/>
          <w:vertAlign w:val="superscript"/>
        </w:rPr>
      </w:pPr>
    </w:p>
    <w:p>
      <w:pPr>
        <w:ind w:left="280" w:right="20" w:hanging="274"/>
        <w:spacing w:after="0" w:line="208" w:lineRule="auto"/>
        <w:tabs>
          <w:tab w:leader="none" w:pos="280" w:val="left"/>
        </w:tabs>
        <w:numPr>
          <w:ilvl w:val="0"/>
          <w:numId w:val="23"/>
        </w:numPr>
        <w:rPr>
          <w:rFonts w:ascii="Arial" w:cs="Arial" w:eastAsia="Arial" w:hAnsi="Arial"/>
          <w:sz w:val="18"/>
          <w:szCs w:val="18"/>
          <w:color w:val="auto"/>
          <w:vertAlign w:val="superscript"/>
        </w:rPr>
      </w:pPr>
      <w:r>
        <w:rPr>
          <w:rFonts w:ascii="Arial" w:cs="Arial" w:eastAsia="Arial" w:hAnsi="Arial"/>
          <w:sz w:val="12"/>
          <w:szCs w:val="12"/>
          <w:color w:val="auto"/>
        </w:rPr>
        <w:t>Represents shares beneficially owned by Franklin Mutual Advisers, LLC, or FMA, based on a Schedule 13G/A filed with the SEC on January 30, 2024, which contained information as of December 31, 2023. According to the Schedule 13G/A, FMA is an indirect wholly owned subsidiary of Franklin Resources, Inc. (“FRI”). When an investment management contract (including a sub-advisory agreement) delegates to FMA investment discretion or voting power over the securities held in the investment advisory accounts that are subject to that agreement, FRI treats FMA as having sole investment discretion or voting authority, as the case may be, unless the agreement specifies otherwise. Accordingly, FMA reports that it has sole investment discretion and voting authority over the securities covered by any such investment management agreement. As a result, FMA may be deemed to be the beneficial owner of the securities reported hereby. .</w:t>
      </w:r>
    </w:p>
    <w:p>
      <w:pPr>
        <w:spacing w:after="0" w:line="2" w:lineRule="exact"/>
        <w:rPr>
          <w:rFonts w:ascii="Arial" w:cs="Arial" w:eastAsia="Arial" w:hAnsi="Arial"/>
          <w:sz w:val="18"/>
          <w:szCs w:val="18"/>
          <w:color w:val="auto"/>
          <w:vertAlign w:val="superscript"/>
        </w:rPr>
      </w:pPr>
    </w:p>
    <w:p>
      <w:pPr>
        <w:ind w:left="280" w:hanging="274"/>
        <w:spacing w:after="0" w:line="181" w:lineRule="auto"/>
        <w:tabs>
          <w:tab w:leader="none" w:pos="280" w:val="left"/>
        </w:tabs>
        <w:numPr>
          <w:ilvl w:val="0"/>
          <w:numId w:val="23"/>
        </w:numPr>
        <w:rPr>
          <w:rFonts w:ascii="Arial" w:cs="Arial" w:eastAsia="Arial" w:hAnsi="Arial"/>
          <w:sz w:val="17"/>
          <w:szCs w:val="17"/>
          <w:color w:val="auto"/>
          <w:vertAlign w:val="superscript"/>
        </w:rPr>
      </w:pPr>
      <w:r>
        <w:rPr>
          <w:rFonts w:ascii="Arial" w:cs="Arial" w:eastAsia="Arial" w:hAnsi="Arial"/>
          <w:sz w:val="12"/>
          <w:szCs w:val="12"/>
          <w:color w:val="auto"/>
        </w:rPr>
        <w:t>Represents shares held by trusts for which Mr. Sanchez is the sole settlor, trustee and annuitant.</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Delinquent Section 16(a) Reports</w:t>
      </w:r>
    </w:p>
    <w:p>
      <w:pPr>
        <w:spacing w:after="0" w:line="110" w:lineRule="exact"/>
        <w:rPr>
          <w:sz w:val="20"/>
          <w:szCs w:val="20"/>
          <w:color w:val="auto"/>
        </w:rPr>
      </w:pPr>
    </w:p>
    <w:p>
      <w:pPr>
        <w:ind w:right="80"/>
        <w:spacing w:after="0" w:line="280" w:lineRule="auto"/>
        <w:rPr>
          <w:sz w:val="20"/>
          <w:szCs w:val="20"/>
          <w:color w:val="auto"/>
        </w:rPr>
      </w:pPr>
      <w:r>
        <w:rPr>
          <w:rFonts w:ascii="Arial" w:cs="Arial" w:eastAsia="Arial" w:hAnsi="Arial"/>
          <w:sz w:val="14"/>
          <w:szCs w:val="14"/>
          <w:color w:val="auto"/>
        </w:rPr>
        <w:t>Section 16(a) of the Exchange Act and the rules of the SEC require our directors, certain officers and beneficial owners of more than 10% of our outstanding common stock to file reports of their ownership and changes in ownership of our common stock with the SEC. ACI employees generally prepare these reports on behalf of our executive officers and directors on the basis of information obtained from them, and we review the forms submitted to us by beneficial owners of more than 10% of our common stock. Based on such information, we believe that all but four reports required by Section 16(a) of the Exchange Act to be filed by our directors, officers and beneficial owners of more than 10% of the common stock during or with respect to 2023 were filed on time. Each of Scott Behrens and Deborah Guerra did not timely file a Form 4 statement of changes in beneficial ownership of securities, but such forms were subsequently filed. Abe Kuruvilla did not timely file a Form 3 initial statement of beneficial ownership of securities and a Form 4 statement of changes in beneficial ownership of securities, but such forms were subsequently filed.</w:t>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29</w:t>
      </w:r>
    </w:p>
    <w:p>
      <w:pPr>
        <w:sectPr>
          <w:pgSz w:w="11900" w:h="16838" w:orient="portrait"/>
          <w:cols w:equalWidth="0" w:num="1">
            <w:col w:w="9360"/>
          </w:cols>
          <w:pgMar w:left="1260" w:top="291" w:right="1279" w:bottom="1440" w:gutter="0" w:footer="0" w:header="0"/>
        </w:sectPr>
      </w:pPr>
    </w:p>
    <w:bookmarkStart w:id="35" w:name="page36"/>
    <w:bookmarkEnd w:id="35"/>
    <w:p>
      <w:pPr>
        <w:jc w:val="center"/>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257175</wp:posOffset>
            </wp:positionV>
            <wp:extent cx="59410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compensation we paid to our independent directors for the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154940</wp:posOffset>
            </wp:positionV>
            <wp:extent cx="8255" cy="16833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1683385"/>
                    </a:xfrm>
                    <a:prstGeom prst="rect">
                      <a:avLst/>
                    </a:prstGeom>
                    <a:noFill/>
                  </pic:spPr>
                </pic:pic>
              </a:graphicData>
            </a:graphic>
          </wp:anchor>
        </w:drawing>
        <w:drawing>
          <wp:anchor simplePos="0" relativeHeight="251657728" behindDoc="1" locked="0" layoutInCell="0" allowOverlap="1">
            <wp:simplePos x="0" y="0"/>
            <wp:positionH relativeFrom="column">
              <wp:posOffset>3110230</wp:posOffset>
            </wp:positionH>
            <wp:positionV relativeFrom="paragraph">
              <wp:posOffset>154940</wp:posOffset>
            </wp:positionV>
            <wp:extent cx="8255" cy="1683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1683385"/>
                    </a:xfrm>
                    <a:prstGeom prst="rect">
                      <a:avLst/>
                    </a:prstGeom>
                    <a:noFill/>
                  </pic:spPr>
                </pic:pic>
              </a:graphicData>
            </a:graphic>
          </wp:anchor>
        </w:drawing>
        <w:drawing>
          <wp:anchor simplePos="0" relativeHeight="251657728" behindDoc="1" locked="0" layoutInCell="0" allowOverlap="1">
            <wp:simplePos x="0" y="0"/>
            <wp:positionH relativeFrom="column">
              <wp:posOffset>1525905</wp:posOffset>
            </wp:positionH>
            <wp:positionV relativeFrom="paragraph">
              <wp:posOffset>154940</wp:posOffset>
            </wp:positionV>
            <wp:extent cx="8255" cy="16833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168338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500" w:type="dxa"/>
            <w:vAlign w:val="bottom"/>
            <w:shd w:val="clear" w:color="auto" w:fill="284993"/>
          </w:tcPr>
          <w:p>
            <w:pPr>
              <w:spacing w:after="0"/>
              <w:rPr>
                <w:sz w:val="16"/>
                <w:szCs w:val="16"/>
                <w:color w:val="auto"/>
              </w:rPr>
            </w:pPr>
          </w:p>
        </w:tc>
        <w:tc>
          <w:tcPr>
            <w:tcW w:w="2400" w:type="dxa"/>
            <w:vAlign w:val="bottom"/>
            <w:shd w:val="clear" w:color="auto" w:fill="284993"/>
          </w:tcPr>
          <w:p>
            <w:pPr>
              <w:spacing w:after="0"/>
              <w:rPr>
                <w:sz w:val="16"/>
                <w:szCs w:val="16"/>
                <w:color w:val="auto"/>
              </w:rPr>
            </w:pPr>
          </w:p>
        </w:tc>
        <w:tc>
          <w:tcPr>
            <w:tcW w:w="196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5"/>
              </w:rPr>
              <w:t>Weighted-</w:t>
            </w:r>
          </w:p>
        </w:tc>
        <w:tc>
          <w:tcPr>
            <w:tcW w:w="248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6"/>
              </w:rPr>
              <w:t>Number of Securities</w:t>
            </w:r>
          </w:p>
        </w:tc>
      </w:tr>
      <w:tr>
        <w:trPr>
          <w:trHeight w:val="182"/>
        </w:trPr>
        <w:tc>
          <w:tcPr>
            <w:tcW w:w="20" w:type="dxa"/>
            <w:vAlign w:val="bottom"/>
          </w:tcPr>
          <w:p>
            <w:pPr>
              <w:spacing w:after="0"/>
              <w:rPr>
                <w:sz w:val="15"/>
                <w:szCs w:val="15"/>
                <w:color w:val="auto"/>
              </w:rPr>
            </w:pPr>
          </w:p>
        </w:tc>
        <w:tc>
          <w:tcPr>
            <w:tcW w:w="2500" w:type="dxa"/>
            <w:vAlign w:val="bottom"/>
            <w:shd w:val="clear" w:color="auto" w:fill="284993"/>
          </w:tcPr>
          <w:p>
            <w:pPr>
              <w:spacing w:after="0"/>
              <w:rPr>
                <w:sz w:val="15"/>
                <w:szCs w:val="15"/>
                <w:color w:val="auto"/>
              </w:rPr>
            </w:pPr>
          </w:p>
        </w:tc>
        <w:tc>
          <w:tcPr>
            <w:tcW w:w="2400" w:type="dxa"/>
            <w:vAlign w:val="bottom"/>
            <w:shd w:val="clear" w:color="auto" w:fill="284993"/>
          </w:tcPr>
          <w:p>
            <w:pPr>
              <w:spacing w:after="0"/>
              <w:rPr>
                <w:sz w:val="15"/>
                <w:szCs w:val="15"/>
                <w:color w:val="auto"/>
              </w:rPr>
            </w:pPr>
          </w:p>
        </w:tc>
        <w:tc>
          <w:tcPr>
            <w:tcW w:w="196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8"/>
              </w:rPr>
              <w:t>Average</w:t>
            </w:r>
          </w:p>
        </w:tc>
        <w:tc>
          <w:tcPr>
            <w:tcW w:w="248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7"/>
              </w:rPr>
              <w:t>Remaining Available</w:t>
            </w:r>
          </w:p>
        </w:tc>
      </w:tr>
      <w:tr>
        <w:trPr>
          <w:trHeight w:val="182"/>
        </w:trPr>
        <w:tc>
          <w:tcPr>
            <w:tcW w:w="20" w:type="dxa"/>
            <w:vAlign w:val="bottom"/>
          </w:tcPr>
          <w:p>
            <w:pPr>
              <w:spacing w:after="0"/>
              <w:rPr>
                <w:sz w:val="15"/>
                <w:szCs w:val="15"/>
                <w:color w:val="auto"/>
              </w:rPr>
            </w:pPr>
          </w:p>
        </w:tc>
        <w:tc>
          <w:tcPr>
            <w:tcW w:w="2500" w:type="dxa"/>
            <w:vAlign w:val="bottom"/>
            <w:shd w:val="clear" w:color="auto" w:fill="284993"/>
          </w:tcPr>
          <w:p>
            <w:pPr>
              <w:spacing w:after="0"/>
              <w:rPr>
                <w:sz w:val="15"/>
                <w:szCs w:val="15"/>
                <w:color w:val="auto"/>
              </w:rPr>
            </w:pPr>
          </w:p>
        </w:tc>
        <w:tc>
          <w:tcPr>
            <w:tcW w:w="2400" w:type="dxa"/>
            <w:vAlign w:val="bottom"/>
            <w:shd w:val="clear" w:color="auto" w:fill="284993"/>
          </w:tcPr>
          <w:p>
            <w:pPr>
              <w:spacing w:after="0"/>
              <w:rPr>
                <w:sz w:val="15"/>
                <w:szCs w:val="15"/>
                <w:color w:val="auto"/>
              </w:rPr>
            </w:pPr>
          </w:p>
        </w:tc>
        <w:tc>
          <w:tcPr>
            <w:tcW w:w="196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7"/>
              </w:rPr>
              <w:t>Exercise Price of</w:t>
            </w:r>
          </w:p>
        </w:tc>
        <w:tc>
          <w:tcPr>
            <w:tcW w:w="248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6"/>
              </w:rPr>
              <w:t>for Future Issuance</w:t>
            </w:r>
          </w:p>
        </w:tc>
      </w:tr>
      <w:tr>
        <w:trPr>
          <w:trHeight w:val="182"/>
        </w:trPr>
        <w:tc>
          <w:tcPr>
            <w:tcW w:w="20" w:type="dxa"/>
            <w:vAlign w:val="bottom"/>
          </w:tcPr>
          <w:p>
            <w:pPr>
              <w:spacing w:after="0"/>
              <w:rPr>
                <w:sz w:val="15"/>
                <w:szCs w:val="15"/>
                <w:color w:val="auto"/>
              </w:rPr>
            </w:pPr>
          </w:p>
        </w:tc>
        <w:tc>
          <w:tcPr>
            <w:tcW w:w="2500" w:type="dxa"/>
            <w:vAlign w:val="bottom"/>
            <w:shd w:val="clear" w:color="auto" w:fill="284993"/>
          </w:tcPr>
          <w:p>
            <w:pPr>
              <w:spacing w:after="0"/>
              <w:rPr>
                <w:sz w:val="15"/>
                <w:szCs w:val="15"/>
                <w:color w:val="auto"/>
              </w:rPr>
            </w:pPr>
          </w:p>
        </w:tc>
        <w:tc>
          <w:tcPr>
            <w:tcW w:w="2400" w:type="dxa"/>
            <w:vAlign w:val="bottom"/>
            <w:shd w:val="clear" w:color="auto" w:fill="284993"/>
          </w:tcPr>
          <w:p>
            <w:pPr>
              <w:jc w:val="center"/>
              <w:ind w:right="80"/>
              <w:spacing w:after="0" w:line="182" w:lineRule="exact"/>
              <w:rPr>
                <w:sz w:val="20"/>
                <w:szCs w:val="20"/>
                <w:color w:val="auto"/>
              </w:rPr>
            </w:pPr>
            <w:r>
              <w:rPr>
                <w:rFonts w:ascii="Arial" w:cs="Arial" w:eastAsia="Arial" w:hAnsi="Arial"/>
                <w:sz w:val="16"/>
                <w:szCs w:val="16"/>
                <w:b w:val="1"/>
                <w:bCs w:val="1"/>
                <w:color w:val="FFFFFF"/>
                <w:w w:val="97"/>
              </w:rPr>
              <w:t>Number of Securities to</w:t>
            </w:r>
          </w:p>
        </w:tc>
        <w:tc>
          <w:tcPr>
            <w:tcW w:w="196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7"/>
              </w:rPr>
              <w:t>Outstanding</w:t>
            </w:r>
          </w:p>
        </w:tc>
        <w:tc>
          <w:tcPr>
            <w:tcW w:w="248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6"/>
              </w:rPr>
              <w:t>Under Equity</w:t>
            </w:r>
          </w:p>
        </w:tc>
      </w:tr>
      <w:tr>
        <w:trPr>
          <w:trHeight w:val="182"/>
        </w:trPr>
        <w:tc>
          <w:tcPr>
            <w:tcW w:w="20" w:type="dxa"/>
            <w:vAlign w:val="bottom"/>
          </w:tcPr>
          <w:p>
            <w:pPr>
              <w:spacing w:after="0"/>
              <w:rPr>
                <w:sz w:val="15"/>
                <w:szCs w:val="15"/>
                <w:color w:val="auto"/>
              </w:rPr>
            </w:pPr>
          </w:p>
        </w:tc>
        <w:tc>
          <w:tcPr>
            <w:tcW w:w="2500" w:type="dxa"/>
            <w:vAlign w:val="bottom"/>
            <w:shd w:val="clear" w:color="auto" w:fill="284993"/>
          </w:tcPr>
          <w:p>
            <w:pPr>
              <w:spacing w:after="0"/>
              <w:rPr>
                <w:sz w:val="15"/>
                <w:szCs w:val="15"/>
                <w:color w:val="auto"/>
              </w:rPr>
            </w:pPr>
          </w:p>
        </w:tc>
        <w:tc>
          <w:tcPr>
            <w:tcW w:w="2400" w:type="dxa"/>
            <w:vAlign w:val="bottom"/>
            <w:shd w:val="clear" w:color="auto" w:fill="284993"/>
          </w:tcPr>
          <w:p>
            <w:pPr>
              <w:jc w:val="center"/>
              <w:ind w:right="80"/>
              <w:spacing w:after="0" w:line="182" w:lineRule="exact"/>
              <w:rPr>
                <w:sz w:val="20"/>
                <w:szCs w:val="20"/>
                <w:color w:val="auto"/>
              </w:rPr>
            </w:pPr>
            <w:r>
              <w:rPr>
                <w:rFonts w:ascii="Arial" w:cs="Arial" w:eastAsia="Arial" w:hAnsi="Arial"/>
                <w:sz w:val="16"/>
                <w:szCs w:val="16"/>
                <w:b w:val="1"/>
                <w:bCs w:val="1"/>
                <w:color w:val="FFFFFF"/>
                <w:w w:val="97"/>
              </w:rPr>
              <w:t>be Issued Upon Exercise</w:t>
            </w:r>
          </w:p>
        </w:tc>
        <w:tc>
          <w:tcPr>
            <w:tcW w:w="196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8"/>
              </w:rPr>
              <w:t>Options,</w:t>
            </w:r>
          </w:p>
        </w:tc>
        <w:tc>
          <w:tcPr>
            <w:tcW w:w="248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8"/>
              </w:rPr>
              <w:t>Compensation Plans</w:t>
            </w:r>
          </w:p>
        </w:tc>
      </w:tr>
      <w:tr>
        <w:trPr>
          <w:trHeight w:val="182"/>
        </w:trPr>
        <w:tc>
          <w:tcPr>
            <w:tcW w:w="20" w:type="dxa"/>
            <w:vAlign w:val="bottom"/>
          </w:tcPr>
          <w:p>
            <w:pPr>
              <w:spacing w:after="0"/>
              <w:rPr>
                <w:sz w:val="15"/>
                <w:szCs w:val="15"/>
                <w:color w:val="auto"/>
              </w:rPr>
            </w:pPr>
          </w:p>
        </w:tc>
        <w:tc>
          <w:tcPr>
            <w:tcW w:w="2500" w:type="dxa"/>
            <w:vAlign w:val="bottom"/>
            <w:shd w:val="clear" w:color="auto" w:fill="284993"/>
          </w:tcPr>
          <w:p>
            <w:pPr>
              <w:spacing w:after="0"/>
              <w:rPr>
                <w:sz w:val="15"/>
                <w:szCs w:val="15"/>
                <w:color w:val="auto"/>
              </w:rPr>
            </w:pPr>
          </w:p>
        </w:tc>
        <w:tc>
          <w:tcPr>
            <w:tcW w:w="2400" w:type="dxa"/>
            <w:vAlign w:val="bottom"/>
            <w:shd w:val="clear" w:color="auto" w:fill="284993"/>
          </w:tcPr>
          <w:p>
            <w:pPr>
              <w:jc w:val="center"/>
              <w:ind w:right="100"/>
              <w:spacing w:after="0" w:line="182" w:lineRule="exact"/>
              <w:rPr>
                <w:sz w:val="20"/>
                <w:szCs w:val="20"/>
                <w:color w:val="auto"/>
              </w:rPr>
            </w:pPr>
            <w:r>
              <w:rPr>
                <w:rFonts w:ascii="Arial" w:cs="Arial" w:eastAsia="Arial" w:hAnsi="Arial"/>
                <w:sz w:val="16"/>
                <w:szCs w:val="16"/>
                <w:b w:val="1"/>
                <w:bCs w:val="1"/>
                <w:color w:val="FFFFFF"/>
                <w:w w:val="97"/>
              </w:rPr>
              <w:t>of Outstanding Options</w:t>
            </w:r>
          </w:p>
        </w:tc>
        <w:tc>
          <w:tcPr>
            <w:tcW w:w="196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5"/>
              </w:rPr>
              <w:t>Warrants and</w:t>
            </w:r>
          </w:p>
        </w:tc>
        <w:tc>
          <w:tcPr>
            <w:tcW w:w="248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8"/>
              </w:rPr>
              <w:t>(Excluding Securities</w:t>
            </w:r>
          </w:p>
        </w:tc>
      </w:tr>
      <w:tr>
        <w:trPr>
          <w:trHeight w:val="182"/>
        </w:trPr>
        <w:tc>
          <w:tcPr>
            <w:tcW w:w="20" w:type="dxa"/>
            <w:vAlign w:val="bottom"/>
          </w:tcPr>
          <w:p>
            <w:pPr>
              <w:spacing w:after="0"/>
              <w:rPr>
                <w:sz w:val="15"/>
                <w:szCs w:val="15"/>
                <w:color w:val="auto"/>
              </w:rPr>
            </w:pPr>
          </w:p>
        </w:tc>
        <w:tc>
          <w:tcPr>
            <w:tcW w:w="2500" w:type="dxa"/>
            <w:vAlign w:val="bottom"/>
            <w:shd w:val="clear" w:color="auto" w:fill="284993"/>
          </w:tcPr>
          <w:p>
            <w:pPr>
              <w:spacing w:after="0"/>
              <w:rPr>
                <w:sz w:val="15"/>
                <w:szCs w:val="15"/>
                <w:color w:val="auto"/>
              </w:rPr>
            </w:pPr>
          </w:p>
        </w:tc>
        <w:tc>
          <w:tcPr>
            <w:tcW w:w="2400" w:type="dxa"/>
            <w:vAlign w:val="bottom"/>
            <w:shd w:val="clear" w:color="auto" w:fill="284993"/>
          </w:tcPr>
          <w:p>
            <w:pPr>
              <w:jc w:val="center"/>
              <w:ind w:right="80"/>
              <w:spacing w:after="0" w:line="182" w:lineRule="exact"/>
              <w:rPr>
                <w:sz w:val="20"/>
                <w:szCs w:val="20"/>
                <w:color w:val="auto"/>
              </w:rPr>
            </w:pPr>
            <w:r>
              <w:rPr>
                <w:rFonts w:ascii="Arial" w:cs="Arial" w:eastAsia="Arial" w:hAnsi="Arial"/>
                <w:sz w:val="16"/>
                <w:szCs w:val="16"/>
                <w:b w:val="1"/>
                <w:bCs w:val="1"/>
                <w:color w:val="FFFFFF"/>
                <w:w w:val="97"/>
              </w:rPr>
              <w:t>Warrants and Rights</w:t>
            </w:r>
          </w:p>
        </w:tc>
        <w:tc>
          <w:tcPr>
            <w:tcW w:w="196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6"/>
              </w:rPr>
              <w:t>Rights</w:t>
            </w:r>
          </w:p>
        </w:tc>
        <w:tc>
          <w:tcPr>
            <w:tcW w:w="248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7"/>
              </w:rPr>
              <w:t>Reflected in Column (a))</w:t>
            </w:r>
          </w:p>
        </w:tc>
      </w:tr>
      <w:tr>
        <w:trPr>
          <w:trHeight w:val="209"/>
        </w:trPr>
        <w:tc>
          <w:tcPr>
            <w:tcW w:w="20" w:type="dxa"/>
            <w:vAlign w:val="bottom"/>
          </w:tcPr>
          <w:p>
            <w:pPr>
              <w:spacing w:after="0"/>
              <w:rPr>
                <w:sz w:val="18"/>
                <w:szCs w:val="18"/>
                <w:color w:val="auto"/>
              </w:rPr>
            </w:pPr>
          </w:p>
        </w:tc>
        <w:tc>
          <w:tcPr>
            <w:tcW w:w="2500" w:type="dxa"/>
            <w:vAlign w:val="bottom"/>
            <w:shd w:val="clear" w:color="auto" w:fill="284993"/>
          </w:tcPr>
          <w:p>
            <w:pPr>
              <w:spacing w:after="0"/>
              <w:rPr>
                <w:sz w:val="20"/>
                <w:szCs w:val="20"/>
                <w:color w:val="auto"/>
              </w:rPr>
            </w:pPr>
            <w:r>
              <w:rPr>
                <w:rFonts w:ascii="Arial" w:cs="Arial" w:eastAsia="Arial" w:hAnsi="Arial"/>
                <w:sz w:val="16"/>
                <w:szCs w:val="16"/>
                <w:b w:val="1"/>
                <w:bCs w:val="1"/>
                <w:color w:val="FFFFFF"/>
              </w:rPr>
              <w:t>   Plan Category</w:t>
            </w:r>
          </w:p>
        </w:tc>
        <w:tc>
          <w:tcPr>
            <w:tcW w:w="2400" w:type="dxa"/>
            <w:vAlign w:val="bottom"/>
            <w:shd w:val="clear" w:color="auto" w:fill="284993"/>
          </w:tcPr>
          <w:p>
            <w:pPr>
              <w:jc w:val="center"/>
              <w:ind w:right="80"/>
              <w:spacing w:after="0"/>
              <w:rPr>
                <w:sz w:val="20"/>
                <w:szCs w:val="20"/>
                <w:color w:val="auto"/>
              </w:rPr>
            </w:pPr>
            <w:r>
              <w:rPr>
                <w:rFonts w:ascii="Arial" w:cs="Arial" w:eastAsia="Arial" w:hAnsi="Arial"/>
                <w:sz w:val="16"/>
                <w:szCs w:val="16"/>
                <w:b w:val="1"/>
                <w:bCs w:val="1"/>
                <w:color w:val="FFFFFF"/>
              </w:rPr>
              <w:t>(a)</w:t>
            </w:r>
          </w:p>
        </w:tc>
        <w:tc>
          <w:tcPr>
            <w:tcW w:w="196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7"/>
              </w:rPr>
              <w:t>(b)</w:t>
            </w:r>
          </w:p>
        </w:tc>
        <w:tc>
          <w:tcPr>
            <w:tcW w:w="248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rPr>
              <w:t>(c)</w:t>
            </w:r>
          </w:p>
        </w:tc>
      </w:tr>
      <w:tr>
        <w:trPr>
          <w:trHeight w:val="178"/>
        </w:trPr>
        <w:tc>
          <w:tcPr>
            <w:tcW w:w="20" w:type="dxa"/>
            <w:vAlign w:val="bottom"/>
          </w:tcPr>
          <w:p>
            <w:pPr>
              <w:spacing w:after="0"/>
              <w:rPr>
                <w:sz w:val="15"/>
                <w:szCs w:val="15"/>
                <w:color w:val="auto"/>
              </w:rPr>
            </w:pPr>
          </w:p>
        </w:tc>
        <w:tc>
          <w:tcPr>
            <w:tcW w:w="2500" w:type="dxa"/>
            <w:vAlign w:val="bottom"/>
          </w:tcPr>
          <w:p>
            <w:pPr>
              <w:ind w:left="100"/>
              <w:spacing w:after="0" w:line="178" w:lineRule="exact"/>
              <w:rPr>
                <w:sz w:val="20"/>
                <w:szCs w:val="20"/>
                <w:color w:val="auto"/>
              </w:rPr>
            </w:pPr>
            <w:r>
              <w:rPr>
                <w:rFonts w:ascii="Arial" w:cs="Arial" w:eastAsia="Arial" w:hAnsi="Arial"/>
                <w:sz w:val="17"/>
                <w:szCs w:val="17"/>
                <w:color w:val="auto"/>
              </w:rPr>
              <w:t>Equity compensation plans</w:t>
            </w:r>
          </w:p>
        </w:tc>
        <w:tc>
          <w:tcPr>
            <w:tcW w:w="24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2500" w:type="dxa"/>
            <w:vAlign w:val="bottom"/>
          </w:tcPr>
          <w:p>
            <w:pPr>
              <w:ind w:left="100"/>
              <w:spacing w:after="0"/>
              <w:rPr>
                <w:sz w:val="20"/>
                <w:szCs w:val="20"/>
                <w:color w:val="auto"/>
              </w:rPr>
            </w:pPr>
            <w:r>
              <w:rPr>
                <w:rFonts w:ascii="Arial" w:cs="Arial" w:eastAsia="Arial" w:hAnsi="Arial"/>
                <w:sz w:val="17"/>
                <w:szCs w:val="17"/>
                <w:color w:val="auto"/>
              </w:rPr>
              <w:t>approved by security holders</w:t>
            </w:r>
          </w:p>
        </w:tc>
        <w:tc>
          <w:tcPr>
            <w:tcW w:w="2400" w:type="dxa"/>
            <w:vAlign w:val="bottom"/>
          </w:tcPr>
          <w:p>
            <w:pPr>
              <w:jc w:val="right"/>
              <w:ind w:right="280"/>
              <w:spacing w:after="0" w:line="212" w:lineRule="exact"/>
              <w:rPr>
                <w:sz w:val="20"/>
                <w:szCs w:val="20"/>
                <w:color w:val="auto"/>
              </w:rPr>
            </w:pPr>
            <w:r>
              <w:rPr>
                <w:rFonts w:ascii="Arial" w:cs="Arial" w:eastAsia="Arial" w:hAnsi="Arial"/>
                <w:sz w:val="17"/>
                <w:szCs w:val="17"/>
                <w:color w:val="auto"/>
              </w:rPr>
              <w:t>4,562,947</w:t>
            </w:r>
            <w:r>
              <w:rPr>
                <w:rFonts w:ascii="Arial" w:cs="Arial" w:eastAsia="Arial" w:hAnsi="Arial"/>
                <w:sz w:val="24"/>
                <w:szCs w:val="24"/>
                <w:color w:val="auto"/>
                <w:vertAlign w:val="superscript"/>
              </w:rPr>
              <w:t>(1)</w:t>
            </w:r>
          </w:p>
        </w:tc>
        <w:tc>
          <w:tcPr>
            <w:tcW w:w="1960" w:type="dxa"/>
            <w:vAlign w:val="bottom"/>
          </w:tcPr>
          <w:p>
            <w:pPr>
              <w:jc w:val="right"/>
              <w:ind w:right="281"/>
              <w:spacing w:after="0" w:line="212" w:lineRule="exact"/>
              <w:rPr>
                <w:sz w:val="20"/>
                <w:szCs w:val="20"/>
                <w:color w:val="auto"/>
              </w:rPr>
            </w:pPr>
            <w:r>
              <w:rPr>
                <w:rFonts w:ascii="Arial" w:cs="Arial" w:eastAsia="Arial" w:hAnsi="Arial"/>
                <w:sz w:val="17"/>
                <w:szCs w:val="17"/>
                <w:color w:val="auto"/>
              </w:rPr>
              <w:t>$18.76</w:t>
            </w:r>
            <w:r>
              <w:rPr>
                <w:rFonts w:ascii="Arial" w:cs="Arial" w:eastAsia="Arial" w:hAnsi="Arial"/>
                <w:sz w:val="24"/>
                <w:szCs w:val="24"/>
                <w:color w:val="auto"/>
                <w:vertAlign w:val="superscript"/>
              </w:rPr>
              <w:t>(2)</w:t>
            </w:r>
          </w:p>
        </w:tc>
        <w:tc>
          <w:tcPr>
            <w:tcW w:w="2480" w:type="dxa"/>
            <w:vAlign w:val="bottom"/>
          </w:tcPr>
          <w:p>
            <w:pPr>
              <w:jc w:val="right"/>
              <w:ind w:right="261"/>
              <w:spacing w:after="0" w:line="212" w:lineRule="exact"/>
              <w:rPr>
                <w:sz w:val="20"/>
                <w:szCs w:val="20"/>
                <w:color w:val="auto"/>
              </w:rPr>
            </w:pPr>
            <w:r>
              <w:rPr>
                <w:rFonts w:ascii="Arial" w:cs="Arial" w:eastAsia="Arial" w:hAnsi="Arial"/>
                <w:sz w:val="17"/>
                <w:szCs w:val="17"/>
                <w:color w:val="auto"/>
              </w:rPr>
              <w:t>10,631,300</w:t>
            </w:r>
            <w:r>
              <w:rPr>
                <w:rFonts w:ascii="Arial" w:cs="Arial" w:eastAsia="Arial" w:hAnsi="Arial"/>
                <w:sz w:val="24"/>
                <w:szCs w:val="24"/>
                <w:color w:val="auto"/>
                <w:vertAlign w:val="superscript"/>
              </w:rPr>
              <w:t>(3)</w:t>
            </w:r>
          </w:p>
        </w:tc>
      </w:tr>
      <w:tr>
        <w:trPr>
          <w:trHeight w:val="178"/>
        </w:trPr>
        <w:tc>
          <w:tcPr>
            <w:tcW w:w="20" w:type="dxa"/>
            <w:vAlign w:val="bottom"/>
          </w:tcPr>
          <w:p>
            <w:pPr>
              <w:spacing w:after="0"/>
              <w:rPr>
                <w:sz w:val="15"/>
                <w:szCs w:val="15"/>
                <w:color w:val="auto"/>
              </w:rPr>
            </w:pPr>
          </w:p>
        </w:tc>
        <w:tc>
          <w:tcPr>
            <w:tcW w:w="2500" w:type="dxa"/>
            <w:vAlign w:val="bottom"/>
            <w:shd w:val="clear" w:color="auto" w:fill="9DBDE4"/>
          </w:tcPr>
          <w:p>
            <w:pPr>
              <w:ind w:left="100"/>
              <w:spacing w:after="0" w:line="178" w:lineRule="exact"/>
              <w:rPr>
                <w:sz w:val="20"/>
                <w:szCs w:val="20"/>
                <w:color w:val="auto"/>
              </w:rPr>
            </w:pPr>
            <w:r>
              <w:rPr>
                <w:rFonts w:ascii="Arial" w:cs="Arial" w:eastAsia="Arial" w:hAnsi="Arial"/>
                <w:sz w:val="17"/>
                <w:szCs w:val="17"/>
                <w:color w:val="auto"/>
              </w:rPr>
              <w:t>Equity compensation plans</w:t>
            </w:r>
          </w:p>
        </w:tc>
        <w:tc>
          <w:tcPr>
            <w:tcW w:w="2400" w:type="dxa"/>
            <w:vAlign w:val="bottom"/>
            <w:shd w:val="clear" w:color="auto" w:fill="9DBDE4"/>
          </w:tcPr>
          <w:p>
            <w:pPr>
              <w:spacing w:after="0"/>
              <w:rPr>
                <w:sz w:val="15"/>
                <w:szCs w:val="15"/>
                <w:color w:val="auto"/>
              </w:rPr>
            </w:pPr>
          </w:p>
        </w:tc>
        <w:tc>
          <w:tcPr>
            <w:tcW w:w="1960" w:type="dxa"/>
            <w:vAlign w:val="bottom"/>
            <w:shd w:val="clear" w:color="auto" w:fill="9DBDE4"/>
          </w:tcPr>
          <w:p>
            <w:pPr>
              <w:spacing w:after="0"/>
              <w:rPr>
                <w:sz w:val="15"/>
                <w:szCs w:val="15"/>
                <w:color w:val="auto"/>
              </w:rPr>
            </w:pPr>
          </w:p>
        </w:tc>
        <w:tc>
          <w:tcPr>
            <w:tcW w:w="2480" w:type="dxa"/>
            <w:vAlign w:val="bottom"/>
            <w:shd w:val="clear" w:color="auto" w:fill="9DBDE4"/>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2500" w:type="dxa"/>
            <w:vAlign w:val="bottom"/>
            <w:shd w:val="clear" w:color="auto" w:fill="9DBDE4"/>
          </w:tcPr>
          <w:p>
            <w:pPr>
              <w:ind w:left="100"/>
              <w:spacing w:after="0"/>
              <w:rPr>
                <w:sz w:val="20"/>
                <w:szCs w:val="20"/>
                <w:color w:val="auto"/>
              </w:rPr>
            </w:pPr>
            <w:r>
              <w:rPr>
                <w:rFonts w:ascii="Arial" w:cs="Arial" w:eastAsia="Arial" w:hAnsi="Arial"/>
                <w:sz w:val="17"/>
                <w:szCs w:val="17"/>
                <w:color w:val="auto"/>
              </w:rPr>
              <w:t>not approved by security</w:t>
            </w:r>
          </w:p>
        </w:tc>
        <w:tc>
          <w:tcPr>
            <w:tcW w:w="2400" w:type="dxa"/>
            <w:vAlign w:val="bottom"/>
            <w:shd w:val="clear" w:color="auto" w:fill="9DBDE4"/>
          </w:tcPr>
          <w:p>
            <w:pPr>
              <w:spacing w:after="0"/>
              <w:rPr>
                <w:sz w:val="16"/>
                <w:szCs w:val="16"/>
                <w:color w:val="auto"/>
              </w:rPr>
            </w:pPr>
          </w:p>
        </w:tc>
        <w:tc>
          <w:tcPr>
            <w:tcW w:w="1960" w:type="dxa"/>
            <w:vAlign w:val="bottom"/>
            <w:shd w:val="clear" w:color="auto" w:fill="9DBDE4"/>
          </w:tcPr>
          <w:p>
            <w:pPr>
              <w:spacing w:after="0"/>
              <w:rPr>
                <w:sz w:val="16"/>
                <w:szCs w:val="16"/>
                <w:color w:val="auto"/>
              </w:rPr>
            </w:pPr>
          </w:p>
        </w:tc>
        <w:tc>
          <w:tcPr>
            <w:tcW w:w="2480" w:type="dxa"/>
            <w:vAlign w:val="bottom"/>
            <w:shd w:val="clear" w:color="auto" w:fill="9DBDE4"/>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2500" w:type="dxa"/>
            <w:vAlign w:val="bottom"/>
            <w:shd w:val="clear" w:color="auto" w:fill="9DBDE4"/>
          </w:tcPr>
          <w:p>
            <w:pPr>
              <w:ind w:left="100"/>
              <w:spacing w:after="0"/>
              <w:rPr>
                <w:sz w:val="20"/>
                <w:szCs w:val="20"/>
                <w:color w:val="auto"/>
              </w:rPr>
            </w:pPr>
            <w:r>
              <w:rPr>
                <w:rFonts w:ascii="Arial" w:cs="Arial" w:eastAsia="Arial" w:hAnsi="Arial"/>
                <w:sz w:val="17"/>
                <w:szCs w:val="17"/>
                <w:color w:val="auto"/>
              </w:rPr>
              <w:t>holders</w:t>
            </w:r>
          </w:p>
        </w:tc>
        <w:tc>
          <w:tcPr>
            <w:tcW w:w="2400" w:type="dxa"/>
            <w:vAlign w:val="bottom"/>
            <w:shd w:val="clear" w:color="auto" w:fill="9DBDE4"/>
          </w:tcPr>
          <w:p>
            <w:pPr>
              <w:jc w:val="right"/>
              <w:ind w:right="320"/>
              <w:spacing w:after="0"/>
              <w:rPr>
                <w:sz w:val="20"/>
                <w:szCs w:val="20"/>
                <w:color w:val="auto"/>
              </w:rPr>
            </w:pPr>
            <w:r>
              <w:rPr>
                <w:rFonts w:ascii="Arial" w:cs="Arial" w:eastAsia="Arial" w:hAnsi="Arial"/>
                <w:sz w:val="17"/>
                <w:szCs w:val="17"/>
                <w:color w:val="auto"/>
              </w:rPr>
              <w:t>— </w:t>
            </w:r>
          </w:p>
        </w:tc>
        <w:tc>
          <w:tcPr>
            <w:tcW w:w="1960" w:type="dxa"/>
            <w:vAlign w:val="bottom"/>
            <w:shd w:val="clear" w:color="auto" w:fill="9DBDE4"/>
          </w:tcPr>
          <w:p>
            <w:pPr>
              <w:jc w:val="right"/>
              <w:ind w:right="321"/>
              <w:spacing w:after="0"/>
              <w:rPr>
                <w:sz w:val="20"/>
                <w:szCs w:val="20"/>
                <w:color w:val="auto"/>
              </w:rPr>
            </w:pPr>
            <w:r>
              <w:rPr>
                <w:rFonts w:ascii="Arial" w:cs="Arial" w:eastAsia="Arial" w:hAnsi="Arial"/>
                <w:sz w:val="17"/>
                <w:szCs w:val="17"/>
                <w:color w:val="auto"/>
              </w:rPr>
              <w:t>— </w:t>
            </w:r>
          </w:p>
        </w:tc>
        <w:tc>
          <w:tcPr>
            <w:tcW w:w="2480" w:type="dxa"/>
            <w:vAlign w:val="bottom"/>
            <w:shd w:val="clear" w:color="auto" w:fill="9DBDE4"/>
          </w:tcPr>
          <w:p>
            <w:pPr>
              <w:jc w:val="right"/>
              <w:ind w:right="301"/>
              <w:spacing w:after="0"/>
              <w:rPr>
                <w:sz w:val="20"/>
                <w:szCs w:val="20"/>
                <w:color w:val="auto"/>
              </w:rPr>
            </w:pPr>
            <w:r>
              <w:rPr>
                <w:rFonts w:ascii="Arial" w:cs="Arial" w:eastAsia="Arial" w:hAnsi="Arial"/>
                <w:sz w:val="17"/>
                <w:szCs w:val="17"/>
                <w:color w:val="auto"/>
              </w:rPr>
              <w:t>— </w:t>
            </w:r>
          </w:p>
        </w:tc>
      </w:tr>
      <w:tr>
        <w:trPr>
          <w:trHeight w:val="195"/>
        </w:trPr>
        <w:tc>
          <w:tcPr>
            <w:tcW w:w="20" w:type="dxa"/>
            <w:vAlign w:val="bottom"/>
          </w:tcPr>
          <w:p>
            <w:pPr>
              <w:spacing w:after="0"/>
              <w:rPr>
                <w:sz w:val="16"/>
                <w:szCs w:val="16"/>
                <w:color w:val="auto"/>
              </w:rPr>
            </w:pPr>
          </w:p>
        </w:tc>
        <w:tc>
          <w:tcPr>
            <w:tcW w:w="2500" w:type="dxa"/>
            <w:vAlign w:val="bottom"/>
            <w:tcBorders>
              <w:bottom w:val="single" w:sz="8" w:color="284993"/>
            </w:tcBorders>
          </w:tcPr>
          <w:p>
            <w:pPr>
              <w:ind w:left="100"/>
              <w:spacing w:after="0"/>
              <w:rPr>
                <w:sz w:val="20"/>
                <w:szCs w:val="20"/>
                <w:color w:val="auto"/>
              </w:rPr>
            </w:pPr>
            <w:r>
              <w:rPr>
                <w:rFonts w:ascii="Arial" w:cs="Arial" w:eastAsia="Arial" w:hAnsi="Arial"/>
                <w:sz w:val="17"/>
                <w:szCs w:val="17"/>
                <w:b w:val="1"/>
                <w:bCs w:val="1"/>
                <w:color w:val="auto"/>
              </w:rPr>
              <w:t>Total</w:t>
            </w:r>
          </w:p>
        </w:tc>
        <w:tc>
          <w:tcPr>
            <w:tcW w:w="2400" w:type="dxa"/>
            <w:vAlign w:val="bottom"/>
            <w:tcBorders>
              <w:bottom w:val="single" w:sz="8" w:color="284993"/>
            </w:tcBorders>
          </w:tcPr>
          <w:p>
            <w:pPr>
              <w:jc w:val="right"/>
              <w:ind w:right="280"/>
              <w:spacing w:after="0" w:line="194" w:lineRule="exact"/>
              <w:rPr>
                <w:sz w:val="20"/>
                <w:szCs w:val="20"/>
                <w:color w:val="auto"/>
              </w:rPr>
            </w:pPr>
            <w:r>
              <w:rPr>
                <w:rFonts w:ascii="Arial" w:cs="Arial" w:eastAsia="Arial" w:hAnsi="Arial"/>
                <w:sz w:val="15"/>
                <w:szCs w:val="15"/>
                <w:color w:val="auto"/>
              </w:rPr>
              <w:t>4,562,947</w:t>
            </w:r>
            <w:r>
              <w:rPr>
                <w:rFonts w:ascii="Arial" w:cs="Arial" w:eastAsia="Arial" w:hAnsi="Arial"/>
                <w:sz w:val="22"/>
                <w:szCs w:val="22"/>
                <w:color w:val="auto"/>
                <w:vertAlign w:val="superscript"/>
              </w:rPr>
              <w:t>(1)</w:t>
            </w:r>
          </w:p>
        </w:tc>
        <w:tc>
          <w:tcPr>
            <w:tcW w:w="1960" w:type="dxa"/>
            <w:vAlign w:val="bottom"/>
            <w:tcBorders>
              <w:bottom w:val="single" w:sz="8" w:color="284993"/>
            </w:tcBorders>
          </w:tcPr>
          <w:p>
            <w:pPr>
              <w:jc w:val="right"/>
              <w:ind w:right="281"/>
              <w:spacing w:after="0" w:line="194" w:lineRule="exact"/>
              <w:rPr>
                <w:sz w:val="20"/>
                <w:szCs w:val="20"/>
                <w:color w:val="auto"/>
              </w:rPr>
            </w:pPr>
            <w:r>
              <w:rPr>
                <w:rFonts w:ascii="Arial" w:cs="Arial" w:eastAsia="Arial" w:hAnsi="Arial"/>
                <w:sz w:val="15"/>
                <w:szCs w:val="15"/>
                <w:color w:val="auto"/>
              </w:rPr>
              <w:t>$18.76</w:t>
            </w:r>
            <w:r>
              <w:rPr>
                <w:rFonts w:ascii="Arial" w:cs="Arial" w:eastAsia="Arial" w:hAnsi="Arial"/>
                <w:sz w:val="22"/>
                <w:szCs w:val="22"/>
                <w:color w:val="auto"/>
                <w:vertAlign w:val="superscript"/>
              </w:rPr>
              <w:t>(2)</w:t>
            </w:r>
          </w:p>
        </w:tc>
        <w:tc>
          <w:tcPr>
            <w:tcW w:w="2480" w:type="dxa"/>
            <w:vAlign w:val="bottom"/>
            <w:tcBorders>
              <w:bottom w:val="single" w:sz="8" w:color="284993"/>
            </w:tcBorders>
          </w:tcPr>
          <w:p>
            <w:pPr>
              <w:jc w:val="right"/>
              <w:ind w:right="261"/>
              <w:spacing w:after="0" w:line="194" w:lineRule="exact"/>
              <w:rPr>
                <w:sz w:val="20"/>
                <w:szCs w:val="20"/>
                <w:color w:val="auto"/>
              </w:rPr>
            </w:pPr>
            <w:r>
              <w:rPr>
                <w:rFonts w:ascii="Arial" w:cs="Arial" w:eastAsia="Arial" w:hAnsi="Arial"/>
                <w:sz w:val="15"/>
                <w:szCs w:val="15"/>
                <w:color w:val="auto"/>
              </w:rPr>
              <w:t>10,631,300</w:t>
            </w:r>
            <w:r>
              <w:rPr>
                <w:rFonts w:ascii="Arial" w:cs="Arial" w:eastAsia="Arial" w:hAnsi="Arial"/>
                <w:sz w:val="22"/>
                <w:szCs w:val="22"/>
                <w:color w:val="auto"/>
                <w:vertAlign w:val="superscript"/>
              </w:rPr>
              <w:t>(3)</w:t>
            </w:r>
          </w:p>
        </w:tc>
      </w:tr>
    </w:tbl>
    <w:p>
      <w:pPr>
        <w:spacing w:after="0" w:line="60" w:lineRule="exact"/>
        <w:rPr>
          <w:sz w:val="20"/>
          <w:szCs w:val="20"/>
          <w:color w:val="auto"/>
        </w:rPr>
      </w:pPr>
    </w:p>
    <w:p>
      <w:pPr>
        <w:ind w:left="280" w:right="180" w:hanging="274"/>
        <w:spacing w:after="0" w:line="205" w:lineRule="auto"/>
        <w:tabs>
          <w:tab w:leader="none" w:pos="280" w:val="left"/>
        </w:tabs>
        <w:numPr>
          <w:ilvl w:val="0"/>
          <w:numId w:val="24"/>
        </w:numPr>
        <w:rPr>
          <w:rFonts w:ascii="Arial" w:cs="Arial" w:eastAsia="Arial" w:hAnsi="Arial"/>
          <w:sz w:val="18"/>
          <w:szCs w:val="18"/>
          <w:color w:val="auto"/>
          <w:vertAlign w:val="superscript"/>
        </w:rPr>
      </w:pPr>
      <w:r>
        <w:rPr>
          <w:rFonts w:ascii="Arial" w:cs="Arial" w:eastAsia="Arial" w:hAnsi="Arial"/>
          <w:sz w:val="12"/>
          <w:szCs w:val="12"/>
          <w:color w:val="auto"/>
        </w:rPr>
        <w:t>This number reflects shares reserved for issuance in connection with outstanding options, restricted share units and performance share awards under our 2020 Equity Plan, our 2005 Equity and Performance Incentive Plan (the “2005 Equity Plan”), and our 2016 Equity and Performance Incentive Plan (the “2016 Equity Plan”), outstanding as of December 31, 2023, assuming maximum performance achievement with respect to performance-based awards (as a result, this aggregate reported number may overstate actual dilution).</w:t>
      </w:r>
    </w:p>
    <w:p>
      <w:pPr>
        <w:spacing w:after="0" w:line="1" w:lineRule="exact"/>
        <w:rPr>
          <w:rFonts w:ascii="Arial" w:cs="Arial" w:eastAsia="Arial" w:hAnsi="Arial"/>
          <w:sz w:val="18"/>
          <w:szCs w:val="18"/>
          <w:color w:val="auto"/>
          <w:vertAlign w:val="superscript"/>
        </w:rPr>
      </w:pPr>
    </w:p>
    <w:p>
      <w:pPr>
        <w:ind w:left="280" w:right="40" w:hanging="274"/>
        <w:spacing w:after="0" w:line="180" w:lineRule="auto"/>
        <w:tabs>
          <w:tab w:leader="none" w:pos="280" w:val="left"/>
        </w:tabs>
        <w:numPr>
          <w:ilvl w:val="0"/>
          <w:numId w:val="24"/>
        </w:numPr>
        <w:rPr>
          <w:rFonts w:ascii="Arial" w:cs="Arial" w:eastAsia="Arial" w:hAnsi="Arial"/>
          <w:sz w:val="18"/>
          <w:szCs w:val="18"/>
          <w:color w:val="auto"/>
          <w:vertAlign w:val="superscript"/>
        </w:rPr>
      </w:pPr>
      <w:r>
        <w:rPr>
          <w:rFonts w:ascii="Arial" w:cs="Arial" w:eastAsia="Arial" w:hAnsi="Arial"/>
          <w:sz w:val="12"/>
          <w:szCs w:val="12"/>
          <w:color w:val="auto"/>
        </w:rPr>
        <w:t>Represents the weighted average exercise price of options outstanding under the 2005 Equity Plan and the 2016 Equity Plan. The weighted average exercise price does not take restricted share units and performance share awards into account.</w:t>
      </w:r>
    </w:p>
    <w:p>
      <w:pPr>
        <w:spacing w:after="0" w:line="1" w:lineRule="exact"/>
        <w:rPr>
          <w:rFonts w:ascii="Arial" w:cs="Arial" w:eastAsia="Arial" w:hAnsi="Arial"/>
          <w:sz w:val="18"/>
          <w:szCs w:val="18"/>
          <w:color w:val="auto"/>
          <w:vertAlign w:val="superscript"/>
        </w:rPr>
      </w:pPr>
    </w:p>
    <w:p>
      <w:pPr>
        <w:ind w:left="280" w:right="320" w:hanging="274"/>
        <w:spacing w:after="0" w:line="193" w:lineRule="auto"/>
        <w:tabs>
          <w:tab w:leader="none" w:pos="280" w:val="left"/>
        </w:tabs>
        <w:numPr>
          <w:ilvl w:val="0"/>
          <w:numId w:val="24"/>
        </w:numPr>
        <w:rPr>
          <w:rFonts w:ascii="Arial" w:cs="Arial" w:eastAsia="Arial" w:hAnsi="Arial"/>
          <w:sz w:val="18"/>
          <w:szCs w:val="18"/>
          <w:color w:val="auto"/>
          <w:vertAlign w:val="superscript"/>
        </w:rPr>
      </w:pPr>
      <w:r>
        <w:rPr>
          <w:rFonts w:ascii="Arial" w:cs="Arial" w:eastAsia="Arial" w:hAnsi="Arial"/>
          <w:sz w:val="12"/>
          <w:szCs w:val="12"/>
          <w:color w:val="auto"/>
        </w:rPr>
        <w:t>Of these shares, 2,128,756 remain available for future issuance under our 2017 Employee Stock Purchase Plan and 8,502,544 remain available for future issuance under our 2020 Equity Plan. All of these shares are available for issuance other than upon the exercise of options, warrants or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83185</wp:posOffset>
            </wp:positionV>
            <wp:extent cx="693420" cy="1320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3420" cy="13208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30</w:t>
      </w:r>
    </w:p>
    <w:p>
      <w:pPr>
        <w:sectPr>
          <w:pgSz w:w="11900" w:h="16838" w:orient="portrait"/>
          <w:cols w:equalWidth="0" w:num="1">
            <w:col w:w="9360"/>
          </w:cols>
          <w:pgMar w:left="1260" w:top="254" w:right="1279" w:bottom="1440" w:gutter="0" w:footer="0" w:header="0"/>
        </w:sectPr>
      </w:pPr>
    </w:p>
    <w:bookmarkStart w:id="36" w:name="page37"/>
    <w:bookmarkEnd w:id="36"/>
    <w:p>
      <w:pPr>
        <w:jc w:val="center"/>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257175</wp:posOffset>
            </wp:positionV>
            <wp:extent cx="59410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This Compensation Discussion and Analysis describes the material elements of our executive compensation program during 2023 and provides an overview of our executive compensation philosophy, core principles and objectives. We also discuss how and why the Compensation Committee arrived at the specific compensation decisions for our named executive officers (“Named Executive Officers” or “NEOs”), including the key factors that the Compensation Committee considered.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for fiscal 2023 were:</w:t>
      </w:r>
    </w:p>
    <w:p>
      <w:pPr>
        <w:spacing w:after="0" w:line="115" w:lineRule="exact"/>
        <w:rPr>
          <w:sz w:val="20"/>
          <w:szCs w:val="20"/>
          <w:color w:val="auto"/>
        </w:rPr>
      </w:pPr>
    </w:p>
    <w:p>
      <w:pPr>
        <w:ind w:left="180" w:hanging="174"/>
        <w:spacing w:after="0"/>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Thomas W. Warsop, III, our Chief Executive Officer (“CEO”)</w:t>
      </w:r>
    </w:p>
    <w:p>
      <w:pPr>
        <w:spacing w:after="0" w:line="114" w:lineRule="exact"/>
        <w:rPr>
          <w:rFonts w:ascii="Arial" w:cs="Arial" w:eastAsia="Arial" w:hAnsi="Arial"/>
          <w:sz w:val="16"/>
          <w:szCs w:val="16"/>
          <w:color w:val="auto"/>
        </w:rPr>
      </w:pPr>
    </w:p>
    <w:p>
      <w:pPr>
        <w:ind w:left="180" w:hanging="174"/>
        <w:spacing w:after="0"/>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Scott W. Behrens, our Chief Financial Officer (our “CFO”)</w:t>
      </w:r>
    </w:p>
    <w:p>
      <w:pPr>
        <w:spacing w:after="0" w:line="114" w:lineRule="exact"/>
        <w:rPr>
          <w:rFonts w:ascii="Arial" w:cs="Arial" w:eastAsia="Arial" w:hAnsi="Arial"/>
          <w:sz w:val="16"/>
          <w:szCs w:val="16"/>
          <w:color w:val="auto"/>
        </w:rPr>
      </w:pPr>
    </w:p>
    <w:p>
      <w:pPr>
        <w:ind w:left="180" w:hanging="174"/>
        <w:spacing w:after="0"/>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Abraham (“Abe”) Kuruvilla, our Chief Technology Officer (our “CTO”)</w:t>
      </w:r>
    </w:p>
    <w:p>
      <w:pPr>
        <w:spacing w:after="0" w:line="114" w:lineRule="exact"/>
        <w:rPr>
          <w:rFonts w:ascii="Arial" w:cs="Arial" w:eastAsia="Arial" w:hAnsi="Arial"/>
          <w:sz w:val="16"/>
          <w:szCs w:val="16"/>
          <w:color w:val="auto"/>
        </w:rPr>
      </w:pPr>
    </w:p>
    <w:p>
      <w:pPr>
        <w:ind w:left="180" w:hanging="174"/>
        <w:spacing w:after="0"/>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Alessandro Silva, our Chief Revenue Officer (our “CRO”)</w:t>
      </w:r>
    </w:p>
    <w:p>
      <w:pPr>
        <w:spacing w:after="0" w:line="114" w:lineRule="exact"/>
        <w:rPr>
          <w:rFonts w:ascii="Arial" w:cs="Arial" w:eastAsia="Arial" w:hAnsi="Arial"/>
          <w:sz w:val="16"/>
          <w:szCs w:val="16"/>
          <w:color w:val="auto"/>
        </w:rPr>
      </w:pPr>
    </w:p>
    <w:p>
      <w:pPr>
        <w:ind w:left="180" w:hanging="174"/>
        <w:spacing w:after="0"/>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Deborah L. Guerra, our Chief Product Officer (our “CPO”)</w:t>
      </w:r>
    </w:p>
    <w:p>
      <w:pPr>
        <w:spacing w:after="0" w:line="195"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Executive Summary</w:t>
      </w:r>
    </w:p>
    <w:p>
      <w:pPr>
        <w:spacing w:after="0" w:line="124"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Our executive compensation program is designed to attract, motivate, and retain key leaders responsible for our success. Our overall program structure and 2023 compensation decisions are designed to meet our pay for demonstrable performance objectives and align with stockholders’ long-term interests. In addition, our compensation actions during 2023 also included arrangements to support our CEO Transition.</w:t>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Leadership Transition</w:t>
      </w:r>
    </w:p>
    <w:p>
      <w:pPr>
        <w:spacing w:after="0" w:line="124"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Immediately following the termination of Odilon Almeida as our President and CEO in November 2022, Thomas Warsop III, formerly the non-executive Chair of the Company’s Board, became our interim President and CEO and we immediately commenced a comprehensive search process to identify a permanent CEO. We structured Mr. Warsop III’s compensation for this interim service to be simple, flexible (to address the unknown length of his tenure as interim CEO) and aligned with market comparables. Accordingly, for his interim service Mr. Warsop III received $325,000 per month and received a $325,000 discretionary bonus based on certain performance criteria at the end of his tenure as interim CEO. Subsequently, after the completion of its comprehensive search process, the Board appointed Mr. Warsop III as our full time CEO effective June 1, 2023.</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31</w:t>
      </w:r>
    </w:p>
    <w:p>
      <w:pPr>
        <w:sectPr>
          <w:pgSz w:w="11900" w:h="16838" w:orient="portrait"/>
          <w:cols w:equalWidth="0" w:num="1">
            <w:col w:w="9360"/>
          </w:cols>
          <w:pgMar w:left="1260" w:top="254" w:right="127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Mr. Warsop III’s compensation as our full time CEO (effective June 1, 2023) is detailed below:</w:t>
      </w:r>
    </w:p>
    <w:p>
      <w:pPr>
        <w:spacing w:after="0" w:line="23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-107315</wp:posOffset>
            </wp:positionV>
            <wp:extent cx="5941060" cy="2476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41060" cy="24765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40" w:type="dxa"/>
            <w:vAlign w:val="bottom"/>
          </w:tcPr>
          <w:p>
            <w:pPr>
              <w:spacing w:after="0"/>
              <w:rPr>
                <w:sz w:val="20"/>
                <w:szCs w:val="20"/>
                <w:color w:val="auto"/>
              </w:rPr>
            </w:pPr>
            <w:r>
              <w:rPr>
                <w:rFonts w:ascii="Arial" w:cs="Arial" w:eastAsia="Arial" w:hAnsi="Arial"/>
                <w:sz w:val="17"/>
                <w:szCs w:val="17"/>
                <w:b w:val="1"/>
                <w:bCs w:val="1"/>
                <w:color w:val="auto"/>
              </w:rPr>
              <w:t>Base Salary</w:t>
            </w:r>
          </w:p>
        </w:tc>
        <w:tc>
          <w:tcPr>
            <w:tcW w:w="7020" w:type="dxa"/>
            <w:vAlign w:val="bottom"/>
          </w:tcPr>
          <w:p>
            <w:pPr>
              <w:ind w:left="200"/>
              <w:spacing w:after="0"/>
              <w:rPr>
                <w:sz w:val="20"/>
                <w:szCs w:val="20"/>
                <w:color w:val="auto"/>
              </w:rPr>
            </w:pPr>
            <w:r>
              <w:rPr>
                <w:rFonts w:ascii="Arial" w:cs="Arial" w:eastAsia="Arial" w:hAnsi="Arial"/>
                <w:sz w:val="17"/>
                <w:szCs w:val="17"/>
                <w:color w:val="auto"/>
              </w:rPr>
              <w:t>$750,000</w:t>
            </w:r>
          </w:p>
        </w:tc>
        <w:tc>
          <w:tcPr>
            <w:tcW w:w="0" w:type="dxa"/>
            <w:vAlign w:val="bottom"/>
          </w:tcPr>
          <w:p>
            <w:pPr>
              <w:spacing w:after="0"/>
              <w:rPr>
                <w:sz w:val="1"/>
                <w:szCs w:val="1"/>
                <w:color w:val="auto"/>
              </w:rPr>
            </w:pPr>
          </w:p>
        </w:tc>
      </w:tr>
      <w:tr>
        <w:trPr>
          <w:trHeight w:val="183"/>
        </w:trPr>
        <w:tc>
          <w:tcPr>
            <w:tcW w:w="2340" w:type="dxa"/>
            <w:vAlign w:val="bottom"/>
            <w:tcBorders>
              <w:bottom w:val="single" w:sz="8" w:color="284993"/>
            </w:tcBorders>
          </w:tcPr>
          <w:p>
            <w:pPr>
              <w:spacing w:after="0"/>
              <w:rPr>
                <w:sz w:val="15"/>
                <w:szCs w:val="15"/>
                <w:color w:val="auto"/>
              </w:rPr>
            </w:pPr>
          </w:p>
        </w:tc>
        <w:tc>
          <w:tcPr>
            <w:tcW w:w="7020" w:type="dxa"/>
            <w:vAlign w:val="bottom"/>
            <w:tcBorders>
              <w:bottom w:val="single" w:sz="8" w:color="284993"/>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340" w:type="dxa"/>
            <w:vAlign w:val="bottom"/>
          </w:tcPr>
          <w:p>
            <w:pPr>
              <w:spacing w:after="0"/>
              <w:rPr>
                <w:sz w:val="20"/>
                <w:szCs w:val="20"/>
                <w:color w:val="auto"/>
              </w:rPr>
            </w:pPr>
            <w:r>
              <w:rPr>
                <w:rFonts w:ascii="Arial" w:cs="Arial" w:eastAsia="Arial" w:hAnsi="Arial"/>
                <w:sz w:val="17"/>
                <w:szCs w:val="17"/>
                <w:b w:val="1"/>
                <w:bCs w:val="1"/>
                <w:color w:val="auto"/>
              </w:rPr>
              <w:t>Short-Term Incentive (STI)</w:t>
            </w:r>
          </w:p>
        </w:tc>
        <w:tc>
          <w:tcPr>
            <w:tcW w:w="7020" w:type="dxa"/>
            <w:vAlign w:val="bottom"/>
          </w:tcPr>
          <w:p>
            <w:pPr>
              <w:ind w:left="200"/>
              <w:spacing w:after="0"/>
              <w:rPr>
                <w:sz w:val="20"/>
                <w:szCs w:val="20"/>
                <w:color w:val="auto"/>
              </w:rPr>
            </w:pPr>
            <w:r>
              <w:rPr>
                <w:rFonts w:ascii="Arial" w:cs="Arial" w:eastAsia="Arial" w:hAnsi="Arial"/>
                <w:sz w:val="17"/>
                <w:szCs w:val="17"/>
                <w:color w:val="auto"/>
              </w:rPr>
              <w:t>$750,000 (100% of base salary)</w:t>
            </w:r>
          </w:p>
        </w:tc>
        <w:tc>
          <w:tcPr>
            <w:tcW w:w="0" w:type="dxa"/>
            <w:vAlign w:val="bottom"/>
          </w:tcPr>
          <w:p>
            <w:pPr>
              <w:spacing w:after="0"/>
              <w:rPr>
                <w:sz w:val="1"/>
                <w:szCs w:val="1"/>
                <w:color w:val="auto"/>
              </w:rPr>
            </w:pPr>
          </w:p>
        </w:tc>
      </w:tr>
      <w:tr>
        <w:trPr>
          <w:trHeight w:val="239"/>
        </w:trPr>
        <w:tc>
          <w:tcPr>
            <w:tcW w:w="2340" w:type="dxa"/>
            <w:vAlign w:val="bottom"/>
          </w:tcPr>
          <w:p>
            <w:pPr>
              <w:spacing w:after="0"/>
              <w:rPr>
                <w:sz w:val="20"/>
                <w:szCs w:val="20"/>
                <w:color w:val="auto"/>
              </w:rPr>
            </w:pPr>
            <w:r>
              <w:rPr>
                <w:rFonts w:ascii="Arial" w:cs="Arial" w:eastAsia="Arial" w:hAnsi="Arial"/>
                <w:sz w:val="17"/>
                <w:szCs w:val="17"/>
                <w:b w:val="1"/>
                <w:bCs w:val="1"/>
                <w:color w:val="auto"/>
              </w:rPr>
              <w:t>Target</w:t>
            </w:r>
          </w:p>
        </w:tc>
        <w:tc>
          <w:tcPr>
            <w:tcW w:w="7020" w:type="dxa"/>
            <w:vAlign w:val="bottom"/>
            <w:vMerge w:val="restart"/>
          </w:tcPr>
          <w:p>
            <w:pPr>
              <w:ind w:left="200"/>
              <w:spacing w:after="0"/>
              <w:rPr>
                <w:sz w:val="20"/>
                <w:szCs w:val="20"/>
                <w:color w:val="auto"/>
              </w:rPr>
            </w:pPr>
            <w:r>
              <w:rPr>
                <w:rFonts w:ascii="Arial" w:cs="Arial" w:eastAsia="Arial" w:hAnsi="Arial"/>
                <w:sz w:val="17"/>
                <w:szCs w:val="17"/>
                <w:color w:val="auto"/>
              </w:rPr>
              <w:t>Pro-rated for 2023</w:t>
            </w:r>
          </w:p>
        </w:tc>
        <w:tc>
          <w:tcPr>
            <w:tcW w:w="0" w:type="dxa"/>
            <w:vAlign w:val="bottom"/>
          </w:tcPr>
          <w:p>
            <w:pPr>
              <w:spacing w:after="0"/>
              <w:rPr>
                <w:sz w:val="1"/>
                <w:szCs w:val="1"/>
                <w:color w:val="auto"/>
              </w:rPr>
            </w:pPr>
          </w:p>
        </w:tc>
      </w:tr>
      <w:tr>
        <w:trPr>
          <w:trHeight w:val="109"/>
        </w:trPr>
        <w:tc>
          <w:tcPr>
            <w:tcW w:w="2340" w:type="dxa"/>
            <w:vAlign w:val="bottom"/>
          </w:tcPr>
          <w:p>
            <w:pPr>
              <w:spacing w:after="0"/>
              <w:rPr>
                <w:sz w:val="9"/>
                <w:szCs w:val="9"/>
                <w:color w:val="auto"/>
              </w:rPr>
            </w:pPr>
          </w:p>
        </w:tc>
        <w:tc>
          <w:tcPr>
            <w:tcW w:w="7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2340" w:type="dxa"/>
            <w:vAlign w:val="bottom"/>
          </w:tcPr>
          <w:p>
            <w:pPr>
              <w:spacing w:after="0"/>
              <w:rPr>
                <w:sz w:val="24"/>
                <w:szCs w:val="24"/>
                <w:color w:val="auto"/>
              </w:rPr>
            </w:pPr>
          </w:p>
        </w:tc>
        <w:tc>
          <w:tcPr>
            <w:tcW w:w="7020" w:type="dxa"/>
            <w:vAlign w:val="bottom"/>
          </w:tcPr>
          <w:p>
            <w:pPr>
              <w:ind w:left="200"/>
              <w:spacing w:after="0"/>
              <w:rPr>
                <w:sz w:val="20"/>
                <w:szCs w:val="20"/>
                <w:color w:val="auto"/>
              </w:rPr>
            </w:pPr>
            <w:r>
              <w:rPr>
                <w:rFonts w:ascii="Arial" w:cs="Arial" w:eastAsia="Arial" w:hAnsi="Arial"/>
                <w:sz w:val="17"/>
                <w:szCs w:val="17"/>
                <w:color w:val="auto"/>
              </w:rPr>
              <w:t>Earned from 0-200% based on STI criteria.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59410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ectPr>
          <w:pgSz w:w="11900" w:h="16838" w:orient="portrait"/>
          <w:cols w:equalWidth="0" w:num="1">
            <w:col w:w="9360"/>
          </w:cols>
          <w:pgMar w:left="1260" w:top="296" w:right="1279" w:bottom="1440" w:gutter="0" w:footer="0" w:header="0"/>
        </w:sectPr>
      </w:pPr>
    </w:p>
    <w:p>
      <w:pPr>
        <w:spacing w:after="0" w:line="250" w:lineRule="exact"/>
        <w:rPr>
          <w:sz w:val="20"/>
          <w:szCs w:val="20"/>
          <w:color w:val="auto"/>
        </w:rPr>
      </w:pPr>
    </w:p>
    <w:p>
      <w:pPr>
        <w:spacing w:after="0" w:line="292" w:lineRule="auto"/>
        <w:rPr>
          <w:sz w:val="20"/>
          <w:szCs w:val="20"/>
          <w:color w:val="auto"/>
        </w:rPr>
      </w:pPr>
      <w:r>
        <w:rPr>
          <w:rFonts w:ascii="Arial" w:cs="Arial" w:eastAsia="Arial" w:hAnsi="Arial"/>
          <w:sz w:val="17"/>
          <w:szCs w:val="17"/>
          <w:b w:val="1"/>
          <w:bCs w:val="1"/>
          <w:color w:val="auto"/>
        </w:rPr>
        <w:t>Long-Term Incentive (LTI) Target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3380"/>
        <w:spacing w:after="0" w:line="382" w:lineRule="auto"/>
        <w:rPr>
          <w:sz w:val="20"/>
          <w:szCs w:val="20"/>
          <w:color w:val="auto"/>
        </w:rPr>
      </w:pPr>
      <w:r>
        <w:rPr>
          <w:rFonts w:ascii="Arial" w:cs="Arial" w:eastAsia="Arial" w:hAnsi="Arial"/>
          <w:sz w:val="17"/>
          <w:szCs w:val="17"/>
          <w:color w:val="auto"/>
        </w:rPr>
        <w:t>Initial equity award in June 2023 of $4 million Annual equity award in 2024 of $8.5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-383540</wp:posOffset>
            </wp:positionV>
            <wp:extent cx="1047750" cy="643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47750" cy="643890"/>
                    </a:xfrm>
                    <a:prstGeom prst="rect">
                      <a:avLst/>
                    </a:prstGeom>
                    <a:noFill/>
                  </pic:spPr>
                </pic:pic>
              </a:graphicData>
            </a:graphic>
          </wp:anchor>
        </w:drawing>
      </w:r>
    </w:p>
    <w:p>
      <w:pPr>
        <w:ind w:right="2080"/>
        <w:spacing w:after="0" w:line="250" w:lineRule="auto"/>
        <w:rPr>
          <w:sz w:val="20"/>
          <w:szCs w:val="20"/>
          <w:color w:val="auto"/>
        </w:rPr>
      </w:pPr>
      <w:r>
        <w:rPr>
          <w:rFonts w:ascii="Arial" w:cs="Arial" w:eastAsia="Arial" w:hAnsi="Arial"/>
          <w:sz w:val="17"/>
          <w:szCs w:val="17"/>
          <w:color w:val="auto"/>
        </w:rPr>
        <w:t>Both grants are 65% performance share awards (“PSUs”) and 35% Restricted Share Units (“RSUs”)</w:t>
      </w:r>
    </w:p>
    <w:p>
      <w:pPr>
        <w:spacing w:after="0" w:line="1"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-1604010</wp:posOffset>
            </wp:positionH>
            <wp:positionV relativeFrom="paragraph">
              <wp:posOffset>137795</wp:posOffset>
            </wp:positionV>
            <wp:extent cx="59410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440"/>
            <w:col w:w="6820"/>
          </w:cols>
          <w:pgMar w:left="1260" w:top="296" w:right="1279" w:bottom="1440" w:gutter="0" w:footer="0" w:header="0"/>
          <w:type w:val="continuous"/>
        </w:sectPr>
      </w:pPr>
    </w:p>
    <w:p>
      <w:pPr>
        <w:spacing w:after="0" w:line="22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Ram Puppala’s employment as our Chief Technology Officer ceased effective June 30, 2023. On October 30, 2023, Mr. Kuruvilla joined the Company as our new Chief Technology Officer. The compensation that Mr. Kuruvilla received in connection with his commencement of employment is described below in this Compensation Discussion and Analysis.</w:t>
      </w:r>
    </w:p>
    <w:p>
      <w:pPr>
        <w:spacing w:after="0" w:line="176" w:lineRule="exact"/>
        <w:rPr>
          <w:sz w:val="20"/>
          <w:szCs w:val="20"/>
          <w:color w:val="auto"/>
        </w:rPr>
      </w:pPr>
    </w:p>
    <w:p>
      <w:pPr>
        <w:ind w:right="180"/>
        <w:spacing w:after="0" w:line="242" w:lineRule="auto"/>
        <w:rPr>
          <w:sz w:val="20"/>
          <w:szCs w:val="20"/>
          <w:color w:val="auto"/>
        </w:rPr>
      </w:pPr>
      <w:r>
        <w:rPr>
          <w:rFonts w:ascii="Arial" w:cs="Arial" w:eastAsia="Arial" w:hAnsi="Arial"/>
          <w:sz w:val="16"/>
          <w:szCs w:val="16"/>
          <w:color w:val="auto"/>
        </w:rPr>
        <w:t>Mr. Kuruvilla’s compensation was a result of negotiations, and was structured to be competitive and aligned with our executive compensation. His initial compensation consisted of a base salary rate of $460,000, a target bonus of 100% of base salary beginning with our 2024 fiscal year, an initial equity grant of approximately $1.6 million in RSUs (vesting annually over the three years following the grant date), and a sign-on bonus of $540,000 payable March 31, 2024 to address foregone compensation when he left his prior employer. His offer letter also provided that we would recommend a $2.2 million equity grant in 2024 as part of our annual grant cycle on the same terms as other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85090</wp:posOffset>
            </wp:positionV>
            <wp:extent cx="701675" cy="1320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1675" cy="13208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32</w:t>
      </w:r>
    </w:p>
    <w:p>
      <w:pPr>
        <w:sectPr>
          <w:pgSz w:w="11900" w:h="16838" w:orient="portrait"/>
          <w:cols w:equalWidth="0" w:num="1">
            <w:col w:w="9360"/>
          </w:cols>
          <w:pgMar w:left="1260" w:top="296" w:right="127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168910</wp:posOffset>
            </wp:positionV>
            <wp:extent cx="5503545" cy="34823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03545" cy="348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0" w:right="160" w:hanging="354"/>
        <w:spacing w:after="0" w:line="264" w:lineRule="auto"/>
        <w:tabs>
          <w:tab w:leader="none" w:pos="3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Note that Adjusted EBITDA reported above is based on our actual foreign exchange rates while the Adjusted EBITDA discussed below with respect to our annual cash incentive plan is based on our 2023 budgeted foreign exchange rate.</w:t>
      </w:r>
    </w:p>
    <w:p>
      <w:pPr>
        <w:spacing w:after="0" w:line="63"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Adjusted EBITDA, Net Adjusted EBITDA Margin and Revenue Net of Interchange are non-GAAP financial measures. Adjusted EBITDA is defined as net income plus income tax expense (benefit), net interest income (expense), net other income (expense), depreciation, amortization and stock-based compensation, as well as significant transaction-related expenses. Revenue Net of Interchange is defined as revenue net of pass-through interchange revenue. Net Adjusted EBITDA Margin is defined as Adjusted EBITDA divided by Revenue Net of Interchange. For purposes of calculations under our 2023 short-term incentive program awards and our 2023 PSU awards, we further adjusted Adjusted EBITDA and Revenue Net of Interchange (including for purposes of calculating Net Adjusted EBITDA Margin) to be based on our 2023 budgeted foreign exchange rate rather than our actual foreign exchange rates.</w:t>
      </w:r>
    </w:p>
    <w:p>
      <w:pPr>
        <w:spacing w:after="0" w:line="157"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See Appendix A for full reconciliation for Adjusted EBITDA, Net Adjusted EBITDA Margin and Revenue Net of Interchange, including as used for calculations under our 2023 short-term incentive program awards and our 2023 PSU awards.</w:t>
      </w:r>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2023 Compensation Highlights</w:t>
      </w:r>
    </w:p>
    <w:p>
      <w:pPr>
        <w:spacing w:after="0" w:line="124"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Underlying our executive compensation program is a strong belief in promoting a pay-for-performance culture. To that end, the Compensation Committee designs the target total direct compensation of our executive officers so that a significant portion of the overall compensation opportunity is linked to our financial performance through our annual incentive plan and to our long-term financial performance through performance-based equity awards. In addition, the Compensation Committee sets challenging performance goals for each of the metrics used in our incentive compensation plans so that the amounts earned will be based upon successful performance as measured against pre-established financial, operational, and strategic objectives.</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33</w:t>
      </w:r>
    </w:p>
    <w:p>
      <w:pPr>
        <w:sectPr>
          <w:pgSz w:w="11900" w:h="16838" w:orient="portrait"/>
          <w:cols w:equalWidth="0" w:num="1">
            <w:col w:w="9360"/>
          </w:cols>
          <w:pgMar w:left="1260" w:top="286" w:right="1279" w:bottom="1440" w:gutter="0" w:footer="0" w:header="0"/>
        </w:sectPr>
      </w:pPr>
    </w:p>
    <w:bookmarkStart w:id="39" w:name="page40"/>
    <w:bookmarkEnd w:id="39"/>
    <w:p>
      <w:pPr>
        <w:ind w:right="460"/>
        <w:spacing w:after="0" w:line="33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The pay mix of the target total direct compensation for our CEO and our other Named Executive Officers for 2023 reflects this pay-for-performance culture by ensuring that a significant amount of compensation is subject to performance or otherwise at risk.</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160020</wp:posOffset>
            </wp:positionV>
            <wp:extent cx="5503545" cy="25990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03545" cy="259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60" w:hanging="354"/>
        <w:spacing w:after="0"/>
        <w:tabs>
          <w:tab w:leader="none" w:pos="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Compensation of the CEO is based on his 2024 compensation to provide a better understanding of his go forward pay mix since</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he was our full time CEO for only a portion of 2023 (June 1st to December 31st).</w:t>
      </w:r>
    </w:p>
    <w:p>
      <w:pPr>
        <w:ind w:left="360" w:hanging="354"/>
        <w:spacing w:after="0"/>
        <w:tabs>
          <w:tab w:leader="none" w:pos="3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NEOs (Average)” does not include CTO, who was hired in 2023.</w:t>
      </w:r>
    </w:p>
    <w:p>
      <w:pPr>
        <w:spacing w:after="0" w:line="192"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For fiscal 2023, we adjusted the financial metrics and weightings under both our annual incentive and long-term incentive plans. Our annual incentive plan continues to emphasize Adjusted EBITDA performance, weighted 40% for fiscal 2023 compared to 50% in the prior year. Consistent with our focus on revenue growth, we measure period-to-period growth of Revenue Net of Interchange (“Revenue Net of Interchange Growth”) performance, weighted 60%. We also added a critical incidents multiplier to focus management on reducing these potentially high-impact incidents year over year. With respect to our long-term incentive program, during fiscal 2023 we enhanced our award structure, which historically utilized only a relative total share return (“rTSR”) metric to determine payouts, to incorporate additional metrics tied to our key long-term strategic objectives. For 2023, we added Net Adjusted EBITDA Margin and Revenue Net of Interchange Growth as additional performance metrics for our long-term incentive awards as these are the key financial measures of our business performance. We continue to consider rTSR performance as a multiplier that can increase or decrease long-term incentive payouts by up to 20% based on performance over an approximately three year period. In 2024, we continued to refine the design of our performance share units (“PSUs”) to enhance their long term focus, as further described below in the section entitled “2024 Annual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88900</wp:posOffset>
            </wp:positionV>
            <wp:extent cx="693420" cy="1403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3420" cy="14033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34</w:t>
      </w:r>
    </w:p>
    <w:p>
      <w:pPr>
        <w:sectPr>
          <w:pgSz w:w="11900" w:h="16838" w:orient="portrait"/>
          <w:cols w:equalWidth="0" w:num="1">
            <w:col w:w="9340"/>
          </w:cols>
          <w:pgMar w:left="1260" w:top="296" w:right="129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Annual Cash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160020</wp:posOffset>
            </wp:positionV>
            <wp:extent cx="198120" cy="990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98120" cy="9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284993"/>
        </w:rPr>
        <w:t>CEO Short-Term Incentive Plan (“STIP”)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-111760</wp:posOffset>
            </wp:positionV>
            <wp:extent cx="5941060" cy="305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41060" cy="30543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17"/>
          <w:szCs w:val="17"/>
          <w:b w:val="1"/>
          <w:bCs w:val="1"/>
          <w:color w:val="284993"/>
        </w:rPr>
        <w:t>Target Award of $439,726*</w:t>
      </w:r>
    </w:p>
    <w:p>
      <w:pPr>
        <w:spacing w:after="0" w:line="87"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i w:val="1"/>
          <w:iCs w:val="1"/>
          <w:color w:val="284993"/>
        </w:rPr>
        <w:t>Payout of $529,870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59410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284993"/>
        </w:rPr>
        <w:t>Corporate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59410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Pro-Rated</w:t>
            </w:r>
          </w:p>
        </w:tc>
        <w:tc>
          <w:tcPr>
            <w:tcW w:w="400" w:type="dxa"/>
            <w:vAlign w:val="bottom"/>
          </w:tcPr>
          <w:p>
            <w:pPr>
              <w:spacing w:after="0"/>
              <w:rPr>
                <w:sz w:val="16"/>
                <w:szCs w:val="16"/>
                <w:color w:val="auto"/>
              </w:rPr>
            </w:pPr>
          </w:p>
        </w:tc>
        <w:tc>
          <w:tcPr>
            <w:tcW w:w="860" w:type="dxa"/>
            <w:vAlign w:val="bottom"/>
            <w:vMerge w:val="restart"/>
          </w:tcPr>
          <w:p>
            <w:pPr>
              <w:ind w:left="240"/>
              <w:spacing w:after="0"/>
              <w:rPr>
                <w:sz w:val="20"/>
                <w:szCs w:val="20"/>
                <w:color w:val="auto"/>
              </w:rPr>
            </w:pPr>
            <w:r>
              <w:rPr>
                <w:rFonts w:ascii="Arial" w:cs="Arial" w:eastAsia="Arial" w:hAnsi="Arial"/>
                <w:sz w:val="16"/>
                <w:szCs w:val="16"/>
                <w:color w:val="auto"/>
              </w:rPr>
              <w:t>Bonus</w:t>
            </w:r>
          </w:p>
        </w:tc>
        <w:tc>
          <w:tcPr>
            <w:tcW w:w="4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Financial</w:t>
            </w:r>
          </w:p>
        </w:tc>
        <w:tc>
          <w:tcPr>
            <w:tcW w:w="460" w:type="dxa"/>
            <w:vAlign w:val="bottom"/>
          </w:tcPr>
          <w:p>
            <w:pPr>
              <w:spacing w:after="0"/>
              <w:rPr>
                <w:sz w:val="16"/>
                <w:szCs w:val="16"/>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Critical</w:t>
            </w:r>
          </w:p>
        </w:tc>
        <w:tc>
          <w:tcPr>
            <w:tcW w:w="4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Company</w:t>
            </w:r>
          </w:p>
        </w:tc>
        <w:tc>
          <w:tcPr>
            <w:tcW w:w="0" w:type="dxa"/>
            <w:vAlign w:val="bottom"/>
          </w:tcPr>
          <w:p>
            <w:pPr>
              <w:spacing w:after="0"/>
              <w:rPr>
                <w:sz w:val="1"/>
                <w:szCs w:val="1"/>
                <w:color w:val="auto"/>
              </w:rPr>
            </w:pPr>
          </w:p>
        </w:tc>
      </w:tr>
      <w:tr>
        <w:trPr>
          <w:trHeight w:val="91"/>
        </w:trPr>
        <w:tc>
          <w:tcPr>
            <w:tcW w:w="1780" w:type="dxa"/>
            <w:vAlign w:val="bottom"/>
            <w:vMerge w:val="restart"/>
          </w:tcPr>
          <w:p>
            <w:pPr>
              <w:jc w:val="right"/>
              <w:ind w:right="278"/>
              <w:spacing w:after="0" w:line="182" w:lineRule="exact"/>
              <w:rPr>
                <w:sz w:val="20"/>
                <w:szCs w:val="20"/>
                <w:color w:val="auto"/>
              </w:rPr>
            </w:pPr>
            <w:r>
              <w:rPr>
                <w:rFonts w:ascii="Arial" w:cs="Arial" w:eastAsia="Arial" w:hAnsi="Arial"/>
                <w:sz w:val="16"/>
                <w:szCs w:val="16"/>
                <w:color w:val="auto"/>
              </w:rPr>
              <w:t>Base Salary</w:t>
            </w:r>
          </w:p>
        </w:tc>
        <w:tc>
          <w:tcPr>
            <w:tcW w:w="600" w:type="dxa"/>
            <w:vAlign w:val="bottom"/>
            <w:vMerge w:val="restart"/>
          </w:tcPr>
          <w:p>
            <w:pPr>
              <w:ind w:left="360"/>
              <w:spacing w:after="0" w:line="182" w:lineRule="exact"/>
              <w:rPr>
                <w:sz w:val="20"/>
                <w:szCs w:val="20"/>
                <w:color w:val="auto"/>
              </w:rPr>
            </w:pPr>
            <w:r>
              <w:rPr>
                <w:rFonts w:ascii="Arial" w:cs="Arial" w:eastAsia="Arial" w:hAnsi="Arial"/>
                <w:sz w:val="16"/>
                <w:szCs w:val="16"/>
                <w:color w:val="auto"/>
              </w:rPr>
              <w:t>×</w:t>
            </w:r>
          </w:p>
        </w:tc>
        <w:tc>
          <w:tcPr>
            <w:tcW w:w="940" w:type="dxa"/>
            <w:vAlign w:val="bottom"/>
            <w:vMerge w:val="restart"/>
          </w:tcPr>
          <w:p>
            <w:pPr>
              <w:jc w:val="center"/>
              <w:spacing w:after="0" w:line="182" w:lineRule="exact"/>
              <w:rPr>
                <w:sz w:val="20"/>
                <w:szCs w:val="20"/>
                <w:color w:val="auto"/>
              </w:rPr>
            </w:pPr>
            <w:r>
              <w:rPr>
                <w:rFonts w:ascii="Arial" w:cs="Arial" w:eastAsia="Arial" w:hAnsi="Arial"/>
                <w:sz w:val="16"/>
                <w:szCs w:val="16"/>
                <w:color w:val="auto"/>
                <w:w w:val="96"/>
              </w:rPr>
              <w:t>Bonus</w:t>
            </w:r>
          </w:p>
        </w:tc>
        <w:tc>
          <w:tcPr>
            <w:tcW w:w="400" w:type="dxa"/>
            <w:vAlign w:val="bottom"/>
            <w:vMerge w:val="restart"/>
          </w:tcPr>
          <w:p>
            <w:pPr>
              <w:ind w:left="120"/>
              <w:spacing w:after="0" w:line="182" w:lineRule="exact"/>
              <w:rPr>
                <w:sz w:val="20"/>
                <w:szCs w:val="20"/>
                <w:color w:val="auto"/>
              </w:rPr>
            </w:pPr>
            <w:r>
              <w:rPr>
                <w:rFonts w:ascii="Arial" w:cs="Arial" w:eastAsia="Arial" w:hAnsi="Arial"/>
                <w:sz w:val="16"/>
                <w:szCs w:val="16"/>
                <w:color w:val="auto"/>
              </w:rPr>
              <w:t>=</w:t>
            </w:r>
          </w:p>
        </w:tc>
        <w:tc>
          <w:tcPr>
            <w:tcW w:w="860" w:type="dxa"/>
            <w:vAlign w:val="bottom"/>
            <w:vMerge w:val="continue"/>
          </w:tcPr>
          <w:p>
            <w:pPr>
              <w:spacing w:after="0"/>
              <w:rPr>
                <w:sz w:val="7"/>
                <w:szCs w:val="7"/>
                <w:color w:val="auto"/>
              </w:rPr>
            </w:pPr>
          </w:p>
        </w:tc>
        <w:tc>
          <w:tcPr>
            <w:tcW w:w="420" w:type="dxa"/>
            <w:vAlign w:val="bottom"/>
            <w:vMerge w:val="restart"/>
          </w:tcPr>
          <w:p>
            <w:pPr>
              <w:ind w:left="180"/>
              <w:spacing w:after="0" w:line="182" w:lineRule="exact"/>
              <w:rPr>
                <w:sz w:val="20"/>
                <w:szCs w:val="20"/>
                <w:color w:val="auto"/>
              </w:rPr>
            </w:pPr>
            <w:r>
              <w:rPr>
                <w:rFonts w:ascii="Arial" w:cs="Arial" w:eastAsia="Arial" w:hAnsi="Arial"/>
                <w:sz w:val="16"/>
                <w:szCs w:val="16"/>
                <w:color w:val="auto"/>
              </w:rPr>
              <w:t>x</w:t>
            </w:r>
          </w:p>
        </w:tc>
        <w:tc>
          <w:tcPr>
            <w:tcW w:w="1200" w:type="dxa"/>
            <w:vAlign w:val="bottom"/>
            <w:vMerge w:val="restart"/>
          </w:tcPr>
          <w:p>
            <w:pPr>
              <w:jc w:val="center"/>
              <w:spacing w:after="0" w:line="182" w:lineRule="exact"/>
              <w:rPr>
                <w:sz w:val="20"/>
                <w:szCs w:val="20"/>
                <w:color w:val="auto"/>
              </w:rPr>
            </w:pPr>
            <w:r>
              <w:rPr>
                <w:rFonts w:ascii="Arial" w:cs="Arial" w:eastAsia="Arial" w:hAnsi="Arial"/>
                <w:sz w:val="16"/>
                <w:szCs w:val="16"/>
                <w:color w:val="auto"/>
                <w:w w:val="96"/>
              </w:rPr>
              <w:t>Performance</w:t>
            </w:r>
          </w:p>
        </w:tc>
        <w:tc>
          <w:tcPr>
            <w:tcW w:w="460" w:type="dxa"/>
            <w:vAlign w:val="bottom"/>
            <w:vMerge w:val="restart"/>
          </w:tcPr>
          <w:p>
            <w:pPr>
              <w:ind w:left="180"/>
              <w:spacing w:after="0" w:line="182" w:lineRule="exact"/>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19"/>
              <w:spacing w:after="0" w:line="182" w:lineRule="exact"/>
              <w:rPr>
                <w:sz w:val="20"/>
                <w:szCs w:val="20"/>
                <w:color w:val="auto"/>
              </w:rPr>
            </w:pPr>
            <w:r>
              <w:rPr>
                <w:rFonts w:ascii="Arial" w:cs="Arial" w:eastAsia="Arial" w:hAnsi="Arial"/>
                <w:sz w:val="16"/>
                <w:szCs w:val="16"/>
                <w:color w:val="auto"/>
              </w:rPr>
              <w:t>Incidents</w:t>
            </w:r>
          </w:p>
        </w:tc>
        <w:tc>
          <w:tcPr>
            <w:tcW w:w="460" w:type="dxa"/>
            <w:vAlign w:val="bottom"/>
            <w:vMerge w:val="restart"/>
          </w:tcPr>
          <w:p>
            <w:pPr>
              <w:ind w:left="180"/>
              <w:spacing w:after="0" w:line="182" w:lineRule="exact"/>
              <w:rPr>
                <w:sz w:val="20"/>
                <w:szCs w:val="20"/>
                <w:color w:val="auto"/>
              </w:rPr>
            </w:pPr>
            <w:r>
              <w:rPr>
                <w:rFonts w:ascii="Arial" w:cs="Arial" w:eastAsia="Arial" w:hAnsi="Arial"/>
                <w:sz w:val="16"/>
                <w:szCs w:val="16"/>
                <w:color w:val="auto"/>
              </w:rPr>
              <w:t>=</w:t>
            </w:r>
          </w:p>
        </w:tc>
        <w:tc>
          <w:tcPr>
            <w:tcW w:w="1220" w:type="dxa"/>
            <w:vAlign w:val="bottom"/>
            <w:vMerge w:val="restart"/>
          </w:tcPr>
          <w:p>
            <w:pPr>
              <w:jc w:val="center"/>
              <w:spacing w:after="0" w:line="182" w:lineRule="exact"/>
              <w:rPr>
                <w:sz w:val="20"/>
                <w:szCs w:val="20"/>
                <w:color w:val="auto"/>
              </w:rPr>
            </w:pPr>
            <w:r>
              <w:rPr>
                <w:rFonts w:ascii="Arial" w:cs="Arial" w:eastAsia="Arial" w:hAnsi="Arial"/>
                <w:sz w:val="16"/>
                <w:szCs w:val="16"/>
                <w:color w:val="auto"/>
                <w:w w:val="96"/>
              </w:rPr>
              <w:t>Performance</w:t>
            </w:r>
          </w:p>
        </w:tc>
        <w:tc>
          <w:tcPr>
            <w:tcW w:w="0" w:type="dxa"/>
            <w:vAlign w:val="bottom"/>
          </w:tcPr>
          <w:p>
            <w:pPr>
              <w:spacing w:after="0"/>
              <w:rPr>
                <w:sz w:val="1"/>
                <w:szCs w:val="1"/>
                <w:color w:val="auto"/>
              </w:rPr>
            </w:pPr>
          </w:p>
        </w:tc>
      </w:tr>
      <w:tr>
        <w:trPr>
          <w:trHeight w:val="91"/>
        </w:trPr>
        <w:tc>
          <w:tcPr>
            <w:tcW w:w="17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860" w:type="dxa"/>
            <w:vAlign w:val="bottom"/>
            <w:vMerge w:val="restart"/>
          </w:tcPr>
          <w:p>
            <w:pPr>
              <w:ind w:left="240"/>
              <w:spacing w:after="0"/>
              <w:rPr>
                <w:sz w:val="20"/>
                <w:szCs w:val="20"/>
                <w:color w:val="auto"/>
              </w:rPr>
            </w:pPr>
            <w:r>
              <w:rPr>
                <w:rFonts w:ascii="Arial" w:cs="Arial" w:eastAsia="Arial" w:hAnsi="Arial"/>
                <w:sz w:val="16"/>
                <w:szCs w:val="16"/>
                <w:color w:val="auto"/>
              </w:rPr>
              <w:t>Target</w:t>
            </w:r>
          </w:p>
        </w:tc>
        <w:tc>
          <w:tcPr>
            <w:tcW w:w="4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2"/>
              </w:rPr>
              <w:t>Target %</w:t>
            </w:r>
          </w:p>
        </w:tc>
        <w:tc>
          <w:tcPr>
            <w:tcW w:w="4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6"/>
                <w:szCs w:val="16"/>
                <w:color w:val="auto"/>
                <w:w w:val="96"/>
              </w:rPr>
              <w:t>Payout</w:t>
            </w:r>
          </w:p>
        </w:tc>
        <w:tc>
          <w:tcPr>
            <w:tcW w:w="460" w:type="dxa"/>
            <w:vAlign w:val="bottom"/>
          </w:tcPr>
          <w:p>
            <w:pPr>
              <w:spacing w:after="0"/>
              <w:rPr>
                <w:sz w:val="9"/>
                <w:szCs w:val="9"/>
                <w:color w:val="auto"/>
              </w:rPr>
            </w:pPr>
          </w:p>
        </w:tc>
        <w:tc>
          <w:tcPr>
            <w:tcW w:w="1000" w:type="dxa"/>
            <w:vAlign w:val="bottom"/>
            <w:vMerge w:val="restart"/>
          </w:tcPr>
          <w:p>
            <w:pPr>
              <w:jc w:val="right"/>
              <w:ind w:right="119"/>
              <w:spacing w:after="0"/>
              <w:rPr>
                <w:sz w:val="20"/>
                <w:szCs w:val="20"/>
                <w:color w:val="auto"/>
              </w:rPr>
            </w:pPr>
            <w:r>
              <w:rPr>
                <w:rFonts w:ascii="Arial" w:cs="Arial" w:eastAsia="Arial" w:hAnsi="Arial"/>
                <w:sz w:val="16"/>
                <w:szCs w:val="16"/>
                <w:color w:val="auto"/>
              </w:rPr>
              <w:t>Multiplier</w:t>
            </w:r>
          </w:p>
        </w:tc>
        <w:tc>
          <w:tcPr>
            <w:tcW w:w="460" w:type="dxa"/>
            <w:vAlign w:val="bottom"/>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Arial" w:cs="Arial" w:eastAsia="Arial" w:hAnsi="Arial"/>
                <w:sz w:val="16"/>
                <w:szCs w:val="16"/>
                <w:color w:val="auto"/>
                <w:w w:val="96"/>
              </w:rPr>
              <w:t>Payout</w:t>
            </w:r>
          </w:p>
        </w:tc>
        <w:tc>
          <w:tcPr>
            <w:tcW w:w="0" w:type="dxa"/>
            <w:vAlign w:val="bottom"/>
          </w:tcPr>
          <w:p>
            <w:pPr>
              <w:spacing w:after="0"/>
              <w:rPr>
                <w:sz w:val="1"/>
                <w:szCs w:val="1"/>
                <w:color w:val="auto"/>
              </w:rPr>
            </w:pPr>
          </w:p>
        </w:tc>
      </w:tr>
      <w:tr>
        <w:trPr>
          <w:trHeight w:val="80"/>
        </w:trPr>
        <w:tc>
          <w:tcPr>
            <w:tcW w:w="1780" w:type="dxa"/>
            <w:vAlign w:val="bottom"/>
            <w:tcBorders>
              <w:bottom w:val="single" w:sz="8" w:color="284993"/>
            </w:tcBorders>
          </w:tcPr>
          <w:p>
            <w:pPr>
              <w:spacing w:after="0"/>
              <w:rPr>
                <w:sz w:val="6"/>
                <w:szCs w:val="6"/>
                <w:color w:val="auto"/>
              </w:rPr>
            </w:pPr>
          </w:p>
        </w:tc>
        <w:tc>
          <w:tcPr>
            <w:tcW w:w="600" w:type="dxa"/>
            <w:vAlign w:val="bottom"/>
            <w:tcBorders>
              <w:bottom w:val="single" w:sz="8" w:color="284993"/>
            </w:tcBorders>
          </w:tcPr>
          <w:p>
            <w:pPr>
              <w:spacing w:after="0"/>
              <w:rPr>
                <w:sz w:val="6"/>
                <w:szCs w:val="6"/>
                <w:color w:val="auto"/>
              </w:rPr>
            </w:pPr>
          </w:p>
        </w:tc>
        <w:tc>
          <w:tcPr>
            <w:tcW w:w="940" w:type="dxa"/>
            <w:vAlign w:val="bottom"/>
            <w:tcBorders>
              <w:bottom w:val="single" w:sz="8" w:color="284993"/>
            </w:tcBorders>
            <w:vMerge w:val="continue"/>
          </w:tcPr>
          <w:p>
            <w:pPr>
              <w:spacing w:after="0"/>
              <w:rPr>
                <w:sz w:val="6"/>
                <w:szCs w:val="6"/>
                <w:color w:val="auto"/>
              </w:rPr>
            </w:pPr>
          </w:p>
        </w:tc>
        <w:tc>
          <w:tcPr>
            <w:tcW w:w="400" w:type="dxa"/>
            <w:vAlign w:val="bottom"/>
            <w:tcBorders>
              <w:bottom w:val="single" w:sz="8" w:color="284993"/>
            </w:tcBorders>
          </w:tcPr>
          <w:p>
            <w:pPr>
              <w:spacing w:after="0"/>
              <w:rPr>
                <w:sz w:val="6"/>
                <w:szCs w:val="6"/>
                <w:color w:val="auto"/>
              </w:rPr>
            </w:pPr>
          </w:p>
        </w:tc>
        <w:tc>
          <w:tcPr>
            <w:tcW w:w="860" w:type="dxa"/>
            <w:vAlign w:val="bottom"/>
            <w:tcBorders>
              <w:bottom w:val="single" w:sz="8" w:color="284993"/>
            </w:tcBorders>
          </w:tcPr>
          <w:p>
            <w:pPr>
              <w:spacing w:after="0"/>
              <w:rPr>
                <w:sz w:val="6"/>
                <w:szCs w:val="6"/>
                <w:color w:val="auto"/>
              </w:rPr>
            </w:pPr>
          </w:p>
        </w:tc>
        <w:tc>
          <w:tcPr>
            <w:tcW w:w="420" w:type="dxa"/>
            <w:vAlign w:val="bottom"/>
            <w:tcBorders>
              <w:bottom w:val="single" w:sz="8" w:color="284993"/>
            </w:tcBorders>
          </w:tcPr>
          <w:p>
            <w:pPr>
              <w:spacing w:after="0"/>
              <w:rPr>
                <w:sz w:val="6"/>
                <w:szCs w:val="6"/>
                <w:color w:val="auto"/>
              </w:rPr>
            </w:pPr>
          </w:p>
        </w:tc>
        <w:tc>
          <w:tcPr>
            <w:tcW w:w="1200" w:type="dxa"/>
            <w:vAlign w:val="bottom"/>
            <w:tcBorders>
              <w:bottom w:val="single" w:sz="8" w:color="284993"/>
            </w:tcBorders>
            <w:vMerge w:val="continue"/>
          </w:tcPr>
          <w:p>
            <w:pPr>
              <w:spacing w:after="0"/>
              <w:rPr>
                <w:sz w:val="6"/>
                <w:szCs w:val="6"/>
                <w:color w:val="auto"/>
              </w:rPr>
            </w:pPr>
          </w:p>
        </w:tc>
        <w:tc>
          <w:tcPr>
            <w:tcW w:w="460" w:type="dxa"/>
            <w:vAlign w:val="bottom"/>
            <w:tcBorders>
              <w:bottom w:val="single" w:sz="8" w:color="284993"/>
            </w:tcBorders>
          </w:tcPr>
          <w:p>
            <w:pPr>
              <w:spacing w:after="0"/>
              <w:rPr>
                <w:sz w:val="6"/>
                <w:szCs w:val="6"/>
                <w:color w:val="auto"/>
              </w:rPr>
            </w:pPr>
          </w:p>
        </w:tc>
        <w:tc>
          <w:tcPr>
            <w:tcW w:w="1000" w:type="dxa"/>
            <w:vAlign w:val="bottom"/>
            <w:tcBorders>
              <w:bottom w:val="single" w:sz="8" w:color="284993"/>
            </w:tcBorders>
            <w:vMerge w:val="continue"/>
          </w:tcPr>
          <w:p>
            <w:pPr>
              <w:spacing w:after="0"/>
              <w:rPr>
                <w:sz w:val="6"/>
                <w:szCs w:val="6"/>
                <w:color w:val="auto"/>
              </w:rPr>
            </w:pPr>
          </w:p>
        </w:tc>
        <w:tc>
          <w:tcPr>
            <w:tcW w:w="460" w:type="dxa"/>
            <w:vAlign w:val="bottom"/>
            <w:tcBorders>
              <w:bottom w:val="single" w:sz="8" w:color="284993"/>
            </w:tcBorders>
          </w:tcPr>
          <w:p>
            <w:pPr>
              <w:spacing w:after="0"/>
              <w:rPr>
                <w:sz w:val="6"/>
                <w:szCs w:val="6"/>
                <w:color w:val="auto"/>
              </w:rPr>
            </w:pPr>
          </w:p>
        </w:tc>
        <w:tc>
          <w:tcPr>
            <w:tcW w:w="1220" w:type="dxa"/>
            <w:vAlign w:val="bottom"/>
            <w:tcBorders>
              <w:bottom w:val="single" w:sz="8" w:color="284993"/>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780" w:type="dxa"/>
            <w:vAlign w:val="bottom"/>
            <w:vMerge w:val="restart"/>
          </w:tcPr>
          <w:p>
            <w:pPr>
              <w:jc w:val="right"/>
              <w:ind w:right="358"/>
              <w:spacing w:after="0"/>
              <w:rPr>
                <w:sz w:val="20"/>
                <w:szCs w:val="20"/>
                <w:color w:val="auto"/>
              </w:rPr>
            </w:pPr>
            <w:r>
              <w:rPr>
                <w:rFonts w:ascii="Arial" w:cs="Arial" w:eastAsia="Arial" w:hAnsi="Arial"/>
                <w:sz w:val="17"/>
                <w:szCs w:val="17"/>
                <w:color w:val="auto"/>
              </w:rPr>
              <w:t>$750,000</w:t>
            </w:r>
          </w:p>
        </w:tc>
        <w:tc>
          <w:tcPr>
            <w:tcW w:w="600" w:type="dxa"/>
            <w:vAlign w:val="bottom"/>
            <w:vMerge w:val="restart"/>
          </w:tcPr>
          <w:p>
            <w:pPr>
              <w:ind w:left="400"/>
              <w:spacing w:after="0"/>
              <w:rPr>
                <w:sz w:val="20"/>
                <w:szCs w:val="20"/>
                <w:color w:val="auto"/>
              </w:rPr>
            </w:pPr>
            <w:r>
              <w:rPr>
                <w:rFonts w:ascii="Arial" w:cs="Arial" w:eastAsia="Arial" w:hAnsi="Arial"/>
                <w:sz w:val="17"/>
                <w:szCs w:val="17"/>
                <w:color w:val="auto"/>
              </w:rPr>
              <w:t>×</w:t>
            </w:r>
          </w:p>
        </w:tc>
        <w:tc>
          <w:tcPr>
            <w:tcW w:w="940" w:type="dxa"/>
            <w:vAlign w:val="bottom"/>
            <w:vMerge w:val="restart"/>
          </w:tcPr>
          <w:p>
            <w:pPr>
              <w:jc w:val="right"/>
              <w:ind w:right="40"/>
              <w:spacing w:after="0"/>
              <w:rPr>
                <w:sz w:val="20"/>
                <w:szCs w:val="20"/>
                <w:color w:val="auto"/>
              </w:rPr>
            </w:pPr>
            <w:r>
              <w:rPr>
                <w:rFonts w:ascii="Arial" w:cs="Arial" w:eastAsia="Arial" w:hAnsi="Arial"/>
                <w:sz w:val="17"/>
                <w:szCs w:val="17"/>
                <w:color w:val="auto"/>
              </w:rPr>
              <w:t>58.6%*</w:t>
            </w:r>
          </w:p>
        </w:tc>
        <w:tc>
          <w:tcPr>
            <w:tcW w:w="400" w:type="dxa"/>
            <w:vAlign w:val="bottom"/>
            <w:vMerge w:val="restart"/>
          </w:tcPr>
          <w:p>
            <w:pPr>
              <w:ind w:left="160"/>
              <w:spacing w:after="0"/>
              <w:rPr>
                <w:sz w:val="20"/>
                <w:szCs w:val="20"/>
                <w:color w:val="auto"/>
              </w:rPr>
            </w:pPr>
            <w:r>
              <w:rPr>
                <w:rFonts w:ascii="Arial" w:cs="Arial" w:eastAsia="Arial" w:hAnsi="Arial"/>
                <w:sz w:val="17"/>
                <w:szCs w:val="17"/>
                <w:color w:val="auto"/>
              </w:rPr>
              <w:t>=</w:t>
            </w:r>
          </w:p>
        </w:tc>
        <w:tc>
          <w:tcPr>
            <w:tcW w:w="1280" w:type="dxa"/>
            <w:vAlign w:val="bottom"/>
            <w:gridSpan w:val="2"/>
            <w:vMerge w:val="restart"/>
          </w:tcPr>
          <w:p>
            <w:pPr>
              <w:ind w:left="140"/>
              <w:spacing w:after="0"/>
              <w:rPr>
                <w:sz w:val="20"/>
                <w:szCs w:val="20"/>
                <w:color w:val="auto"/>
              </w:rPr>
            </w:pPr>
            <w:r>
              <w:rPr>
                <w:rFonts w:ascii="Arial" w:cs="Arial" w:eastAsia="Arial" w:hAnsi="Arial"/>
                <w:sz w:val="17"/>
                <w:szCs w:val="17"/>
                <w:color w:val="auto"/>
              </w:rPr>
              <w:t>$439,726   x</w:t>
            </w:r>
          </w:p>
        </w:tc>
        <w:tc>
          <w:tcPr>
            <w:tcW w:w="1200" w:type="dxa"/>
            <w:vAlign w:val="bottom"/>
          </w:tcPr>
          <w:p>
            <w:pPr>
              <w:jc w:val="right"/>
              <w:ind w:right="99"/>
              <w:spacing w:after="0"/>
              <w:rPr>
                <w:sz w:val="20"/>
                <w:szCs w:val="20"/>
                <w:color w:val="auto"/>
              </w:rPr>
            </w:pPr>
            <w:r>
              <w:rPr>
                <w:rFonts w:ascii="Arial" w:cs="Arial" w:eastAsia="Arial" w:hAnsi="Arial"/>
                <w:sz w:val="17"/>
                <w:szCs w:val="17"/>
                <w:color w:val="auto"/>
              </w:rPr>
              <w:t>$481,700</w:t>
            </w:r>
          </w:p>
        </w:tc>
        <w:tc>
          <w:tcPr>
            <w:tcW w:w="460" w:type="dxa"/>
            <w:vAlign w:val="bottom"/>
            <w:vMerge w:val="restart"/>
          </w:tcPr>
          <w:p>
            <w:pPr>
              <w:ind w:left="20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79"/>
              <w:spacing w:after="0"/>
              <w:rPr>
                <w:sz w:val="20"/>
                <w:szCs w:val="20"/>
                <w:color w:val="auto"/>
              </w:rPr>
            </w:pPr>
            <w:r>
              <w:rPr>
                <w:rFonts w:ascii="Arial" w:cs="Arial" w:eastAsia="Arial" w:hAnsi="Arial"/>
                <w:sz w:val="17"/>
                <w:szCs w:val="17"/>
                <w:color w:val="auto"/>
              </w:rPr>
              <w:t>$48,170</w:t>
            </w:r>
          </w:p>
        </w:tc>
        <w:tc>
          <w:tcPr>
            <w:tcW w:w="460" w:type="dxa"/>
            <w:vAlign w:val="bottom"/>
            <w:vMerge w:val="restart"/>
          </w:tcPr>
          <w:p>
            <w:pPr>
              <w:ind w:left="20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79"/>
              <w:spacing w:after="0"/>
              <w:rPr>
                <w:sz w:val="20"/>
                <w:szCs w:val="20"/>
                <w:color w:val="auto"/>
              </w:rPr>
            </w:pPr>
            <w:r>
              <w:rPr>
                <w:rFonts w:ascii="Arial" w:cs="Arial" w:eastAsia="Arial" w:hAnsi="Arial"/>
                <w:sz w:val="17"/>
                <w:szCs w:val="17"/>
                <w:color w:val="auto"/>
              </w:rPr>
              <w:t>$529,870</w:t>
            </w:r>
          </w:p>
        </w:tc>
        <w:tc>
          <w:tcPr>
            <w:tcW w:w="0" w:type="dxa"/>
            <w:vAlign w:val="bottom"/>
          </w:tcPr>
          <w:p>
            <w:pPr>
              <w:spacing w:after="0"/>
              <w:rPr>
                <w:sz w:val="1"/>
                <w:szCs w:val="1"/>
                <w:color w:val="auto"/>
              </w:rPr>
            </w:pPr>
          </w:p>
        </w:tc>
      </w:tr>
      <w:tr>
        <w:trPr>
          <w:trHeight w:val="138"/>
        </w:trPr>
        <w:tc>
          <w:tcPr>
            <w:tcW w:w="17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00" w:type="dxa"/>
            <w:vAlign w:val="bottom"/>
            <w:vMerge w:val="restart"/>
          </w:tcPr>
          <w:p>
            <w:pPr>
              <w:jc w:val="right"/>
              <w:ind w:right="99"/>
              <w:spacing w:after="0"/>
              <w:rPr>
                <w:sz w:val="20"/>
                <w:szCs w:val="20"/>
                <w:color w:val="auto"/>
              </w:rPr>
            </w:pPr>
            <w:r>
              <w:rPr>
                <w:rFonts w:ascii="Arial" w:cs="Arial" w:eastAsia="Arial" w:hAnsi="Arial"/>
                <w:sz w:val="17"/>
                <w:szCs w:val="17"/>
                <w:color w:val="auto"/>
              </w:rPr>
              <w:t>109.5%</w:t>
            </w:r>
          </w:p>
        </w:tc>
        <w:tc>
          <w:tcPr>
            <w:tcW w:w="460" w:type="dxa"/>
            <w:vAlign w:val="bottom"/>
            <w:vMerge w:val="continue"/>
          </w:tcPr>
          <w:p>
            <w:pPr>
              <w:spacing w:after="0"/>
              <w:rPr>
                <w:sz w:val="11"/>
                <w:szCs w:val="11"/>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7"/>
                <w:szCs w:val="17"/>
                <w:color w:val="auto"/>
              </w:rPr>
              <w:t>(+10%)</w:t>
            </w:r>
          </w:p>
        </w:tc>
        <w:tc>
          <w:tcPr>
            <w:tcW w:w="460" w:type="dxa"/>
            <w:vAlign w:val="bottom"/>
            <w:vMerge w:val="continue"/>
          </w:tcPr>
          <w:p>
            <w:pPr>
              <w:spacing w:after="0"/>
              <w:rPr>
                <w:sz w:val="11"/>
                <w:szCs w:val="11"/>
                <w:color w:val="auto"/>
              </w:rPr>
            </w:pPr>
          </w:p>
        </w:tc>
        <w:tc>
          <w:tcPr>
            <w:tcW w:w="1220" w:type="dxa"/>
            <w:vAlign w:val="bottom"/>
            <w:vMerge w:val="restart"/>
          </w:tcPr>
          <w:p>
            <w:pPr>
              <w:jc w:val="right"/>
              <w:ind w:right="79"/>
              <w:spacing w:after="0"/>
              <w:rPr>
                <w:sz w:val="20"/>
                <w:szCs w:val="20"/>
                <w:color w:val="auto"/>
              </w:rPr>
            </w:pPr>
            <w:r>
              <w:rPr>
                <w:rFonts w:ascii="Arial" w:cs="Arial" w:eastAsia="Arial" w:hAnsi="Arial"/>
                <w:sz w:val="17"/>
                <w:szCs w:val="17"/>
                <w:color w:val="auto"/>
              </w:rPr>
              <w:t>120.5%</w:t>
            </w:r>
          </w:p>
        </w:tc>
        <w:tc>
          <w:tcPr>
            <w:tcW w:w="0" w:type="dxa"/>
            <w:vAlign w:val="bottom"/>
          </w:tcPr>
          <w:p>
            <w:pPr>
              <w:spacing w:after="0"/>
              <w:rPr>
                <w:sz w:val="1"/>
                <w:szCs w:val="1"/>
                <w:color w:val="auto"/>
              </w:rPr>
            </w:pPr>
          </w:p>
        </w:tc>
      </w:tr>
      <w:tr>
        <w:trPr>
          <w:trHeight w:val="87"/>
        </w:trPr>
        <w:tc>
          <w:tcPr>
            <w:tcW w:w="1780" w:type="dxa"/>
            <w:vAlign w:val="bottom"/>
            <w:tcBorders>
              <w:bottom w:val="single" w:sz="8" w:color="284993"/>
            </w:tcBorders>
          </w:tcPr>
          <w:p>
            <w:pPr>
              <w:spacing w:after="0"/>
              <w:rPr>
                <w:sz w:val="7"/>
                <w:szCs w:val="7"/>
                <w:color w:val="auto"/>
              </w:rPr>
            </w:pPr>
          </w:p>
        </w:tc>
        <w:tc>
          <w:tcPr>
            <w:tcW w:w="600" w:type="dxa"/>
            <w:vAlign w:val="bottom"/>
            <w:tcBorders>
              <w:bottom w:val="single" w:sz="8" w:color="284993"/>
            </w:tcBorders>
          </w:tcPr>
          <w:p>
            <w:pPr>
              <w:spacing w:after="0"/>
              <w:rPr>
                <w:sz w:val="7"/>
                <w:szCs w:val="7"/>
                <w:color w:val="auto"/>
              </w:rPr>
            </w:pPr>
          </w:p>
        </w:tc>
        <w:tc>
          <w:tcPr>
            <w:tcW w:w="940" w:type="dxa"/>
            <w:vAlign w:val="bottom"/>
            <w:tcBorders>
              <w:bottom w:val="single" w:sz="8" w:color="284993"/>
            </w:tcBorders>
          </w:tcPr>
          <w:p>
            <w:pPr>
              <w:spacing w:after="0"/>
              <w:rPr>
                <w:sz w:val="7"/>
                <w:szCs w:val="7"/>
                <w:color w:val="auto"/>
              </w:rPr>
            </w:pPr>
          </w:p>
        </w:tc>
        <w:tc>
          <w:tcPr>
            <w:tcW w:w="400" w:type="dxa"/>
            <w:vAlign w:val="bottom"/>
            <w:tcBorders>
              <w:bottom w:val="single" w:sz="8" w:color="284993"/>
            </w:tcBorders>
          </w:tcPr>
          <w:p>
            <w:pPr>
              <w:spacing w:after="0"/>
              <w:rPr>
                <w:sz w:val="7"/>
                <w:szCs w:val="7"/>
                <w:color w:val="auto"/>
              </w:rPr>
            </w:pPr>
          </w:p>
        </w:tc>
        <w:tc>
          <w:tcPr>
            <w:tcW w:w="860" w:type="dxa"/>
            <w:vAlign w:val="bottom"/>
            <w:tcBorders>
              <w:bottom w:val="single" w:sz="8" w:color="284993"/>
            </w:tcBorders>
          </w:tcPr>
          <w:p>
            <w:pPr>
              <w:spacing w:after="0"/>
              <w:rPr>
                <w:sz w:val="7"/>
                <w:szCs w:val="7"/>
                <w:color w:val="auto"/>
              </w:rPr>
            </w:pPr>
          </w:p>
        </w:tc>
        <w:tc>
          <w:tcPr>
            <w:tcW w:w="420" w:type="dxa"/>
            <w:vAlign w:val="bottom"/>
            <w:tcBorders>
              <w:bottom w:val="single" w:sz="8" w:color="284993"/>
            </w:tcBorders>
          </w:tcPr>
          <w:p>
            <w:pPr>
              <w:spacing w:after="0"/>
              <w:rPr>
                <w:sz w:val="7"/>
                <w:szCs w:val="7"/>
                <w:color w:val="auto"/>
              </w:rPr>
            </w:pPr>
          </w:p>
        </w:tc>
        <w:tc>
          <w:tcPr>
            <w:tcW w:w="1200" w:type="dxa"/>
            <w:vAlign w:val="bottom"/>
            <w:tcBorders>
              <w:bottom w:val="single" w:sz="8" w:color="284993"/>
            </w:tcBorders>
            <w:vMerge w:val="continue"/>
          </w:tcPr>
          <w:p>
            <w:pPr>
              <w:spacing w:after="0"/>
              <w:rPr>
                <w:sz w:val="7"/>
                <w:szCs w:val="7"/>
                <w:color w:val="auto"/>
              </w:rPr>
            </w:pPr>
          </w:p>
        </w:tc>
        <w:tc>
          <w:tcPr>
            <w:tcW w:w="460" w:type="dxa"/>
            <w:vAlign w:val="bottom"/>
            <w:tcBorders>
              <w:bottom w:val="single" w:sz="8" w:color="284993"/>
            </w:tcBorders>
          </w:tcPr>
          <w:p>
            <w:pPr>
              <w:spacing w:after="0"/>
              <w:rPr>
                <w:sz w:val="7"/>
                <w:szCs w:val="7"/>
                <w:color w:val="auto"/>
              </w:rPr>
            </w:pPr>
          </w:p>
        </w:tc>
        <w:tc>
          <w:tcPr>
            <w:tcW w:w="1000" w:type="dxa"/>
            <w:vAlign w:val="bottom"/>
            <w:tcBorders>
              <w:bottom w:val="single" w:sz="8" w:color="284993"/>
            </w:tcBorders>
            <w:vMerge w:val="continue"/>
          </w:tcPr>
          <w:p>
            <w:pPr>
              <w:spacing w:after="0"/>
              <w:rPr>
                <w:sz w:val="7"/>
                <w:szCs w:val="7"/>
                <w:color w:val="auto"/>
              </w:rPr>
            </w:pPr>
          </w:p>
        </w:tc>
        <w:tc>
          <w:tcPr>
            <w:tcW w:w="460" w:type="dxa"/>
            <w:vAlign w:val="bottom"/>
            <w:tcBorders>
              <w:bottom w:val="single" w:sz="8" w:color="284993"/>
            </w:tcBorders>
          </w:tcPr>
          <w:p>
            <w:pPr>
              <w:spacing w:after="0"/>
              <w:rPr>
                <w:sz w:val="7"/>
                <w:szCs w:val="7"/>
                <w:color w:val="auto"/>
              </w:rPr>
            </w:pPr>
          </w:p>
        </w:tc>
        <w:tc>
          <w:tcPr>
            <w:tcW w:w="1220" w:type="dxa"/>
            <w:vAlign w:val="bottom"/>
            <w:tcBorders>
              <w:bottom w:val="single" w:sz="8" w:color="284993"/>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60" w:hanging="354"/>
        <w:spacing w:after="0"/>
        <w:tabs>
          <w:tab w:leader="none" w:pos="360" w:val="left"/>
        </w:tabs>
        <w:numPr>
          <w:ilvl w:val="0"/>
          <w:numId w:val="29"/>
        </w:numPr>
        <w:rPr>
          <w:rFonts w:ascii="Arial" w:cs="Arial" w:eastAsia="Arial" w:hAnsi="Arial"/>
          <w:sz w:val="16"/>
          <w:szCs w:val="16"/>
          <w:b w:val="1"/>
          <w:bCs w:val="1"/>
          <w:color w:val="auto"/>
        </w:rPr>
      </w:pPr>
      <w:r>
        <w:rPr>
          <w:rFonts w:ascii="Arial" w:cs="Arial" w:eastAsia="Arial" w:hAnsi="Arial"/>
          <w:sz w:val="16"/>
          <w:szCs w:val="16"/>
          <w:color w:val="auto"/>
        </w:rPr>
        <w:t>2023 CEO STIP award was pro-rated to the period where our CEO transitioned to full time from interim.</w:t>
      </w:r>
    </w:p>
    <w:p>
      <w:pPr>
        <w:spacing w:after="0" w:line="144" w:lineRule="exact"/>
        <w:rPr>
          <w:sz w:val="20"/>
          <w:szCs w:val="20"/>
          <w:color w:val="auto"/>
        </w:rPr>
      </w:pPr>
    </w:p>
    <w:p>
      <w:pPr>
        <w:ind w:left="7460"/>
        <w:spacing w:after="0"/>
        <w:rPr>
          <w:sz w:val="20"/>
          <w:szCs w:val="20"/>
          <w:color w:val="auto"/>
        </w:rPr>
      </w:pPr>
      <w:r>
        <w:rPr>
          <w:rFonts w:ascii="Arial" w:cs="Arial" w:eastAsia="Arial" w:hAnsi="Arial"/>
          <w:sz w:val="13"/>
          <w:szCs w:val="13"/>
          <w:color w:val="auto"/>
        </w:rPr>
        <w:t>2024 PROXY STATEMENT</w:t>
      </w:r>
      <w:r>
        <w:rPr>
          <w:rFonts w:ascii="Arial" w:cs="Arial" w:eastAsia="Arial" w:hAnsi="Arial"/>
          <w:sz w:val="13"/>
          <w:szCs w:val="13"/>
          <w:b w:val="1"/>
          <w:bCs w:val="1"/>
          <w:color w:val="284993"/>
        </w:rPr>
        <w:t xml:space="preserve">  35</w:t>
      </w:r>
    </w:p>
    <w:p>
      <w:pPr>
        <w:sectPr>
          <w:pgSz w:w="11900" w:h="16838" w:orient="portrait"/>
          <w:cols w:equalWidth="0" w:num="1">
            <w:col w:w="9360"/>
          </w:cols>
          <w:pgMar w:left="1260" w:top="290" w:right="127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Long-Term Incentive</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2023 Long-Term Incentive Awards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1760" w:type="dxa"/>
            <w:vAlign w:val="bottom"/>
            <w:tcBorders>
              <w:bottom w:val="single" w:sz="8" w:color="284993"/>
            </w:tcBorders>
          </w:tcPr>
          <w:p>
            <w:pPr>
              <w:ind w:left="320"/>
              <w:spacing w:after="0"/>
              <w:rPr>
                <w:sz w:val="20"/>
                <w:szCs w:val="20"/>
                <w:color w:val="auto"/>
              </w:rPr>
            </w:pPr>
            <w:r>
              <w:rPr>
                <w:rFonts w:ascii="Arial" w:cs="Arial" w:eastAsia="Arial" w:hAnsi="Arial"/>
                <w:sz w:val="16"/>
                <w:szCs w:val="16"/>
                <w:b w:val="1"/>
                <w:bCs w:val="1"/>
                <w:color w:val="284993"/>
              </w:rPr>
              <w:t>Component</w:t>
            </w:r>
          </w:p>
        </w:tc>
        <w:tc>
          <w:tcPr>
            <w:tcW w:w="1700" w:type="dxa"/>
            <w:vAlign w:val="bottom"/>
            <w:tcBorders>
              <w:bottom w:val="single" w:sz="8" w:color="284993"/>
            </w:tcBorders>
          </w:tcPr>
          <w:p>
            <w:pPr>
              <w:ind w:left="560"/>
              <w:spacing w:after="0"/>
              <w:rPr>
                <w:sz w:val="20"/>
                <w:szCs w:val="20"/>
                <w:color w:val="auto"/>
              </w:rPr>
            </w:pPr>
            <w:r>
              <w:rPr>
                <w:rFonts w:ascii="Arial" w:cs="Arial" w:eastAsia="Arial" w:hAnsi="Arial"/>
                <w:sz w:val="16"/>
                <w:szCs w:val="16"/>
                <w:b w:val="1"/>
                <w:bCs w:val="1"/>
                <w:color w:val="284993"/>
              </w:rPr>
              <w:t>Proportion</w:t>
            </w:r>
          </w:p>
        </w:tc>
        <w:tc>
          <w:tcPr>
            <w:tcW w:w="4780" w:type="dxa"/>
            <w:vAlign w:val="bottom"/>
            <w:tcBorders>
              <w:bottom w:val="single" w:sz="8" w:color="284993"/>
            </w:tcBorders>
          </w:tcPr>
          <w:p>
            <w:pPr>
              <w:ind w:left="1680"/>
              <w:spacing w:after="0"/>
              <w:rPr>
                <w:sz w:val="20"/>
                <w:szCs w:val="20"/>
                <w:color w:val="auto"/>
              </w:rPr>
            </w:pPr>
            <w:r>
              <w:rPr>
                <w:rFonts w:ascii="Arial" w:cs="Arial" w:eastAsia="Arial" w:hAnsi="Arial"/>
                <w:sz w:val="16"/>
                <w:szCs w:val="16"/>
                <w:b w:val="1"/>
                <w:bCs w:val="1"/>
                <w:color w:val="284993"/>
              </w:rPr>
              <w:t>How 2023 awards work</w:t>
            </w:r>
          </w:p>
        </w:tc>
        <w:tc>
          <w:tcPr>
            <w:tcW w:w="1100" w:type="dxa"/>
            <w:vAlign w:val="bottom"/>
            <w:tcBorders>
              <w:bottom w:val="single" w:sz="8" w:color="284993"/>
            </w:tcBorders>
          </w:tcPr>
          <w:p>
            <w:pPr>
              <w:ind w:left="340"/>
              <w:spacing w:after="0"/>
              <w:rPr>
                <w:sz w:val="20"/>
                <w:szCs w:val="20"/>
                <w:color w:val="auto"/>
              </w:rPr>
            </w:pPr>
            <w:r>
              <w:rPr>
                <w:rFonts w:ascii="Arial" w:cs="Arial" w:eastAsia="Arial" w:hAnsi="Arial"/>
                <w:sz w:val="16"/>
                <w:szCs w:val="16"/>
                <w:b w:val="1"/>
                <w:bCs w:val="1"/>
                <w:color w:val="284993"/>
              </w:rPr>
              <w:t>Vesting</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780" w:type="dxa"/>
            <w:vAlign w:val="bottom"/>
          </w:tcPr>
          <w:p>
            <w:pPr>
              <w:ind w:left="360"/>
              <w:spacing w:after="0"/>
              <w:rPr>
                <w:sz w:val="20"/>
                <w:szCs w:val="20"/>
                <w:color w:val="auto"/>
              </w:rPr>
            </w:pPr>
            <w:r>
              <w:rPr>
                <w:rFonts w:ascii="Arial" w:cs="Arial" w:eastAsia="Arial" w:hAnsi="Arial"/>
                <w:sz w:val="16"/>
                <w:szCs w:val="16"/>
                <w:color w:val="auto"/>
              </w:rPr>
              <w:t>Based on ACI’s Revenue Net of Interchange Growth and Net</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76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PSUs</w:t>
            </w:r>
          </w:p>
        </w:tc>
        <w:tc>
          <w:tcPr>
            <w:tcW w:w="1700" w:type="dxa"/>
            <w:vAlign w:val="bottom"/>
          </w:tcPr>
          <w:p>
            <w:pPr>
              <w:spacing w:after="0"/>
              <w:rPr>
                <w:sz w:val="15"/>
                <w:szCs w:val="15"/>
                <w:color w:val="auto"/>
              </w:rPr>
            </w:pPr>
          </w:p>
        </w:tc>
        <w:tc>
          <w:tcPr>
            <w:tcW w:w="4780" w:type="dxa"/>
            <w:vAlign w:val="bottom"/>
          </w:tcPr>
          <w:p>
            <w:pPr>
              <w:ind w:left="360"/>
              <w:spacing w:after="0" w:line="182" w:lineRule="exact"/>
              <w:rPr>
                <w:sz w:val="20"/>
                <w:szCs w:val="20"/>
                <w:color w:val="auto"/>
              </w:rPr>
            </w:pPr>
            <w:r>
              <w:rPr>
                <w:rFonts w:ascii="Arial" w:cs="Arial" w:eastAsia="Arial" w:hAnsi="Arial"/>
                <w:sz w:val="16"/>
                <w:szCs w:val="16"/>
                <w:color w:val="auto"/>
                <w:w w:val="99"/>
              </w:rPr>
              <w:t>Adjusted EBITDA Margin for three one-year periods; subject to</w:t>
            </w:r>
          </w:p>
        </w:tc>
        <w:tc>
          <w:tcPr>
            <w:tcW w:w="1100" w:type="dxa"/>
            <w:vAlign w:val="bottom"/>
          </w:tcPr>
          <w:p>
            <w:pPr>
              <w:ind w:left="120"/>
              <w:spacing w:after="0" w:line="182" w:lineRule="exact"/>
              <w:rPr>
                <w:sz w:val="20"/>
                <w:szCs w:val="20"/>
                <w:color w:val="auto"/>
              </w:rPr>
            </w:pPr>
            <w:r>
              <w:rPr>
                <w:rFonts w:ascii="Arial" w:cs="Arial" w:eastAsia="Arial" w:hAnsi="Arial"/>
                <w:sz w:val="16"/>
                <w:szCs w:val="16"/>
                <w:color w:val="auto"/>
              </w:rPr>
              <w:t>Three-year</w:t>
            </w:r>
          </w:p>
        </w:tc>
        <w:tc>
          <w:tcPr>
            <w:tcW w:w="0" w:type="dxa"/>
            <w:vAlign w:val="bottom"/>
          </w:tcPr>
          <w:p>
            <w:pPr>
              <w:spacing w:after="0"/>
              <w:rPr>
                <w:sz w:val="1"/>
                <w:szCs w:val="1"/>
                <w:color w:val="auto"/>
              </w:rPr>
            </w:pPr>
          </w:p>
        </w:tc>
      </w:tr>
      <w:tr>
        <w:trPr>
          <w:trHeight w:val="122"/>
        </w:trPr>
        <w:tc>
          <w:tcPr>
            <w:tcW w:w="176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4780" w:type="dxa"/>
            <w:vAlign w:val="bottom"/>
            <w:vMerge w:val="restart"/>
          </w:tcPr>
          <w:p>
            <w:pPr>
              <w:ind w:left="360"/>
              <w:spacing w:after="0" w:line="182" w:lineRule="exact"/>
              <w:rPr>
                <w:sz w:val="20"/>
                <w:szCs w:val="20"/>
                <w:color w:val="auto"/>
              </w:rPr>
            </w:pPr>
            <w:r>
              <w:rPr>
                <w:rFonts w:ascii="Arial" w:cs="Arial" w:eastAsia="Arial" w:hAnsi="Arial"/>
                <w:sz w:val="16"/>
                <w:szCs w:val="16"/>
                <w:color w:val="auto"/>
              </w:rPr>
              <w:t>a multiplier of +/- 20% based on rTSR for the three-year</w:t>
            </w:r>
          </w:p>
        </w:tc>
        <w:tc>
          <w:tcPr>
            <w:tcW w:w="1100" w:type="dxa"/>
            <w:vAlign w:val="bottom"/>
            <w:vMerge w:val="restart"/>
          </w:tcPr>
          <w:p>
            <w:pPr>
              <w:ind w:left="120"/>
              <w:spacing w:after="0" w:line="182" w:lineRule="exact"/>
              <w:rPr>
                <w:sz w:val="20"/>
                <w:szCs w:val="20"/>
                <w:color w:val="auto"/>
              </w:rPr>
            </w:pPr>
            <w:r>
              <w:rPr>
                <w:rFonts w:ascii="Arial" w:cs="Arial" w:eastAsia="Arial" w:hAnsi="Arial"/>
                <w:sz w:val="16"/>
                <w:szCs w:val="16"/>
                <w:color w:val="auto"/>
              </w:rPr>
              <w:t>cliff vesting</w:t>
            </w:r>
          </w:p>
        </w:tc>
        <w:tc>
          <w:tcPr>
            <w:tcW w:w="0" w:type="dxa"/>
            <w:vAlign w:val="bottom"/>
          </w:tcPr>
          <w:p>
            <w:pPr>
              <w:spacing w:after="0"/>
              <w:rPr>
                <w:sz w:val="1"/>
                <w:szCs w:val="1"/>
                <w:color w:val="auto"/>
              </w:rPr>
            </w:pPr>
          </w:p>
        </w:tc>
      </w:tr>
      <w:tr>
        <w:trPr>
          <w:trHeight w:val="60"/>
        </w:trPr>
        <w:tc>
          <w:tcPr>
            <w:tcW w:w="17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4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760" w:type="dxa"/>
            <w:vAlign w:val="bottom"/>
            <w:tcBorders>
              <w:bottom w:val="single" w:sz="8" w:color="284993"/>
            </w:tcBorders>
          </w:tcPr>
          <w:p>
            <w:pPr>
              <w:spacing w:after="0"/>
              <w:rPr>
                <w:sz w:val="18"/>
                <w:szCs w:val="18"/>
                <w:color w:val="auto"/>
              </w:rPr>
            </w:pPr>
          </w:p>
        </w:tc>
        <w:tc>
          <w:tcPr>
            <w:tcW w:w="1700" w:type="dxa"/>
            <w:vAlign w:val="bottom"/>
            <w:tcBorders>
              <w:bottom w:val="single" w:sz="8" w:color="284993"/>
            </w:tcBorders>
          </w:tcPr>
          <w:p>
            <w:pPr>
              <w:spacing w:after="0"/>
              <w:rPr>
                <w:sz w:val="18"/>
                <w:szCs w:val="18"/>
                <w:color w:val="auto"/>
              </w:rPr>
            </w:pPr>
          </w:p>
        </w:tc>
        <w:tc>
          <w:tcPr>
            <w:tcW w:w="4780" w:type="dxa"/>
            <w:vAlign w:val="bottom"/>
            <w:tcBorders>
              <w:bottom w:val="single" w:sz="8" w:color="284993"/>
            </w:tcBorders>
          </w:tcPr>
          <w:p>
            <w:pPr>
              <w:ind w:left="360"/>
              <w:spacing w:after="0"/>
              <w:rPr>
                <w:sz w:val="20"/>
                <w:szCs w:val="20"/>
                <w:color w:val="auto"/>
              </w:rPr>
            </w:pPr>
            <w:r>
              <w:rPr>
                <w:rFonts w:ascii="Arial" w:cs="Arial" w:eastAsia="Arial" w:hAnsi="Arial"/>
                <w:sz w:val="16"/>
                <w:szCs w:val="16"/>
                <w:color w:val="auto"/>
              </w:rPr>
              <w:t>performance period versus the S&amp;P MidCap 400 Index.</w:t>
            </w:r>
          </w:p>
        </w:tc>
        <w:tc>
          <w:tcPr>
            <w:tcW w:w="1100" w:type="dxa"/>
            <w:vAlign w:val="bottom"/>
            <w:tcBorders>
              <w:bottom w:val="single" w:sz="8" w:color="284993"/>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00" w:type="dxa"/>
            <w:vAlign w:val="bottom"/>
          </w:tcPr>
          <w:p>
            <w:pPr>
              <w:ind w:left="120"/>
              <w:spacing w:after="0"/>
              <w:rPr>
                <w:sz w:val="20"/>
                <w:szCs w:val="20"/>
                <w:color w:val="auto"/>
              </w:rPr>
            </w:pPr>
            <w:r>
              <w:rPr>
                <w:rFonts w:ascii="Arial" w:cs="Arial" w:eastAsia="Arial" w:hAnsi="Arial"/>
                <w:sz w:val="16"/>
                <w:szCs w:val="16"/>
                <w:color w:val="auto"/>
                <w:w w:val="98"/>
              </w:rPr>
              <w:t>Annually over</w:t>
            </w:r>
          </w:p>
        </w:tc>
        <w:tc>
          <w:tcPr>
            <w:tcW w:w="0" w:type="dxa"/>
            <w:vAlign w:val="bottom"/>
          </w:tcPr>
          <w:p>
            <w:pPr>
              <w:spacing w:after="0"/>
              <w:rPr>
                <w:sz w:val="1"/>
                <w:szCs w:val="1"/>
                <w:color w:val="auto"/>
              </w:rPr>
            </w:pPr>
          </w:p>
        </w:tc>
      </w:tr>
      <w:tr>
        <w:trPr>
          <w:trHeight w:val="182"/>
        </w:trPr>
        <w:tc>
          <w:tcPr>
            <w:tcW w:w="17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100" w:type="dxa"/>
            <w:vAlign w:val="bottom"/>
          </w:tcPr>
          <w:p>
            <w:pPr>
              <w:ind w:left="120"/>
              <w:spacing w:after="0" w:line="182" w:lineRule="exact"/>
              <w:rPr>
                <w:sz w:val="20"/>
                <w:szCs w:val="20"/>
                <w:color w:val="auto"/>
              </w:rPr>
            </w:pPr>
            <w:r>
              <w:rPr>
                <w:rFonts w:ascii="Arial" w:cs="Arial" w:eastAsia="Arial" w:hAnsi="Arial"/>
                <w:sz w:val="16"/>
                <w:szCs w:val="16"/>
                <w:color w:val="auto"/>
              </w:rPr>
              <w:t>3 years for</w:t>
            </w:r>
          </w:p>
        </w:tc>
        <w:tc>
          <w:tcPr>
            <w:tcW w:w="0" w:type="dxa"/>
            <w:vAlign w:val="bottom"/>
          </w:tcPr>
          <w:p>
            <w:pPr>
              <w:spacing w:after="0"/>
              <w:rPr>
                <w:sz w:val="1"/>
                <w:szCs w:val="1"/>
                <w:color w:val="auto"/>
              </w:rPr>
            </w:pPr>
          </w:p>
        </w:tc>
      </w:tr>
      <w:tr>
        <w:trPr>
          <w:trHeight w:val="182"/>
        </w:trPr>
        <w:tc>
          <w:tcPr>
            <w:tcW w:w="176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RSUs</w:t>
            </w:r>
          </w:p>
        </w:tc>
        <w:tc>
          <w:tcPr>
            <w:tcW w:w="1700" w:type="dxa"/>
            <w:vAlign w:val="bottom"/>
          </w:tcPr>
          <w:p>
            <w:pPr>
              <w:spacing w:after="0"/>
              <w:rPr>
                <w:sz w:val="15"/>
                <w:szCs w:val="15"/>
                <w:color w:val="auto"/>
              </w:rPr>
            </w:pPr>
          </w:p>
        </w:tc>
        <w:tc>
          <w:tcPr>
            <w:tcW w:w="4780" w:type="dxa"/>
            <w:vAlign w:val="bottom"/>
          </w:tcPr>
          <w:p>
            <w:pPr>
              <w:ind w:left="360"/>
              <w:spacing w:after="0" w:line="182" w:lineRule="exact"/>
              <w:rPr>
                <w:sz w:val="20"/>
                <w:szCs w:val="20"/>
                <w:color w:val="auto"/>
              </w:rPr>
            </w:pPr>
            <w:r>
              <w:rPr>
                <w:rFonts w:ascii="Arial" w:cs="Arial" w:eastAsia="Arial" w:hAnsi="Arial"/>
                <w:sz w:val="16"/>
                <w:szCs w:val="16"/>
                <w:color w:val="auto"/>
              </w:rPr>
              <w:t>The ultimate value of an RSU is based on our stock price at</w:t>
            </w:r>
          </w:p>
        </w:tc>
        <w:tc>
          <w:tcPr>
            <w:tcW w:w="1100" w:type="dxa"/>
            <w:vAlign w:val="bottom"/>
          </w:tcPr>
          <w:p>
            <w:pPr>
              <w:ind w:left="120"/>
              <w:spacing w:after="0" w:line="182" w:lineRule="exact"/>
              <w:rPr>
                <w:sz w:val="20"/>
                <w:szCs w:val="20"/>
                <w:color w:val="auto"/>
              </w:rPr>
            </w:pPr>
            <w:r>
              <w:rPr>
                <w:rFonts w:ascii="Arial" w:cs="Arial" w:eastAsia="Arial" w:hAnsi="Arial"/>
                <w:sz w:val="16"/>
                <w:szCs w:val="16"/>
                <w:color w:val="auto"/>
              </w:rPr>
              <w:t>the CEO and</w:t>
            </w:r>
          </w:p>
        </w:tc>
        <w:tc>
          <w:tcPr>
            <w:tcW w:w="0" w:type="dxa"/>
            <w:vAlign w:val="bottom"/>
          </w:tcPr>
          <w:p>
            <w:pPr>
              <w:spacing w:after="0"/>
              <w:rPr>
                <w:sz w:val="1"/>
                <w:szCs w:val="1"/>
                <w:color w:val="auto"/>
              </w:rPr>
            </w:pPr>
          </w:p>
        </w:tc>
      </w:tr>
      <w:tr>
        <w:trPr>
          <w:trHeight w:val="182"/>
        </w:trPr>
        <w:tc>
          <w:tcPr>
            <w:tcW w:w="176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4780" w:type="dxa"/>
            <w:vAlign w:val="bottom"/>
          </w:tcPr>
          <w:p>
            <w:pPr>
              <w:ind w:left="360"/>
              <w:spacing w:after="0" w:line="182" w:lineRule="exact"/>
              <w:rPr>
                <w:sz w:val="20"/>
                <w:szCs w:val="20"/>
                <w:color w:val="auto"/>
              </w:rPr>
            </w:pPr>
            <w:r>
              <w:rPr>
                <w:rFonts w:ascii="Arial" w:cs="Arial" w:eastAsia="Arial" w:hAnsi="Arial"/>
                <w:sz w:val="16"/>
                <w:szCs w:val="16"/>
                <w:color w:val="auto"/>
              </w:rPr>
              <w:t>the time of vesting, providing strong alignment with</w:t>
            </w:r>
          </w:p>
        </w:tc>
        <w:tc>
          <w:tcPr>
            <w:tcW w:w="1100" w:type="dxa"/>
            <w:vAlign w:val="bottom"/>
          </w:tcPr>
          <w:p>
            <w:pPr>
              <w:ind w:left="120"/>
              <w:spacing w:after="0" w:line="182" w:lineRule="exact"/>
              <w:rPr>
                <w:sz w:val="20"/>
                <w:szCs w:val="20"/>
                <w:color w:val="auto"/>
              </w:rPr>
            </w:pPr>
            <w:r>
              <w:rPr>
                <w:rFonts w:ascii="Arial" w:cs="Arial" w:eastAsia="Arial" w:hAnsi="Arial"/>
                <w:sz w:val="16"/>
                <w:szCs w:val="16"/>
                <w:color w:val="auto"/>
                <w:w w:val="98"/>
              </w:rPr>
              <w:t>quarterly over</w:t>
            </w:r>
          </w:p>
        </w:tc>
        <w:tc>
          <w:tcPr>
            <w:tcW w:w="0" w:type="dxa"/>
            <w:vAlign w:val="bottom"/>
          </w:tcPr>
          <w:p>
            <w:pPr>
              <w:spacing w:after="0"/>
              <w:rPr>
                <w:sz w:val="1"/>
                <w:szCs w:val="1"/>
                <w:color w:val="auto"/>
              </w:rPr>
            </w:pPr>
          </w:p>
        </w:tc>
      </w:tr>
      <w:tr>
        <w:trPr>
          <w:trHeight w:val="182"/>
        </w:trPr>
        <w:tc>
          <w:tcPr>
            <w:tcW w:w="17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780" w:type="dxa"/>
            <w:vAlign w:val="bottom"/>
          </w:tcPr>
          <w:p>
            <w:pPr>
              <w:ind w:left="360"/>
              <w:spacing w:after="0" w:line="182" w:lineRule="exact"/>
              <w:rPr>
                <w:sz w:val="20"/>
                <w:szCs w:val="20"/>
                <w:color w:val="auto"/>
              </w:rPr>
            </w:pPr>
            <w:r>
              <w:rPr>
                <w:rFonts w:ascii="Arial" w:cs="Arial" w:eastAsia="Arial" w:hAnsi="Arial"/>
                <w:sz w:val="16"/>
                <w:szCs w:val="16"/>
                <w:color w:val="auto"/>
              </w:rPr>
              <w:t>stockholders’ interests</w:t>
            </w:r>
          </w:p>
        </w:tc>
        <w:tc>
          <w:tcPr>
            <w:tcW w:w="1100" w:type="dxa"/>
            <w:vAlign w:val="bottom"/>
          </w:tcPr>
          <w:p>
            <w:pPr>
              <w:ind w:left="120"/>
              <w:spacing w:after="0" w:line="182" w:lineRule="exact"/>
              <w:rPr>
                <w:sz w:val="20"/>
                <w:szCs w:val="20"/>
                <w:color w:val="auto"/>
              </w:rPr>
            </w:pPr>
            <w:r>
              <w:rPr>
                <w:rFonts w:ascii="Arial" w:cs="Arial" w:eastAsia="Arial" w:hAnsi="Arial"/>
                <w:sz w:val="16"/>
                <w:szCs w:val="16"/>
                <w:color w:val="auto"/>
              </w:rPr>
              <w:t>a three-year</w:t>
            </w:r>
          </w:p>
        </w:tc>
        <w:tc>
          <w:tcPr>
            <w:tcW w:w="0" w:type="dxa"/>
            <w:vAlign w:val="bottom"/>
          </w:tcPr>
          <w:p>
            <w:pPr>
              <w:spacing w:after="0"/>
              <w:rPr>
                <w:sz w:val="1"/>
                <w:szCs w:val="1"/>
                <w:color w:val="auto"/>
              </w:rPr>
            </w:pPr>
          </w:p>
        </w:tc>
      </w:tr>
      <w:tr>
        <w:trPr>
          <w:trHeight w:val="182"/>
        </w:trPr>
        <w:tc>
          <w:tcPr>
            <w:tcW w:w="17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100" w:type="dxa"/>
            <w:vAlign w:val="bottom"/>
          </w:tcPr>
          <w:p>
            <w:pPr>
              <w:ind w:left="120"/>
              <w:spacing w:after="0" w:line="182" w:lineRule="exact"/>
              <w:rPr>
                <w:sz w:val="20"/>
                <w:szCs w:val="20"/>
                <w:color w:val="auto"/>
              </w:rPr>
            </w:pPr>
            <w:r>
              <w:rPr>
                <w:rFonts w:ascii="Arial" w:cs="Arial" w:eastAsia="Arial" w:hAnsi="Arial"/>
                <w:sz w:val="16"/>
                <w:szCs w:val="16"/>
                <w:color w:val="auto"/>
              </w:rPr>
              <w:t>period for</w:t>
            </w:r>
          </w:p>
        </w:tc>
        <w:tc>
          <w:tcPr>
            <w:tcW w:w="0" w:type="dxa"/>
            <w:vAlign w:val="bottom"/>
          </w:tcPr>
          <w:p>
            <w:pPr>
              <w:spacing w:after="0"/>
              <w:rPr>
                <w:sz w:val="1"/>
                <w:szCs w:val="1"/>
                <w:color w:val="auto"/>
              </w:rPr>
            </w:pPr>
          </w:p>
        </w:tc>
      </w:tr>
      <w:tr>
        <w:trPr>
          <w:trHeight w:val="194"/>
        </w:trPr>
        <w:tc>
          <w:tcPr>
            <w:tcW w:w="1760" w:type="dxa"/>
            <w:vAlign w:val="bottom"/>
            <w:tcBorders>
              <w:bottom w:val="single" w:sz="8" w:color="284993"/>
            </w:tcBorders>
          </w:tcPr>
          <w:p>
            <w:pPr>
              <w:spacing w:after="0"/>
              <w:rPr>
                <w:sz w:val="16"/>
                <w:szCs w:val="16"/>
                <w:color w:val="auto"/>
              </w:rPr>
            </w:pPr>
          </w:p>
        </w:tc>
        <w:tc>
          <w:tcPr>
            <w:tcW w:w="1700" w:type="dxa"/>
            <w:vAlign w:val="bottom"/>
            <w:tcBorders>
              <w:bottom w:val="single" w:sz="8" w:color="284993"/>
            </w:tcBorders>
          </w:tcPr>
          <w:p>
            <w:pPr>
              <w:spacing w:after="0"/>
              <w:rPr>
                <w:sz w:val="16"/>
                <w:szCs w:val="16"/>
                <w:color w:val="auto"/>
              </w:rPr>
            </w:pPr>
          </w:p>
        </w:tc>
        <w:tc>
          <w:tcPr>
            <w:tcW w:w="4780" w:type="dxa"/>
            <w:vAlign w:val="bottom"/>
            <w:tcBorders>
              <w:bottom w:val="single" w:sz="8" w:color="284993"/>
            </w:tcBorders>
          </w:tcPr>
          <w:p>
            <w:pPr>
              <w:spacing w:after="0"/>
              <w:rPr>
                <w:sz w:val="16"/>
                <w:szCs w:val="16"/>
                <w:color w:val="auto"/>
              </w:rPr>
            </w:pPr>
          </w:p>
        </w:tc>
        <w:tc>
          <w:tcPr>
            <w:tcW w:w="1100" w:type="dxa"/>
            <w:vAlign w:val="bottom"/>
            <w:tcBorders>
              <w:bottom w:val="single" w:sz="8" w:color="284993"/>
            </w:tcBorders>
          </w:tcPr>
          <w:p>
            <w:pPr>
              <w:ind w:left="120"/>
              <w:spacing w:after="0"/>
              <w:rPr>
                <w:sz w:val="20"/>
                <w:szCs w:val="20"/>
                <w:color w:val="auto"/>
              </w:rPr>
            </w:pPr>
            <w:r>
              <w:rPr>
                <w:rFonts w:ascii="Arial" w:cs="Arial" w:eastAsia="Arial" w:hAnsi="Arial"/>
                <w:sz w:val="16"/>
                <w:szCs w:val="16"/>
                <w:color w:val="auto"/>
              </w:rPr>
              <w:t>other NEOs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1097280</wp:posOffset>
            </wp:positionH>
            <wp:positionV relativeFrom="paragraph">
              <wp:posOffset>-1344295</wp:posOffset>
            </wp:positionV>
            <wp:extent cx="899160" cy="4953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99160" cy="495300"/>
                    </a:xfrm>
                    <a:prstGeom prst="rect">
                      <a:avLst/>
                    </a:prstGeom>
                    <a:noFill/>
                  </pic:spPr>
                </pic:pic>
              </a:graphicData>
            </a:graphic>
          </wp:anchor>
        </w:drawing>
        <w:drawing>
          <wp:anchor simplePos="0" relativeHeight="251657728" behindDoc="1" locked="0" layoutInCell="0" allowOverlap="1">
            <wp:simplePos x="0" y="0"/>
            <wp:positionH relativeFrom="column">
              <wp:posOffset>1097280</wp:posOffset>
            </wp:positionH>
            <wp:positionV relativeFrom="paragraph">
              <wp:posOffset>-659765</wp:posOffset>
            </wp:positionV>
            <wp:extent cx="907415" cy="4953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07415" cy="49530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2021 PSU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158750</wp:posOffset>
            </wp:positionV>
            <wp:extent cx="59410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ectPr>
          <w:pgSz w:w="11900" w:h="16838" w:orient="portrait"/>
          <w:cols w:equalWidth="0" w:num="1">
            <w:col w:w="9360"/>
          </w:cols>
          <w:pgMar w:left="1260" w:top="290" w:right="1279" w:bottom="1440" w:gutter="0" w:footer="0" w:header="0"/>
        </w:sectPr>
      </w:pPr>
    </w:p>
    <w:p>
      <w:pPr>
        <w:spacing w:after="0" w:line="340" w:lineRule="exact"/>
        <w:rPr>
          <w:sz w:val="20"/>
          <w:szCs w:val="20"/>
          <w:color w:val="auto"/>
        </w:rPr>
      </w:pPr>
    </w:p>
    <w:p>
      <w:pPr>
        <w:spacing w:after="0"/>
        <w:tabs>
          <w:tab w:leader="none" w:pos="3480" w:val="left"/>
        </w:tabs>
        <w:rPr>
          <w:sz w:val="20"/>
          <w:szCs w:val="20"/>
          <w:color w:val="auto"/>
        </w:rPr>
      </w:pPr>
      <w:r>
        <w:rPr>
          <w:rFonts w:ascii="Arial" w:cs="Arial" w:eastAsia="Arial" w:hAnsi="Arial"/>
          <w:sz w:val="16"/>
          <w:szCs w:val="16"/>
          <w:b w:val="1"/>
          <w:bCs w:val="1"/>
          <w:color w:val="284993"/>
        </w:rPr>
        <w:t>Performance period:</w:t>
      </w:r>
      <w:r>
        <w:rPr>
          <w:sz w:val="20"/>
          <w:szCs w:val="20"/>
          <w:color w:val="auto"/>
        </w:rPr>
        <w:tab/>
      </w:r>
      <w:r>
        <w:rPr>
          <w:rFonts w:ascii="Arial" w:cs="Arial" w:eastAsia="Arial" w:hAnsi="Arial"/>
          <w:sz w:val="14"/>
          <w:szCs w:val="14"/>
          <w:b w:val="1"/>
          <w:bCs w:val="1"/>
          <w:color w:val="284993"/>
        </w:rPr>
        <w:t>Performance measure:</w:t>
      </w:r>
    </w:p>
    <w:p>
      <w:pPr>
        <w:spacing w:after="0" w:line="104" w:lineRule="exact"/>
        <w:rPr>
          <w:sz w:val="20"/>
          <w:szCs w:val="20"/>
          <w:color w:val="auto"/>
        </w:rPr>
      </w:pPr>
    </w:p>
    <w:p>
      <w:pPr>
        <w:spacing w:after="0"/>
        <w:tabs>
          <w:tab w:leader="none" w:pos="3480" w:val="left"/>
        </w:tabs>
        <w:rPr>
          <w:sz w:val="20"/>
          <w:szCs w:val="20"/>
          <w:color w:val="auto"/>
        </w:rPr>
      </w:pPr>
      <w:r>
        <w:rPr>
          <w:rFonts w:ascii="Arial" w:cs="Arial" w:eastAsia="Arial" w:hAnsi="Arial"/>
          <w:sz w:val="16"/>
          <w:szCs w:val="16"/>
          <w:color w:val="auto"/>
        </w:rPr>
        <w:t>January 1, 2021 – December 31, 2023</w:t>
      </w:r>
      <w:r>
        <w:rPr>
          <w:sz w:val="20"/>
          <w:szCs w:val="20"/>
          <w:color w:val="auto"/>
        </w:rPr>
        <w:tab/>
      </w:r>
      <w:r>
        <w:rPr>
          <w:rFonts w:ascii="Arial" w:cs="Arial" w:eastAsia="Arial" w:hAnsi="Arial"/>
          <w:sz w:val="14"/>
          <w:szCs w:val="14"/>
          <w:color w:val="auto"/>
        </w:rPr>
        <w:t>ACI’s total shareholder return relative to the</w:t>
      </w:r>
    </w:p>
    <w:p>
      <w:pPr>
        <w:spacing w:after="0" w:line="12" w:lineRule="exact"/>
        <w:rPr>
          <w:sz w:val="20"/>
          <w:szCs w:val="20"/>
          <w:color w:val="auto"/>
        </w:rPr>
      </w:pPr>
    </w:p>
    <w:p>
      <w:pPr>
        <w:ind w:left="3500"/>
        <w:spacing w:after="0"/>
        <w:rPr>
          <w:sz w:val="20"/>
          <w:szCs w:val="20"/>
          <w:color w:val="auto"/>
        </w:rPr>
      </w:pPr>
      <w:r>
        <w:rPr>
          <w:rFonts w:ascii="Arial" w:cs="Arial" w:eastAsia="Arial" w:hAnsi="Arial"/>
          <w:sz w:val="14"/>
          <w:szCs w:val="14"/>
          <w:color w:val="auto"/>
        </w:rPr>
        <w:t>S&amp;P 400 MidCap Index over the three-year</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113030</wp:posOffset>
            </wp:positionV>
            <wp:extent cx="59410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284993"/>
        </w:rPr>
        <w:t>Outcome:</w:t>
      </w:r>
    </w:p>
    <w:p>
      <w:pPr>
        <w:spacing w:after="0" w:line="104" w:lineRule="exact"/>
        <w:rPr>
          <w:sz w:val="20"/>
          <w:szCs w:val="20"/>
          <w:color w:val="auto"/>
        </w:rPr>
      </w:pPr>
    </w:p>
    <w:p>
      <w:pPr>
        <w:ind w:right="40"/>
        <w:spacing w:after="0" w:line="233" w:lineRule="auto"/>
        <w:rPr>
          <w:sz w:val="20"/>
          <w:szCs w:val="20"/>
          <w:color w:val="auto"/>
        </w:rPr>
      </w:pPr>
      <w:r>
        <w:rPr>
          <w:rFonts w:ascii="Arial" w:cs="Arial" w:eastAsia="Arial" w:hAnsi="Arial"/>
          <w:sz w:val="15"/>
          <w:szCs w:val="15"/>
          <w:color w:val="auto"/>
        </w:rPr>
        <w:t>ACI’s TSR was -23% during the period, which ranked at the 18</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 of the S&amp;P 400 MidCap Index and resulted in no payout of the award.</w:t>
      </w:r>
    </w:p>
    <w:p>
      <w:pPr>
        <w:spacing w:after="0" w:line="190" w:lineRule="exact"/>
        <w:rPr>
          <w:sz w:val="20"/>
          <w:szCs w:val="20"/>
          <w:color w:val="auto"/>
        </w:rPr>
      </w:pPr>
    </w:p>
    <w:p>
      <w:pPr>
        <w:sectPr>
          <w:pgSz w:w="11900" w:h="16838" w:orient="portrait"/>
          <w:cols w:equalWidth="0" w:num="2">
            <w:col w:w="6500" w:space="120"/>
            <w:col w:w="2740"/>
          </w:cols>
          <w:pgMar w:left="1260" w:top="290" w:right="1279" w:bottom="1440" w:gutter="0" w:footer="0" w:header="0"/>
          <w:type w:val="continuous"/>
        </w:sectPr>
      </w:pPr>
    </w:p>
    <w:p>
      <w:pPr>
        <w:spacing w:after="0"/>
        <w:rPr>
          <w:sz w:val="20"/>
          <w:szCs w:val="20"/>
          <w:color w:val="auto"/>
        </w:rPr>
      </w:pPr>
      <w:r>
        <w:rPr>
          <w:rFonts w:ascii="Arial" w:cs="Arial" w:eastAsia="Arial" w:hAnsi="Arial"/>
          <w:sz w:val="24"/>
          <w:szCs w:val="24"/>
          <w:b w:val="1"/>
          <w:bCs w:val="1"/>
          <w:color w:val="284993"/>
        </w:rPr>
        <w:t>Stockholder Input on Executive Compensation Program</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2023 Say-on-Pay Vote</w:t>
      </w:r>
    </w:p>
    <w:p>
      <w:pPr>
        <w:spacing w:after="0" w:line="108"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At our 2023 annual meeting, our stockholders approved our named executive officer compensation, with approximately 94.5% of the votes cast in favor of our proposal. Shareholders have consistently given our executive compensation program approval in excess of 94% for each of the last 5 years. The Compensation Committee considered the 2023 vote outcome and determined that, based on the continued high level of approval, no significant changes were needed to the executive compensation program to address shareholder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139700</wp:posOffset>
            </wp:positionV>
            <wp:extent cx="4670425" cy="1931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670425" cy="1931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36</w:t>
      </w:r>
    </w:p>
    <w:p>
      <w:pPr>
        <w:sectPr>
          <w:pgSz w:w="11900" w:h="16838" w:orient="portrait"/>
          <w:cols w:equalWidth="0" w:num="1">
            <w:col w:w="9360"/>
          </w:cols>
          <w:pgMar w:left="1260" w:top="290" w:right="127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7"/>
          <w:szCs w:val="17"/>
          <w:b w:val="1"/>
          <w:bCs w:val="1"/>
          <w:i w:val="1"/>
          <w:i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Stockholder Engagement and Feedback</w:t>
      </w:r>
    </w:p>
    <w:p>
      <w:pPr>
        <w:spacing w:after="0" w:line="108"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In 2023, to continue our ongoing engagement with our stockholders, we reached out to stockholders representing over 65% of our outstanding shares. The purpose of the outreach was to discuss a range of ACI topics, including our executive compensation programs and to elicit feedback about what we are doing well and suggestions about what we can improve. Based on the feedback from our 2023 outreach, we do not believe that stockholders had significant concerns with the current executive compensation program. Stockholders are invited to express their views to the Compensation Committee as described under “Stockholder Communications with our Board” below.</w:t>
      </w:r>
    </w:p>
    <w:p>
      <w:pPr>
        <w:spacing w:after="0" w:line="176"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Executive Compensation Philosophy and Practices</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Our executive compensation program is guided by our overarching philosophy of paying for demonstrable performance. Consistent with this philosophy, we have designed our executive compensation program to achieve the following primary objectives:</w:t>
      </w:r>
    </w:p>
    <w:p>
      <w:pPr>
        <w:spacing w:after="0" w:line="76" w:lineRule="exact"/>
        <w:rPr>
          <w:sz w:val="20"/>
          <w:szCs w:val="20"/>
          <w:color w:val="auto"/>
        </w:rPr>
      </w:pPr>
    </w:p>
    <w:p>
      <w:pPr>
        <w:ind w:left="360" w:right="160" w:hanging="263"/>
        <w:spacing w:after="0" w:line="264" w:lineRule="auto"/>
        <w:tabs>
          <w:tab w:leader="none" w:pos="3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Provide compensation and benefit levels that will attract, retain, motivate, and reward a highly talented management team within the context of responsible cost management.</w:t>
      </w:r>
    </w:p>
    <w:p>
      <w:pPr>
        <w:spacing w:after="0" w:line="76" w:lineRule="exact"/>
        <w:rPr>
          <w:rFonts w:ascii="Arial" w:cs="Arial" w:eastAsia="Arial" w:hAnsi="Arial"/>
          <w:sz w:val="16"/>
          <w:szCs w:val="16"/>
          <w:color w:val="auto"/>
        </w:rPr>
      </w:pPr>
    </w:p>
    <w:p>
      <w:pPr>
        <w:ind w:left="360" w:right="40" w:hanging="263"/>
        <w:spacing w:after="0" w:line="264" w:lineRule="auto"/>
        <w:tabs>
          <w:tab w:leader="none" w:pos="3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Establish a direct link between our financial and operational results and achievement of strategic objectives and the compensation of our executive officers; and</w:t>
      </w:r>
    </w:p>
    <w:p>
      <w:pPr>
        <w:spacing w:after="0" w:line="76" w:lineRule="exact"/>
        <w:rPr>
          <w:rFonts w:ascii="Arial" w:cs="Arial" w:eastAsia="Arial" w:hAnsi="Arial"/>
          <w:sz w:val="16"/>
          <w:szCs w:val="16"/>
          <w:color w:val="auto"/>
        </w:rPr>
      </w:pPr>
    </w:p>
    <w:p>
      <w:pPr>
        <w:ind w:left="360" w:right="860" w:hanging="263"/>
        <w:spacing w:after="0" w:line="336" w:lineRule="auto"/>
        <w:tabs>
          <w:tab w:leader="none" w:pos="3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Align the interests and objectives of our executive officers with those of our stockholders by linking long-term incentive compensation opportunities to stockholder value creation and cash incentives to our financial performance.</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We endeavor to maintain sound executive compensation policies, practices, and governance standards, consistent with our executive compensation philosophy, as summarized below.</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840" w:type="dxa"/>
            <w:vAlign w:val="bottom"/>
            <w:shd w:val="clear" w:color="auto" w:fill="284993"/>
          </w:tcPr>
          <w:p>
            <w:pPr>
              <w:spacing w:after="0"/>
              <w:rPr>
                <w:sz w:val="16"/>
                <w:szCs w:val="16"/>
                <w:color w:val="auto"/>
              </w:rPr>
            </w:pPr>
          </w:p>
        </w:tc>
        <w:tc>
          <w:tcPr>
            <w:tcW w:w="5500" w:type="dxa"/>
            <w:vAlign w:val="bottom"/>
            <w:shd w:val="clear" w:color="auto" w:fill="284993"/>
          </w:tcPr>
          <w:p>
            <w:pPr>
              <w:ind w:left="2320"/>
              <w:spacing w:after="0"/>
              <w:rPr>
                <w:sz w:val="20"/>
                <w:szCs w:val="20"/>
                <w:color w:val="auto"/>
              </w:rPr>
            </w:pPr>
            <w:r>
              <w:rPr>
                <w:rFonts w:ascii="Arial" w:cs="Arial" w:eastAsia="Arial" w:hAnsi="Arial"/>
                <w:sz w:val="16"/>
                <w:szCs w:val="16"/>
                <w:b w:val="1"/>
                <w:bCs w:val="1"/>
                <w:color w:val="FFFFFF"/>
              </w:rPr>
              <w:t>What we do</w:t>
            </w:r>
          </w:p>
        </w:tc>
      </w:tr>
      <w:tr>
        <w:trPr>
          <w:trHeight w:val="183"/>
        </w:trPr>
        <w:tc>
          <w:tcPr>
            <w:tcW w:w="3840" w:type="dxa"/>
            <w:vAlign w:val="bottom"/>
          </w:tcPr>
          <w:p>
            <w:pPr>
              <w:ind w:left="60"/>
              <w:spacing w:after="0" w:line="183" w:lineRule="exact"/>
              <w:rPr>
                <w:sz w:val="20"/>
                <w:szCs w:val="20"/>
                <w:color w:val="auto"/>
              </w:rPr>
            </w:pPr>
            <w:r>
              <w:rPr>
                <w:rFonts w:ascii="Arial" w:cs="Arial" w:eastAsia="Arial" w:hAnsi="Arial"/>
                <w:sz w:val="16"/>
                <w:szCs w:val="16"/>
                <w:b w:val="1"/>
                <w:bCs w:val="1"/>
                <w:color w:val="284993"/>
              </w:rPr>
              <w:t>•  Pay-for-Performance Structure</w:t>
            </w:r>
          </w:p>
        </w:tc>
        <w:tc>
          <w:tcPr>
            <w:tcW w:w="5500" w:type="dxa"/>
            <w:vAlign w:val="bottom"/>
          </w:tcPr>
          <w:p>
            <w:pPr>
              <w:ind w:left="280"/>
              <w:spacing w:after="0" w:line="183" w:lineRule="exact"/>
              <w:rPr>
                <w:sz w:val="20"/>
                <w:szCs w:val="20"/>
                <w:color w:val="auto"/>
              </w:rPr>
            </w:pPr>
            <w:r>
              <w:rPr>
                <w:rFonts w:ascii="Arial" w:cs="Arial" w:eastAsia="Arial" w:hAnsi="Arial"/>
                <w:sz w:val="16"/>
                <w:szCs w:val="16"/>
                <w:color w:val="auto"/>
              </w:rPr>
              <w:t>A significant portion of our Named Executive Officers’ compensation is</w:t>
            </w:r>
          </w:p>
        </w:tc>
      </w:tr>
      <w:tr>
        <w:trPr>
          <w:trHeight w:val="182"/>
        </w:trPr>
        <w:tc>
          <w:tcPr>
            <w:tcW w:w="3840" w:type="dxa"/>
            <w:vAlign w:val="bottom"/>
          </w:tcPr>
          <w:p>
            <w:pPr>
              <w:spacing w:after="0"/>
              <w:rPr>
                <w:sz w:val="15"/>
                <w:szCs w:val="15"/>
                <w:color w:val="auto"/>
              </w:rPr>
            </w:pPr>
          </w:p>
        </w:tc>
        <w:tc>
          <w:tcPr>
            <w:tcW w:w="5500" w:type="dxa"/>
            <w:vAlign w:val="bottom"/>
          </w:tcPr>
          <w:p>
            <w:pPr>
              <w:ind w:left="280"/>
              <w:spacing w:after="0" w:line="182" w:lineRule="exact"/>
              <w:rPr>
                <w:sz w:val="20"/>
                <w:szCs w:val="20"/>
                <w:color w:val="auto"/>
              </w:rPr>
            </w:pPr>
            <w:r>
              <w:rPr>
                <w:rFonts w:ascii="Arial" w:cs="Arial" w:eastAsia="Arial" w:hAnsi="Arial"/>
                <w:sz w:val="16"/>
                <w:szCs w:val="16"/>
                <w:color w:val="auto"/>
              </w:rPr>
              <w:t>directly linked to our performance. In particular, their target total direct</w:t>
            </w:r>
          </w:p>
        </w:tc>
      </w:tr>
      <w:tr>
        <w:trPr>
          <w:trHeight w:val="182"/>
        </w:trPr>
        <w:tc>
          <w:tcPr>
            <w:tcW w:w="3840" w:type="dxa"/>
            <w:vAlign w:val="bottom"/>
          </w:tcPr>
          <w:p>
            <w:pPr>
              <w:spacing w:after="0"/>
              <w:rPr>
                <w:sz w:val="15"/>
                <w:szCs w:val="15"/>
                <w:color w:val="auto"/>
              </w:rPr>
            </w:pPr>
          </w:p>
        </w:tc>
        <w:tc>
          <w:tcPr>
            <w:tcW w:w="5500" w:type="dxa"/>
            <w:vAlign w:val="bottom"/>
          </w:tcPr>
          <w:p>
            <w:pPr>
              <w:ind w:left="280"/>
              <w:spacing w:after="0" w:line="182" w:lineRule="exact"/>
              <w:rPr>
                <w:sz w:val="20"/>
                <w:szCs w:val="20"/>
                <w:color w:val="auto"/>
              </w:rPr>
            </w:pPr>
            <w:r>
              <w:rPr>
                <w:rFonts w:ascii="Arial" w:cs="Arial" w:eastAsia="Arial" w:hAnsi="Arial"/>
                <w:sz w:val="16"/>
                <w:szCs w:val="16"/>
                <w:color w:val="auto"/>
              </w:rPr>
              <w:t>compensation has a significant long-term equity component that makes</w:t>
            </w:r>
          </w:p>
        </w:tc>
      </w:tr>
      <w:tr>
        <w:trPr>
          <w:trHeight w:val="182"/>
        </w:trPr>
        <w:tc>
          <w:tcPr>
            <w:tcW w:w="3840" w:type="dxa"/>
            <w:vAlign w:val="bottom"/>
          </w:tcPr>
          <w:p>
            <w:pPr>
              <w:spacing w:after="0"/>
              <w:rPr>
                <w:sz w:val="15"/>
                <w:szCs w:val="15"/>
                <w:color w:val="auto"/>
              </w:rPr>
            </w:pPr>
          </w:p>
        </w:tc>
        <w:tc>
          <w:tcPr>
            <w:tcW w:w="5500" w:type="dxa"/>
            <w:vAlign w:val="bottom"/>
          </w:tcPr>
          <w:p>
            <w:pPr>
              <w:ind w:left="280"/>
              <w:spacing w:after="0" w:line="182" w:lineRule="exact"/>
              <w:rPr>
                <w:sz w:val="20"/>
                <w:szCs w:val="20"/>
                <w:color w:val="auto"/>
              </w:rPr>
            </w:pPr>
            <w:r>
              <w:rPr>
                <w:rFonts w:ascii="Arial" w:cs="Arial" w:eastAsia="Arial" w:hAnsi="Arial"/>
                <w:sz w:val="16"/>
                <w:szCs w:val="16"/>
                <w:color w:val="auto"/>
              </w:rPr>
              <w:t>a substantial portion of each Named Executive Officer’s target total</w:t>
            </w:r>
          </w:p>
        </w:tc>
      </w:tr>
      <w:tr>
        <w:trPr>
          <w:trHeight w:val="182"/>
        </w:trPr>
        <w:tc>
          <w:tcPr>
            <w:tcW w:w="3840" w:type="dxa"/>
            <w:vAlign w:val="bottom"/>
          </w:tcPr>
          <w:p>
            <w:pPr>
              <w:spacing w:after="0"/>
              <w:rPr>
                <w:sz w:val="15"/>
                <w:szCs w:val="15"/>
                <w:color w:val="auto"/>
              </w:rPr>
            </w:pPr>
          </w:p>
        </w:tc>
        <w:tc>
          <w:tcPr>
            <w:tcW w:w="5500" w:type="dxa"/>
            <w:vAlign w:val="bottom"/>
          </w:tcPr>
          <w:p>
            <w:pPr>
              <w:ind w:left="280"/>
              <w:spacing w:after="0" w:line="182" w:lineRule="exact"/>
              <w:rPr>
                <w:sz w:val="20"/>
                <w:szCs w:val="20"/>
                <w:color w:val="auto"/>
              </w:rPr>
            </w:pPr>
            <w:r>
              <w:rPr>
                <w:rFonts w:ascii="Arial" w:cs="Arial" w:eastAsia="Arial" w:hAnsi="Arial"/>
                <w:sz w:val="16"/>
                <w:szCs w:val="16"/>
                <w:color w:val="auto"/>
              </w:rPr>
              <w:t>direct compensation dependent upon our stock price and/or our</w:t>
            </w:r>
          </w:p>
        </w:tc>
      </w:tr>
      <w:tr>
        <w:trPr>
          <w:trHeight w:val="194"/>
        </w:trPr>
        <w:tc>
          <w:tcPr>
            <w:tcW w:w="3840" w:type="dxa"/>
            <w:vAlign w:val="bottom"/>
            <w:tcBorders>
              <w:bottom w:val="single" w:sz="8" w:color="284993"/>
            </w:tcBorders>
          </w:tcPr>
          <w:p>
            <w:pPr>
              <w:spacing w:after="0"/>
              <w:rPr>
                <w:sz w:val="16"/>
                <w:szCs w:val="16"/>
                <w:color w:val="auto"/>
              </w:rPr>
            </w:pPr>
          </w:p>
        </w:tc>
        <w:tc>
          <w:tcPr>
            <w:tcW w:w="5500" w:type="dxa"/>
            <w:vAlign w:val="bottom"/>
            <w:tcBorders>
              <w:bottom w:val="single" w:sz="8" w:color="284993"/>
            </w:tcBorders>
          </w:tcPr>
          <w:p>
            <w:pPr>
              <w:ind w:left="280"/>
              <w:spacing w:after="0"/>
              <w:rPr>
                <w:sz w:val="20"/>
                <w:szCs w:val="20"/>
                <w:color w:val="auto"/>
              </w:rPr>
            </w:pPr>
            <w:r>
              <w:rPr>
                <w:rFonts w:ascii="Arial" w:cs="Arial" w:eastAsia="Arial" w:hAnsi="Arial"/>
                <w:sz w:val="16"/>
                <w:szCs w:val="16"/>
                <w:color w:val="auto"/>
              </w:rPr>
              <w:t>financial performance.</w:t>
            </w:r>
          </w:p>
        </w:tc>
      </w:tr>
      <w:tr>
        <w:trPr>
          <w:trHeight w:val="163"/>
        </w:trPr>
        <w:tc>
          <w:tcPr>
            <w:tcW w:w="3840" w:type="dxa"/>
            <w:vAlign w:val="bottom"/>
          </w:tcPr>
          <w:p>
            <w:pPr>
              <w:ind w:left="60"/>
              <w:spacing w:after="0" w:line="163" w:lineRule="exact"/>
              <w:rPr>
                <w:sz w:val="20"/>
                <w:szCs w:val="20"/>
                <w:color w:val="auto"/>
              </w:rPr>
            </w:pPr>
            <w:r>
              <w:rPr>
                <w:rFonts w:ascii="Arial" w:cs="Arial" w:eastAsia="Arial" w:hAnsi="Arial"/>
                <w:sz w:val="16"/>
                <w:szCs w:val="16"/>
                <w:b w:val="1"/>
                <w:bCs w:val="1"/>
                <w:color w:val="284993"/>
              </w:rPr>
              <w:t>•  Performance-Based Equity Awards</w:t>
            </w:r>
          </w:p>
        </w:tc>
        <w:tc>
          <w:tcPr>
            <w:tcW w:w="5500" w:type="dxa"/>
            <w:vAlign w:val="bottom"/>
          </w:tcPr>
          <w:p>
            <w:pPr>
              <w:ind w:left="280"/>
              <w:spacing w:after="0" w:line="163" w:lineRule="exact"/>
              <w:rPr>
                <w:sz w:val="20"/>
                <w:szCs w:val="20"/>
                <w:color w:val="auto"/>
              </w:rPr>
            </w:pPr>
            <w:r>
              <w:rPr>
                <w:rFonts w:ascii="Arial" w:cs="Arial" w:eastAsia="Arial" w:hAnsi="Arial"/>
                <w:sz w:val="16"/>
                <w:szCs w:val="16"/>
                <w:color w:val="auto"/>
              </w:rPr>
              <w:t>In 2023, approximately 50% of our other Named Executive Officers’</w:t>
            </w:r>
          </w:p>
        </w:tc>
      </w:tr>
      <w:tr>
        <w:trPr>
          <w:trHeight w:val="182"/>
        </w:trPr>
        <w:tc>
          <w:tcPr>
            <w:tcW w:w="3840" w:type="dxa"/>
            <w:vAlign w:val="bottom"/>
          </w:tcPr>
          <w:p>
            <w:pPr>
              <w:spacing w:after="0"/>
              <w:rPr>
                <w:sz w:val="15"/>
                <w:szCs w:val="15"/>
                <w:color w:val="auto"/>
              </w:rPr>
            </w:pPr>
          </w:p>
        </w:tc>
        <w:tc>
          <w:tcPr>
            <w:tcW w:w="5500" w:type="dxa"/>
            <w:vAlign w:val="bottom"/>
          </w:tcPr>
          <w:p>
            <w:pPr>
              <w:ind w:left="280"/>
              <w:spacing w:after="0" w:line="182" w:lineRule="exact"/>
              <w:rPr>
                <w:sz w:val="20"/>
                <w:szCs w:val="20"/>
                <w:color w:val="auto"/>
              </w:rPr>
            </w:pPr>
            <w:r>
              <w:rPr>
                <w:rFonts w:ascii="Arial" w:cs="Arial" w:eastAsia="Arial" w:hAnsi="Arial"/>
                <w:sz w:val="16"/>
                <w:szCs w:val="16"/>
                <w:color w:val="auto"/>
              </w:rPr>
              <w:t>long-term incentive awards consisted of PSUs. Our CEO received a</w:t>
            </w:r>
          </w:p>
        </w:tc>
      </w:tr>
      <w:tr>
        <w:trPr>
          <w:trHeight w:val="182"/>
        </w:trPr>
        <w:tc>
          <w:tcPr>
            <w:tcW w:w="3840" w:type="dxa"/>
            <w:vAlign w:val="bottom"/>
          </w:tcPr>
          <w:p>
            <w:pPr>
              <w:spacing w:after="0"/>
              <w:rPr>
                <w:sz w:val="15"/>
                <w:szCs w:val="15"/>
                <w:color w:val="auto"/>
              </w:rPr>
            </w:pPr>
          </w:p>
        </w:tc>
        <w:tc>
          <w:tcPr>
            <w:tcW w:w="5500" w:type="dxa"/>
            <w:vAlign w:val="bottom"/>
          </w:tcPr>
          <w:p>
            <w:pPr>
              <w:ind w:left="280"/>
              <w:spacing w:after="0" w:line="182" w:lineRule="exact"/>
              <w:rPr>
                <w:sz w:val="20"/>
                <w:szCs w:val="20"/>
                <w:color w:val="auto"/>
              </w:rPr>
            </w:pPr>
            <w:r>
              <w:rPr>
                <w:rFonts w:ascii="Arial" w:cs="Arial" w:eastAsia="Arial" w:hAnsi="Arial"/>
                <w:sz w:val="16"/>
                <w:szCs w:val="16"/>
                <w:color w:val="auto"/>
              </w:rPr>
              <w:t>PSU grant for 65% of his initial equity award in June 2023 as well as</w:t>
            </w:r>
          </w:p>
        </w:tc>
      </w:tr>
      <w:tr>
        <w:trPr>
          <w:trHeight w:val="194"/>
        </w:trPr>
        <w:tc>
          <w:tcPr>
            <w:tcW w:w="3840" w:type="dxa"/>
            <w:vAlign w:val="bottom"/>
            <w:tcBorders>
              <w:bottom w:val="single" w:sz="8" w:color="284993"/>
            </w:tcBorders>
          </w:tcPr>
          <w:p>
            <w:pPr>
              <w:spacing w:after="0"/>
              <w:rPr>
                <w:sz w:val="16"/>
                <w:szCs w:val="16"/>
                <w:color w:val="auto"/>
              </w:rPr>
            </w:pPr>
          </w:p>
        </w:tc>
        <w:tc>
          <w:tcPr>
            <w:tcW w:w="5500" w:type="dxa"/>
            <w:vAlign w:val="bottom"/>
            <w:tcBorders>
              <w:bottom w:val="single" w:sz="8" w:color="284993"/>
            </w:tcBorders>
          </w:tcPr>
          <w:p>
            <w:pPr>
              <w:ind w:left="280"/>
              <w:spacing w:after="0"/>
              <w:rPr>
                <w:sz w:val="20"/>
                <w:szCs w:val="20"/>
                <w:color w:val="auto"/>
              </w:rPr>
            </w:pPr>
            <w:r>
              <w:rPr>
                <w:rFonts w:ascii="Arial" w:cs="Arial" w:eastAsia="Arial" w:hAnsi="Arial"/>
                <w:sz w:val="16"/>
                <w:szCs w:val="16"/>
                <w:color w:val="auto"/>
              </w:rPr>
              <w:t>65% of his annual grant in 2024.</w:t>
            </w:r>
          </w:p>
        </w:tc>
      </w:tr>
      <w:tr>
        <w:trPr>
          <w:trHeight w:val="174"/>
        </w:trPr>
        <w:tc>
          <w:tcPr>
            <w:tcW w:w="3840" w:type="dxa"/>
            <w:vAlign w:val="bottom"/>
          </w:tcPr>
          <w:p>
            <w:pPr>
              <w:ind w:left="60"/>
              <w:spacing w:after="0" w:line="174" w:lineRule="exact"/>
              <w:rPr>
                <w:sz w:val="20"/>
                <w:szCs w:val="20"/>
                <w:color w:val="auto"/>
              </w:rPr>
            </w:pPr>
            <w:r>
              <w:rPr>
                <w:rFonts w:ascii="Arial" w:cs="Arial" w:eastAsia="Arial" w:hAnsi="Arial"/>
                <w:sz w:val="16"/>
                <w:szCs w:val="16"/>
                <w:b w:val="1"/>
                <w:bCs w:val="1"/>
                <w:color w:val="284993"/>
              </w:rPr>
              <w:t>•  “Double-Trigger” Change in Control</w:t>
            </w:r>
          </w:p>
        </w:tc>
        <w:tc>
          <w:tcPr>
            <w:tcW w:w="5500" w:type="dxa"/>
            <w:vAlign w:val="bottom"/>
          </w:tcPr>
          <w:p>
            <w:pPr>
              <w:ind w:left="280"/>
              <w:spacing w:after="0" w:line="174" w:lineRule="exact"/>
              <w:rPr>
                <w:sz w:val="20"/>
                <w:szCs w:val="20"/>
                <w:color w:val="auto"/>
              </w:rPr>
            </w:pPr>
            <w:r>
              <w:rPr>
                <w:rFonts w:ascii="Arial" w:cs="Arial" w:eastAsia="Arial" w:hAnsi="Arial"/>
                <w:sz w:val="16"/>
                <w:szCs w:val="16"/>
                <w:color w:val="auto"/>
              </w:rPr>
              <w:t>Our change in control compensation arrangements include a “double-</w:t>
            </w:r>
          </w:p>
        </w:tc>
      </w:tr>
      <w:tr>
        <w:trPr>
          <w:trHeight w:val="184"/>
        </w:trPr>
        <w:tc>
          <w:tcPr>
            <w:tcW w:w="3840" w:type="dxa"/>
            <w:vAlign w:val="bottom"/>
          </w:tcPr>
          <w:p>
            <w:pPr>
              <w:ind w:left="220"/>
              <w:spacing w:after="0"/>
              <w:rPr>
                <w:sz w:val="20"/>
                <w:szCs w:val="20"/>
                <w:color w:val="auto"/>
              </w:rPr>
            </w:pPr>
            <w:r>
              <w:rPr>
                <w:rFonts w:ascii="Arial" w:cs="Arial" w:eastAsia="Arial" w:hAnsi="Arial"/>
                <w:sz w:val="16"/>
                <w:szCs w:val="16"/>
                <w:b w:val="1"/>
                <w:bCs w:val="1"/>
                <w:color w:val="284993"/>
              </w:rPr>
              <w:t>Arrangements</w:t>
            </w:r>
          </w:p>
        </w:tc>
        <w:tc>
          <w:tcPr>
            <w:tcW w:w="5500" w:type="dxa"/>
            <w:vAlign w:val="bottom"/>
          </w:tcPr>
          <w:p>
            <w:pPr>
              <w:ind w:left="280"/>
              <w:spacing w:after="0"/>
              <w:rPr>
                <w:sz w:val="20"/>
                <w:szCs w:val="20"/>
                <w:color w:val="auto"/>
              </w:rPr>
            </w:pPr>
            <w:r>
              <w:rPr>
                <w:rFonts w:ascii="Arial" w:cs="Arial" w:eastAsia="Arial" w:hAnsi="Arial"/>
                <w:sz w:val="16"/>
                <w:szCs w:val="16"/>
                <w:color w:val="auto"/>
              </w:rPr>
              <w:t>trigger” provision that requires both a change in control of the Company</w:t>
            </w:r>
          </w:p>
        </w:tc>
      </w:tr>
      <w:tr>
        <w:trPr>
          <w:trHeight w:val="182"/>
        </w:trPr>
        <w:tc>
          <w:tcPr>
            <w:tcW w:w="3840" w:type="dxa"/>
            <w:vAlign w:val="bottom"/>
          </w:tcPr>
          <w:p>
            <w:pPr>
              <w:spacing w:after="0"/>
              <w:rPr>
                <w:sz w:val="15"/>
                <w:szCs w:val="15"/>
                <w:color w:val="auto"/>
              </w:rPr>
            </w:pPr>
          </w:p>
        </w:tc>
        <w:tc>
          <w:tcPr>
            <w:tcW w:w="5500" w:type="dxa"/>
            <w:vAlign w:val="bottom"/>
          </w:tcPr>
          <w:p>
            <w:pPr>
              <w:ind w:left="280"/>
              <w:spacing w:after="0" w:line="182" w:lineRule="exact"/>
              <w:rPr>
                <w:sz w:val="20"/>
                <w:szCs w:val="20"/>
                <w:color w:val="auto"/>
              </w:rPr>
            </w:pPr>
            <w:r>
              <w:rPr>
                <w:rFonts w:ascii="Arial" w:cs="Arial" w:eastAsia="Arial" w:hAnsi="Arial"/>
                <w:sz w:val="16"/>
                <w:szCs w:val="16"/>
                <w:color w:val="auto"/>
              </w:rPr>
              <w:t>and a qualifying termination of employment before any severance or</w:t>
            </w:r>
          </w:p>
        </w:tc>
      </w:tr>
      <w:tr>
        <w:trPr>
          <w:trHeight w:val="182"/>
        </w:trPr>
        <w:tc>
          <w:tcPr>
            <w:tcW w:w="3840" w:type="dxa"/>
            <w:vAlign w:val="bottom"/>
          </w:tcPr>
          <w:p>
            <w:pPr>
              <w:spacing w:after="0"/>
              <w:rPr>
                <w:sz w:val="15"/>
                <w:szCs w:val="15"/>
                <w:color w:val="auto"/>
              </w:rPr>
            </w:pPr>
          </w:p>
        </w:tc>
        <w:tc>
          <w:tcPr>
            <w:tcW w:w="5500" w:type="dxa"/>
            <w:vAlign w:val="bottom"/>
          </w:tcPr>
          <w:p>
            <w:pPr>
              <w:ind w:left="280"/>
              <w:spacing w:after="0" w:line="182" w:lineRule="exact"/>
              <w:rPr>
                <w:sz w:val="20"/>
                <w:szCs w:val="20"/>
                <w:color w:val="auto"/>
              </w:rPr>
            </w:pPr>
            <w:r>
              <w:rPr>
                <w:rFonts w:ascii="Arial" w:cs="Arial" w:eastAsia="Arial" w:hAnsi="Arial"/>
                <w:sz w:val="16"/>
                <w:szCs w:val="16"/>
                <w:color w:val="auto"/>
              </w:rPr>
              <w:t>other benefits are paid. All outstanding unvested equity awards have a</w:t>
            </w:r>
          </w:p>
        </w:tc>
      </w:tr>
      <w:tr>
        <w:trPr>
          <w:trHeight w:val="182"/>
        </w:trPr>
        <w:tc>
          <w:tcPr>
            <w:tcW w:w="3840" w:type="dxa"/>
            <w:vAlign w:val="bottom"/>
          </w:tcPr>
          <w:p>
            <w:pPr>
              <w:spacing w:after="0"/>
              <w:rPr>
                <w:sz w:val="15"/>
                <w:szCs w:val="15"/>
                <w:color w:val="auto"/>
              </w:rPr>
            </w:pPr>
          </w:p>
        </w:tc>
        <w:tc>
          <w:tcPr>
            <w:tcW w:w="5500" w:type="dxa"/>
            <w:vAlign w:val="bottom"/>
          </w:tcPr>
          <w:p>
            <w:pPr>
              <w:ind w:left="280"/>
              <w:spacing w:after="0" w:line="182" w:lineRule="exact"/>
              <w:rPr>
                <w:sz w:val="20"/>
                <w:szCs w:val="20"/>
                <w:color w:val="auto"/>
              </w:rPr>
            </w:pPr>
            <w:r>
              <w:rPr>
                <w:rFonts w:ascii="Arial" w:cs="Arial" w:eastAsia="Arial" w:hAnsi="Arial"/>
                <w:sz w:val="16"/>
                <w:szCs w:val="16"/>
                <w:color w:val="auto"/>
              </w:rPr>
              <w:t>“double trigger” provision, and it is our expectation that all future equity</w:t>
            </w:r>
          </w:p>
        </w:tc>
      </w:tr>
      <w:tr>
        <w:trPr>
          <w:trHeight w:val="194"/>
        </w:trPr>
        <w:tc>
          <w:tcPr>
            <w:tcW w:w="3840" w:type="dxa"/>
            <w:vAlign w:val="bottom"/>
            <w:tcBorders>
              <w:bottom w:val="single" w:sz="8" w:color="284993"/>
            </w:tcBorders>
          </w:tcPr>
          <w:p>
            <w:pPr>
              <w:spacing w:after="0"/>
              <w:rPr>
                <w:sz w:val="16"/>
                <w:szCs w:val="16"/>
                <w:color w:val="auto"/>
              </w:rPr>
            </w:pPr>
          </w:p>
        </w:tc>
        <w:tc>
          <w:tcPr>
            <w:tcW w:w="5500" w:type="dxa"/>
            <w:vAlign w:val="bottom"/>
            <w:tcBorders>
              <w:bottom w:val="single" w:sz="8" w:color="284993"/>
            </w:tcBorders>
          </w:tcPr>
          <w:p>
            <w:pPr>
              <w:ind w:left="280"/>
              <w:spacing w:after="0"/>
              <w:rPr>
                <w:sz w:val="20"/>
                <w:szCs w:val="20"/>
                <w:color w:val="auto"/>
              </w:rPr>
            </w:pPr>
            <w:r>
              <w:rPr>
                <w:rFonts w:ascii="Arial" w:cs="Arial" w:eastAsia="Arial" w:hAnsi="Arial"/>
                <w:sz w:val="16"/>
                <w:szCs w:val="16"/>
                <w:color w:val="auto"/>
              </w:rPr>
              <w:t>awards will as well.</w:t>
            </w:r>
          </w:p>
        </w:tc>
      </w:tr>
      <w:tr>
        <w:trPr>
          <w:trHeight w:val="161"/>
        </w:trPr>
        <w:tc>
          <w:tcPr>
            <w:tcW w:w="3840" w:type="dxa"/>
            <w:vAlign w:val="bottom"/>
          </w:tcPr>
          <w:p>
            <w:pPr>
              <w:ind w:left="60"/>
              <w:spacing w:after="0" w:line="161" w:lineRule="exact"/>
              <w:rPr>
                <w:sz w:val="20"/>
                <w:szCs w:val="20"/>
                <w:color w:val="auto"/>
              </w:rPr>
            </w:pPr>
            <w:r>
              <w:rPr>
                <w:rFonts w:ascii="Arial" w:cs="Arial" w:eastAsia="Arial" w:hAnsi="Arial"/>
                <w:sz w:val="16"/>
                <w:szCs w:val="16"/>
                <w:b w:val="1"/>
                <w:bCs w:val="1"/>
                <w:color w:val="284993"/>
              </w:rPr>
              <w:t>•  Independent Compensation Committee and</w:t>
            </w:r>
          </w:p>
        </w:tc>
        <w:tc>
          <w:tcPr>
            <w:tcW w:w="5500" w:type="dxa"/>
            <w:vAlign w:val="bottom"/>
          </w:tcPr>
          <w:p>
            <w:pPr>
              <w:ind w:left="280"/>
              <w:spacing w:after="0" w:line="161" w:lineRule="exact"/>
              <w:rPr>
                <w:sz w:val="20"/>
                <w:szCs w:val="20"/>
                <w:color w:val="auto"/>
              </w:rPr>
            </w:pPr>
            <w:r>
              <w:rPr>
                <w:rFonts w:ascii="Arial" w:cs="Arial" w:eastAsia="Arial" w:hAnsi="Arial"/>
                <w:sz w:val="16"/>
                <w:szCs w:val="16"/>
                <w:color w:val="auto"/>
              </w:rPr>
              <w:t>The Compensation Committee consists solely of independent directors.</w:t>
            </w:r>
          </w:p>
        </w:tc>
      </w:tr>
      <w:tr>
        <w:trPr>
          <w:trHeight w:val="184"/>
        </w:trPr>
        <w:tc>
          <w:tcPr>
            <w:tcW w:w="3840" w:type="dxa"/>
            <w:vAlign w:val="bottom"/>
          </w:tcPr>
          <w:p>
            <w:pPr>
              <w:ind w:left="220"/>
              <w:spacing w:after="0"/>
              <w:rPr>
                <w:sz w:val="20"/>
                <w:szCs w:val="20"/>
                <w:color w:val="auto"/>
              </w:rPr>
            </w:pPr>
            <w:r>
              <w:rPr>
                <w:rFonts w:ascii="Arial" w:cs="Arial" w:eastAsia="Arial" w:hAnsi="Arial"/>
                <w:sz w:val="16"/>
                <w:szCs w:val="16"/>
                <w:b w:val="1"/>
                <w:bCs w:val="1"/>
                <w:color w:val="284993"/>
              </w:rPr>
              <w:t>Compensation Advisor</w:t>
            </w:r>
          </w:p>
        </w:tc>
        <w:tc>
          <w:tcPr>
            <w:tcW w:w="5500" w:type="dxa"/>
            <w:vAlign w:val="bottom"/>
          </w:tcPr>
          <w:p>
            <w:pPr>
              <w:ind w:left="280"/>
              <w:spacing w:after="0"/>
              <w:rPr>
                <w:sz w:val="20"/>
                <w:szCs w:val="20"/>
                <w:color w:val="auto"/>
              </w:rPr>
            </w:pPr>
            <w:r>
              <w:rPr>
                <w:rFonts w:ascii="Arial" w:cs="Arial" w:eastAsia="Arial" w:hAnsi="Arial"/>
                <w:sz w:val="16"/>
                <w:szCs w:val="16"/>
                <w:color w:val="auto"/>
              </w:rPr>
              <w:t>The Compensation Committee has engaged its own independent</w:t>
            </w:r>
          </w:p>
        </w:tc>
      </w:tr>
      <w:tr>
        <w:trPr>
          <w:trHeight w:val="182"/>
        </w:trPr>
        <w:tc>
          <w:tcPr>
            <w:tcW w:w="3840" w:type="dxa"/>
            <w:vAlign w:val="bottom"/>
          </w:tcPr>
          <w:p>
            <w:pPr>
              <w:spacing w:after="0"/>
              <w:rPr>
                <w:sz w:val="15"/>
                <w:szCs w:val="15"/>
                <w:color w:val="auto"/>
              </w:rPr>
            </w:pPr>
          </w:p>
        </w:tc>
        <w:tc>
          <w:tcPr>
            <w:tcW w:w="5500" w:type="dxa"/>
            <w:vAlign w:val="bottom"/>
          </w:tcPr>
          <w:p>
            <w:pPr>
              <w:ind w:left="280"/>
              <w:spacing w:after="0" w:line="182" w:lineRule="exact"/>
              <w:rPr>
                <w:sz w:val="20"/>
                <w:szCs w:val="20"/>
                <w:color w:val="auto"/>
              </w:rPr>
            </w:pPr>
            <w:r>
              <w:rPr>
                <w:rFonts w:ascii="Arial" w:cs="Arial" w:eastAsia="Arial" w:hAnsi="Arial"/>
                <w:sz w:val="16"/>
                <w:szCs w:val="16"/>
                <w:color w:val="auto"/>
              </w:rPr>
              <w:t>compensation advisor to provide information, analysis, and other advice</w:t>
            </w:r>
          </w:p>
        </w:tc>
      </w:tr>
      <w:tr>
        <w:trPr>
          <w:trHeight w:val="194"/>
        </w:trPr>
        <w:tc>
          <w:tcPr>
            <w:tcW w:w="3840" w:type="dxa"/>
            <w:vAlign w:val="bottom"/>
            <w:tcBorders>
              <w:bottom w:val="single" w:sz="8" w:color="284993"/>
            </w:tcBorders>
          </w:tcPr>
          <w:p>
            <w:pPr>
              <w:spacing w:after="0"/>
              <w:rPr>
                <w:sz w:val="16"/>
                <w:szCs w:val="16"/>
                <w:color w:val="auto"/>
              </w:rPr>
            </w:pPr>
          </w:p>
        </w:tc>
        <w:tc>
          <w:tcPr>
            <w:tcW w:w="5500" w:type="dxa"/>
            <w:vAlign w:val="bottom"/>
            <w:tcBorders>
              <w:bottom w:val="single" w:sz="8" w:color="284993"/>
            </w:tcBorders>
          </w:tcPr>
          <w:p>
            <w:pPr>
              <w:ind w:left="280"/>
              <w:spacing w:after="0"/>
              <w:rPr>
                <w:sz w:val="20"/>
                <w:szCs w:val="20"/>
                <w:color w:val="auto"/>
              </w:rPr>
            </w:pPr>
            <w:r>
              <w:rPr>
                <w:rFonts w:ascii="Arial" w:cs="Arial" w:eastAsia="Arial" w:hAnsi="Arial"/>
                <w:sz w:val="16"/>
                <w:szCs w:val="16"/>
                <w:color w:val="auto"/>
              </w:rPr>
              <w:t>on executive compensation matters independent of management.</w:t>
            </w:r>
          </w:p>
        </w:tc>
      </w:tr>
      <w:tr>
        <w:trPr>
          <w:trHeight w:val="163"/>
        </w:trPr>
        <w:tc>
          <w:tcPr>
            <w:tcW w:w="3840" w:type="dxa"/>
            <w:vAlign w:val="bottom"/>
          </w:tcPr>
          <w:p>
            <w:pPr>
              <w:ind w:left="60"/>
              <w:spacing w:after="0" w:line="163" w:lineRule="exact"/>
              <w:rPr>
                <w:sz w:val="20"/>
                <w:szCs w:val="20"/>
                <w:color w:val="auto"/>
              </w:rPr>
            </w:pPr>
            <w:r>
              <w:rPr>
                <w:rFonts w:ascii="Arial" w:cs="Arial" w:eastAsia="Arial" w:hAnsi="Arial"/>
                <w:sz w:val="16"/>
                <w:szCs w:val="16"/>
                <w:b w:val="1"/>
                <w:bCs w:val="1"/>
                <w:color w:val="284993"/>
              </w:rPr>
              <w:t>•  Compensation Recovery (“Clawback”) Policy</w:t>
            </w:r>
          </w:p>
        </w:tc>
        <w:tc>
          <w:tcPr>
            <w:tcW w:w="5500" w:type="dxa"/>
            <w:vAlign w:val="bottom"/>
          </w:tcPr>
          <w:p>
            <w:pPr>
              <w:ind w:left="280"/>
              <w:spacing w:after="0" w:line="163" w:lineRule="exact"/>
              <w:rPr>
                <w:sz w:val="20"/>
                <w:szCs w:val="20"/>
                <w:color w:val="auto"/>
              </w:rPr>
            </w:pPr>
            <w:r>
              <w:rPr>
                <w:rFonts w:ascii="Arial" w:cs="Arial" w:eastAsia="Arial" w:hAnsi="Arial"/>
                <w:sz w:val="16"/>
                <w:szCs w:val="16"/>
                <w:color w:val="auto"/>
              </w:rPr>
              <w:t>We have policies providing for the recovery of certain incentive-based</w:t>
            </w:r>
          </w:p>
        </w:tc>
      </w:tr>
      <w:tr>
        <w:trPr>
          <w:trHeight w:val="182"/>
        </w:trPr>
        <w:tc>
          <w:tcPr>
            <w:tcW w:w="3840" w:type="dxa"/>
            <w:vAlign w:val="bottom"/>
          </w:tcPr>
          <w:p>
            <w:pPr>
              <w:spacing w:after="0"/>
              <w:rPr>
                <w:sz w:val="15"/>
                <w:szCs w:val="15"/>
                <w:color w:val="auto"/>
              </w:rPr>
            </w:pPr>
          </w:p>
        </w:tc>
        <w:tc>
          <w:tcPr>
            <w:tcW w:w="5500" w:type="dxa"/>
            <w:vAlign w:val="bottom"/>
          </w:tcPr>
          <w:p>
            <w:pPr>
              <w:ind w:left="280"/>
              <w:spacing w:after="0" w:line="182" w:lineRule="exact"/>
              <w:rPr>
                <w:sz w:val="20"/>
                <w:szCs w:val="20"/>
                <w:color w:val="auto"/>
              </w:rPr>
            </w:pPr>
            <w:r>
              <w:rPr>
                <w:rFonts w:ascii="Arial" w:cs="Arial" w:eastAsia="Arial" w:hAnsi="Arial"/>
                <w:sz w:val="16"/>
                <w:szCs w:val="16"/>
                <w:color w:val="auto"/>
              </w:rPr>
              <w:t>compensation and equity awards from an executive officer if we restate</w:t>
            </w:r>
          </w:p>
        </w:tc>
      </w:tr>
      <w:tr>
        <w:trPr>
          <w:trHeight w:val="194"/>
        </w:trPr>
        <w:tc>
          <w:tcPr>
            <w:tcW w:w="3840" w:type="dxa"/>
            <w:vAlign w:val="bottom"/>
            <w:tcBorders>
              <w:bottom w:val="single" w:sz="8" w:color="284993"/>
            </w:tcBorders>
          </w:tcPr>
          <w:p>
            <w:pPr>
              <w:spacing w:after="0"/>
              <w:rPr>
                <w:sz w:val="16"/>
                <w:szCs w:val="16"/>
                <w:color w:val="auto"/>
              </w:rPr>
            </w:pPr>
          </w:p>
        </w:tc>
        <w:tc>
          <w:tcPr>
            <w:tcW w:w="5500" w:type="dxa"/>
            <w:vAlign w:val="bottom"/>
            <w:tcBorders>
              <w:bottom w:val="single" w:sz="8" w:color="284993"/>
            </w:tcBorders>
          </w:tcPr>
          <w:p>
            <w:pPr>
              <w:ind w:left="280"/>
              <w:spacing w:after="0"/>
              <w:rPr>
                <w:sz w:val="20"/>
                <w:szCs w:val="20"/>
                <w:color w:val="auto"/>
              </w:rPr>
            </w:pPr>
            <w:r>
              <w:rPr>
                <w:rFonts w:ascii="Arial" w:cs="Arial" w:eastAsia="Arial" w:hAnsi="Arial"/>
                <w:sz w:val="16"/>
                <w:szCs w:val="16"/>
                <w:color w:val="auto"/>
              </w:rPr>
              <w:t>our financial statements as required under the federal securities laws.</w:t>
            </w:r>
          </w:p>
        </w:tc>
      </w:tr>
      <w:tr>
        <w:trPr>
          <w:trHeight w:val="163"/>
        </w:trPr>
        <w:tc>
          <w:tcPr>
            <w:tcW w:w="3840" w:type="dxa"/>
            <w:vAlign w:val="bottom"/>
          </w:tcPr>
          <w:p>
            <w:pPr>
              <w:ind w:left="60"/>
              <w:spacing w:after="0" w:line="163" w:lineRule="exact"/>
              <w:rPr>
                <w:sz w:val="20"/>
                <w:szCs w:val="20"/>
                <w:color w:val="auto"/>
              </w:rPr>
            </w:pPr>
            <w:r>
              <w:rPr>
                <w:rFonts w:ascii="Arial" w:cs="Arial" w:eastAsia="Arial" w:hAnsi="Arial"/>
                <w:sz w:val="16"/>
                <w:szCs w:val="16"/>
                <w:b w:val="1"/>
                <w:bCs w:val="1"/>
                <w:color w:val="284993"/>
              </w:rPr>
              <w:t>•  Stock Ownership Guidelines</w:t>
            </w:r>
          </w:p>
        </w:tc>
        <w:tc>
          <w:tcPr>
            <w:tcW w:w="5500" w:type="dxa"/>
            <w:vAlign w:val="bottom"/>
          </w:tcPr>
          <w:p>
            <w:pPr>
              <w:ind w:left="280"/>
              <w:spacing w:after="0" w:line="163" w:lineRule="exact"/>
              <w:rPr>
                <w:sz w:val="20"/>
                <w:szCs w:val="20"/>
                <w:color w:val="auto"/>
              </w:rPr>
            </w:pPr>
            <w:r>
              <w:rPr>
                <w:rFonts w:ascii="Arial" w:cs="Arial" w:eastAsia="Arial" w:hAnsi="Arial"/>
                <w:sz w:val="16"/>
                <w:szCs w:val="16"/>
                <w:color w:val="auto"/>
              </w:rPr>
              <w:t>Our executive officers and the non-employee members of our Board</w:t>
            </w:r>
          </w:p>
        </w:tc>
      </w:tr>
      <w:tr>
        <w:trPr>
          <w:trHeight w:val="194"/>
        </w:trPr>
        <w:tc>
          <w:tcPr>
            <w:tcW w:w="3840" w:type="dxa"/>
            <w:vAlign w:val="bottom"/>
            <w:tcBorders>
              <w:bottom w:val="single" w:sz="8" w:color="284993"/>
            </w:tcBorders>
          </w:tcPr>
          <w:p>
            <w:pPr>
              <w:spacing w:after="0"/>
              <w:rPr>
                <w:sz w:val="16"/>
                <w:szCs w:val="16"/>
                <w:color w:val="auto"/>
              </w:rPr>
            </w:pPr>
          </w:p>
        </w:tc>
        <w:tc>
          <w:tcPr>
            <w:tcW w:w="5500" w:type="dxa"/>
            <w:vAlign w:val="bottom"/>
            <w:tcBorders>
              <w:bottom w:val="single" w:sz="8" w:color="284993"/>
            </w:tcBorders>
          </w:tcPr>
          <w:p>
            <w:pPr>
              <w:ind w:left="280"/>
              <w:spacing w:after="0"/>
              <w:rPr>
                <w:sz w:val="20"/>
                <w:szCs w:val="20"/>
                <w:color w:val="auto"/>
              </w:rPr>
            </w:pPr>
            <w:r>
              <w:rPr>
                <w:rFonts w:ascii="Arial" w:cs="Arial" w:eastAsia="Arial" w:hAnsi="Arial"/>
                <w:sz w:val="16"/>
                <w:szCs w:val="16"/>
                <w:color w:val="auto"/>
              </w:rPr>
              <w:t>are subject to robust stock ownership guidelines.</w:t>
            </w:r>
          </w:p>
        </w:tc>
      </w:tr>
      <w:tr>
        <w:trPr>
          <w:trHeight w:val="163"/>
        </w:trPr>
        <w:tc>
          <w:tcPr>
            <w:tcW w:w="3840" w:type="dxa"/>
            <w:vAlign w:val="bottom"/>
          </w:tcPr>
          <w:p>
            <w:pPr>
              <w:ind w:left="60"/>
              <w:spacing w:after="0" w:line="163" w:lineRule="exact"/>
              <w:rPr>
                <w:sz w:val="20"/>
                <w:szCs w:val="20"/>
                <w:color w:val="auto"/>
              </w:rPr>
            </w:pPr>
            <w:r>
              <w:rPr>
                <w:rFonts w:ascii="Arial" w:cs="Arial" w:eastAsia="Arial" w:hAnsi="Arial"/>
                <w:sz w:val="16"/>
                <w:szCs w:val="16"/>
                <w:b w:val="1"/>
                <w:bCs w:val="1"/>
                <w:color w:val="284993"/>
              </w:rPr>
              <w:t>•  Regular Stockholder Engagement</w:t>
            </w:r>
          </w:p>
        </w:tc>
        <w:tc>
          <w:tcPr>
            <w:tcW w:w="5500" w:type="dxa"/>
            <w:vAlign w:val="bottom"/>
          </w:tcPr>
          <w:p>
            <w:pPr>
              <w:ind w:left="280"/>
              <w:spacing w:after="0" w:line="163" w:lineRule="exact"/>
              <w:rPr>
                <w:sz w:val="20"/>
                <w:szCs w:val="20"/>
                <w:color w:val="auto"/>
              </w:rPr>
            </w:pPr>
            <w:r>
              <w:rPr>
                <w:rFonts w:ascii="Arial" w:cs="Arial" w:eastAsia="Arial" w:hAnsi="Arial"/>
                <w:sz w:val="16"/>
                <w:szCs w:val="16"/>
                <w:color w:val="auto"/>
              </w:rPr>
              <w:t>We conduct an annual stockholder advisory vote on the compensation</w:t>
            </w:r>
          </w:p>
        </w:tc>
      </w:tr>
      <w:tr>
        <w:trPr>
          <w:trHeight w:val="182"/>
        </w:trPr>
        <w:tc>
          <w:tcPr>
            <w:tcW w:w="3840" w:type="dxa"/>
            <w:vAlign w:val="bottom"/>
          </w:tcPr>
          <w:p>
            <w:pPr>
              <w:spacing w:after="0"/>
              <w:rPr>
                <w:sz w:val="15"/>
                <w:szCs w:val="15"/>
                <w:color w:val="auto"/>
              </w:rPr>
            </w:pPr>
          </w:p>
        </w:tc>
        <w:tc>
          <w:tcPr>
            <w:tcW w:w="5500" w:type="dxa"/>
            <w:vAlign w:val="bottom"/>
          </w:tcPr>
          <w:p>
            <w:pPr>
              <w:ind w:left="280"/>
              <w:spacing w:after="0" w:line="182" w:lineRule="exact"/>
              <w:rPr>
                <w:sz w:val="20"/>
                <w:szCs w:val="20"/>
                <w:color w:val="auto"/>
              </w:rPr>
            </w:pPr>
            <w:r>
              <w:rPr>
                <w:rFonts w:ascii="Arial" w:cs="Arial" w:eastAsia="Arial" w:hAnsi="Arial"/>
                <w:sz w:val="16"/>
                <w:szCs w:val="16"/>
                <w:color w:val="auto"/>
              </w:rPr>
              <w:t>of our Named Executive Officers and regularly discuss compensation-</w:t>
            </w:r>
          </w:p>
        </w:tc>
      </w:tr>
      <w:tr>
        <w:trPr>
          <w:trHeight w:val="194"/>
        </w:trPr>
        <w:tc>
          <w:tcPr>
            <w:tcW w:w="3840" w:type="dxa"/>
            <w:vAlign w:val="bottom"/>
            <w:tcBorders>
              <w:bottom w:val="single" w:sz="8" w:color="284993"/>
            </w:tcBorders>
          </w:tcPr>
          <w:p>
            <w:pPr>
              <w:spacing w:after="0"/>
              <w:rPr>
                <w:sz w:val="16"/>
                <w:szCs w:val="16"/>
                <w:color w:val="auto"/>
              </w:rPr>
            </w:pPr>
          </w:p>
        </w:tc>
        <w:tc>
          <w:tcPr>
            <w:tcW w:w="5500" w:type="dxa"/>
            <w:vAlign w:val="bottom"/>
            <w:tcBorders>
              <w:bottom w:val="single" w:sz="8" w:color="284993"/>
            </w:tcBorders>
          </w:tcPr>
          <w:p>
            <w:pPr>
              <w:ind w:left="280"/>
              <w:spacing w:after="0"/>
              <w:rPr>
                <w:sz w:val="20"/>
                <w:szCs w:val="20"/>
                <w:color w:val="auto"/>
              </w:rPr>
            </w:pPr>
            <w:r>
              <w:rPr>
                <w:rFonts w:ascii="Arial" w:cs="Arial" w:eastAsia="Arial" w:hAnsi="Arial"/>
                <w:sz w:val="16"/>
                <w:szCs w:val="16"/>
                <w:color w:val="auto"/>
              </w:rPr>
              <w:t>related matters with a significant percentage of our stockholders.</w:t>
            </w:r>
          </w:p>
        </w:tc>
      </w:tr>
      <w:tr>
        <w:trPr>
          <w:trHeight w:val="316"/>
        </w:trPr>
        <w:tc>
          <w:tcPr>
            <w:tcW w:w="3840" w:type="dxa"/>
            <w:vAlign w:val="bottom"/>
          </w:tcPr>
          <w:p>
            <w:pPr>
              <w:spacing w:after="0"/>
              <w:rPr>
                <w:sz w:val="24"/>
                <w:szCs w:val="24"/>
                <w:color w:val="auto"/>
              </w:rPr>
            </w:pPr>
          </w:p>
        </w:tc>
        <w:tc>
          <w:tcPr>
            <w:tcW w:w="5500" w:type="dxa"/>
            <w:vAlign w:val="bottom"/>
          </w:tcPr>
          <w:p>
            <w:pPr>
              <w:ind w:left="3600"/>
              <w:spacing w:after="0"/>
              <w:rPr>
                <w:sz w:val="20"/>
                <w:szCs w:val="20"/>
                <w:color w:val="auto"/>
              </w:rPr>
            </w:pPr>
            <w:r>
              <w:rPr>
                <w:rFonts w:ascii="Arial" w:cs="Arial" w:eastAsia="Arial" w:hAnsi="Arial"/>
                <w:sz w:val="14"/>
                <w:szCs w:val="14"/>
                <w:color w:val="auto"/>
                <w:w w:val="95"/>
              </w:rPr>
              <w:t>2024 PROXY STATEMENT</w:t>
            </w:r>
            <w:r>
              <w:rPr>
                <w:rFonts w:ascii="Arial" w:cs="Arial" w:eastAsia="Arial" w:hAnsi="Arial"/>
                <w:sz w:val="14"/>
                <w:szCs w:val="14"/>
                <w:b w:val="1"/>
                <w:bCs w:val="1"/>
                <w:color w:val="284993"/>
                <w:w w:val="95"/>
              </w:rPr>
              <w:t xml:space="preserve">  37</w:t>
            </w:r>
          </w:p>
        </w:tc>
      </w:tr>
    </w:tbl>
    <w:p>
      <w:pPr>
        <w:sectPr>
          <w:pgSz w:w="11900" w:h="16838" w:orient="portrait"/>
          <w:cols w:equalWidth="0" w:num="1">
            <w:col w:w="9360"/>
          </w:cols>
          <w:pgMar w:left="1260" w:top="292" w:right="1279" w:bottom="1440" w:gutter="0" w:footer="0" w:header="0"/>
        </w:sectPr>
      </w:pPr>
    </w:p>
    <w:bookmarkStart w:id="43" w:name="page44"/>
    <w:bookmarkEnd w:id="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84"/>
        </w:trPr>
        <w:tc>
          <w:tcPr>
            <w:tcW w:w="3480" w:type="dxa"/>
            <w:vAlign w:val="bottom"/>
            <w:shd w:val="clear" w:color="auto" w:fill="284993"/>
          </w:tcPr>
          <w:p>
            <w:pPr>
              <w:spacing w:after="0"/>
              <w:rPr>
                <w:sz w:val="16"/>
                <w:szCs w:val="16"/>
                <w:color w:val="auto"/>
              </w:rPr>
            </w:pPr>
          </w:p>
        </w:tc>
        <w:tc>
          <w:tcPr>
            <w:tcW w:w="5860" w:type="dxa"/>
            <w:vAlign w:val="bottom"/>
            <w:shd w:val="clear" w:color="auto" w:fill="284993"/>
          </w:tcPr>
          <w:p>
            <w:pPr>
              <w:ind w:left="2680"/>
              <w:spacing w:after="0"/>
              <w:rPr>
                <w:sz w:val="20"/>
                <w:szCs w:val="20"/>
                <w:color w:val="auto"/>
              </w:rPr>
            </w:pPr>
            <w:r>
              <w:rPr>
                <w:rFonts w:ascii="Arial" w:cs="Arial" w:eastAsia="Arial" w:hAnsi="Arial"/>
                <w:sz w:val="16"/>
                <w:szCs w:val="16"/>
                <w:b w:val="1"/>
                <w:bCs w:val="1"/>
                <w:color w:val="FFFFFF"/>
              </w:rPr>
              <w:t>What we do</w:t>
            </w:r>
          </w:p>
        </w:tc>
      </w:tr>
      <w:tr>
        <w:trPr>
          <w:trHeight w:val="183"/>
        </w:trPr>
        <w:tc>
          <w:tcPr>
            <w:tcW w:w="3480" w:type="dxa"/>
            <w:vAlign w:val="bottom"/>
          </w:tcPr>
          <w:p>
            <w:pPr>
              <w:ind w:left="60"/>
              <w:spacing w:after="0" w:line="183" w:lineRule="exact"/>
              <w:rPr>
                <w:sz w:val="20"/>
                <w:szCs w:val="20"/>
                <w:color w:val="auto"/>
              </w:rPr>
            </w:pPr>
            <w:r>
              <w:rPr>
                <w:rFonts w:ascii="Arial" w:cs="Arial" w:eastAsia="Arial" w:hAnsi="Arial"/>
                <w:sz w:val="16"/>
                <w:szCs w:val="16"/>
                <w:b w:val="1"/>
                <w:bCs w:val="1"/>
                <w:color w:val="284993"/>
              </w:rPr>
              <w:t>•  Annual Compensation Review</w:t>
            </w:r>
          </w:p>
        </w:tc>
        <w:tc>
          <w:tcPr>
            <w:tcW w:w="5860" w:type="dxa"/>
            <w:vAlign w:val="bottom"/>
          </w:tcPr>
          <w:p>
            <w:pPr>
              <w:ind w:left="640"/>
              <w:spacing w:after="0" w:line="183" w:lineRule="exact"/>
              <w:rPr>
                <w:sz w:val="20"/>
                <w:szCs w:val="20"/>
                <w:color w:val="auto"/>
              </w:rPr>
            </w:pPr>
            <w:r>
              <w:rPr>
                <w:rFonts w:ascii="Arial" w:cs="Arial" w:eastAsia="Arial" w:hAnsi="Arial"/>
                <w:sz w:val="16"/>
                <w:szCs w:val="16"/>
                <w:color w:val="auto"/>
              </w:rPr>
              <w:t>The Compensation Committee conducts an annual review of our</w:t>
            </w:r>
          </w:p>
        </w:tc>
      </w:tr>
      <w:tr>
        <w:trPr>
          <w:trHeight w:val="182"/>
        </w:trPr>
        <w:tc>
          <w:tcPr>
            <w:tcW w:w="3480" w:type="dxa"/>
            <w:vAlign w:val="bottom"/>
          </w:tcPr>
          <w:p>
            <w:pPr>
              <w:spacing w:after="0"/>
              <w:rPr>
                <w:sz w:val="15"/>
                <w:szCs w:val="15"/>
                <w:color w:val="auto"/>
              </w:rPr>
            </w:pPr>
          </w:p>
        </w:tc>
        <w:tc>
          <w:tcPr>
            <w:tcW w:w="5860" w:type="dxa"/>
            <w:vAlign w:val="bottom"/>
          </w:tcPr>
          <w:p>
            <w:pPr>
              <w:ind w:left="640"/>
              <w:spacing w:after="0" w:line="182" w:lineRule="exact"/>
              <w:rPr>
                <w:sz w:val="20"/>
                <w:szCs w:val="20"/>
                <w:color w:val="auto"/>
              </w:rPr>
            </w:pPr>
            <w:r>
              <w:rPr>
                <w:rFonts w:ascii="Arial" w:cs="Arial" w:eastAsia="Arial" w:hAnsi="Arial"/>
                <w:sz w:val="16"/>
                <w:szCs w:val="16"/>
                <w:color w:val="auto"/>
              </w:rPr>
              <w:t>compensation strategy and the specific compensation arrangements in</w:t>
            </w:r>
          </w:p>
        </w:tc>
      </w:tr>
      <w:tr>
        <w:trPr>
          <w:trHeight w:val="194"/>
        </w:trPr>
        <w:tc>
          <w:tcPr>
            <w:tcW w:w="3480" w:type="dxa"/>
            <w:vAlign w:val="bottom"/>
            <w:tcBorders>
              <w:bottom w:val="single" w:sz="8" w:color="284993"/>
            </w:tcBorders>
          </w:tcPr>
          <w:p>
            <w:pPr>
              <w:spacing w:after="0"/>
              <w:rPr>
                <w:sz w:val="16"/>
                <w:szCs w:val="16"/>
                <w:color w:val="auto"/>
              </w:rPr>
            </w:pPr>
          </w:p>
        </w:tc>
        <w:tc>
          <w:tcPr>
            <w:tcW w:w="5860" w:type="dxa"/>
            <w:vAlign w:val="bottom"/>
            <w:tcBorders>
              <w:bottom w:val="single" w:sz="8" w:color="284993"/>
            </w:tcBorders>
          </w:tcPr>
          <w:p>
            <w:pPr>
              <w:ind w:left="640"/>
              <w:spacing w:after="0"/>
              <w:rPr>
                <w:sz w:val="20"/>
                <w:szCs w:val="20"/>
                <w:color w:val="auto"/>
              </w:rPr>
            </w:pPr>
            <w:r>
              <w:rPr>
                <w:rFonts w:ascii="Arial" w:cs="Arial" w:eastAsia="Arial" w:hAnsi="Arial"/>
                <w:sz w:val="16"/>
                <w:szCs w:val="16"/>
                <w:color w:val="auto"/>
              </w:rPr>
              <w:t>place for each of our executive officers.</w:t>
            </w:r>
          </w:p>
        </w:tc>
      </w:tr>
      <w:tr>
        <w:trPr>
          <w:trHeight w:val="174"/>
        </w:trPr>
        <w:tc>
          <w:tcPr>
            <w:tcW w:w="3480" w:type="dxa"/>
            <w:vAlign w:val="bottom"/>
          </w:tcPr>
          <w:p>
            <w:pPr>
              <w:ind w:left="60"/>
              <w:spacing w:after="0" w:line="174" w:lineRule="exact"/>
              <w:rPr>
                <w:sz w:val="20"/>
                <w:szCs w:val="20"/>
                <w:color w:val="auto"/>
              </w:rPr>
            </w:pPr>
            <w:r>
              <w:rPr>
                <w:rFonts w:ascii="Arial" w:cs="Arial" w:eastAsia="Arial" w:hAnsi="Arial"/>
                <w:sz w:val="16"/>
                <w:szCs w:val="16"/>
                <w:b w:val="1"/>
                <w:bCs w:val="1"/>
                <w:color w:val="284993"/>
              </w:rPr>
              <w:t>•  Annual Compensation-Related Risk</w:t>
            </w:r>
          </w:p>
        </w:tc>
        <w:tc>
          <w:tcPr>
            <w:tcW w:w="5860" w:type="dxa"/>
            <w:vAlign w:val="bottom"/>
          </w:tcPr>
          <w:p>
            <w:pPr>
              <w:ind w:left="640"/>
              <w:spacing w:after="0" w:line="174" w:lineRule="exact"/>
              <w:rPr>
                <w:sz w:val="20"/>
                <w:szCs w:val="20"/>
                <w:color w:val="auto"/>
              </w:rPr>
            </w:pPr>
            <w:r>
              <w:rPr>
                <w:rFonts w:ascii="Arial" w:cs="Arial" w:eastAsia="Arial" w:hAnsi="Arial"/>
                <w:sz w:val="16"/>
                <w:szCs w:val="16"/>
                <w:color w:val="auto"/>
              </w:rPr>
              <w:t>The Compensation Committee regularly reviews our compensation-</w:t>
            </w:r>
          </w:p>
        </w:tc>
      </w:tr>
      <w:tr>
        <w:trPr>
          <w:trHeight w:val="196"/>
        </w:trPr>
        <w:tc>
          <w:tcPr>
            <w:tcW w:w="3480" w:type="dxa"/>
            <w:vAlign w:val="bottom"/>
            <w:tcBorders>
              <w:bottom w:val="single" w:sz="8" w:color="284993"/>
            </w:tcBorders>
          </w:tcPr>
          <w:p>
            <w:pPr>
              <w:ind w:left="220"/>
              <w:spacing w:after="0"/>
              <w:rPr>
                <w:sz w:val="20"/>
                <w:szCs w:val="20"/>
                <w:color w:val="auto"/>
              </w:rPr>
            </w:pPr>
            <w:r>
              <w:rPr>
                <w:rFonts w:ascii="Arial" w:cs="Arial" w:eastAsia="Arial" w:hAnsi="Arial"/>
                <w:sz w:val="16"/>
                <w:szCs w:val="16"/>
                <w:b w:val="1"/>
                <w:bCs w:val="1"/>
                <w:color w:val="284993"/>
              </w:rPr>
              <w:t>Assessment</w:t>
            </w:r>
          </w:p>
        </w:tc>
        <w:tc>
          <w:tcPr>
            <w:tcW w:w="5860" w:type="dxa"/>
            <w:vAlign w:val="bottom"/>
            <w:tcBorders>
              <w:bottom w:val="single" w:sz="8" w:color="284993"/>
            </w:tcBorders>
          </w:tcPr>
          <w:p>
            <w:pPr>
              <w:ind w:left="640"/>
              <w:spacing w:after="0"/>
              <w:rPr>
                <w:sz w:val="20"/>
                <w:szCs w:val="20"/>
                <w:color w:val="auto"/>
              </w:rPr>
            </w:pPr>
            <w:r>
              <w:rPr>
                <w:rFonts w:ascii="Arial" w:cs="Arial" w:eastAsia="Arial" w:hAnsi="Arial"/>
                <w:sz w:val="16"/>
                <w:szCs w:val="16"/>
                <w:color w:val="auto"/>
              </w:rPr>
              <w:t>related risk profile.</w:t>
            </w:r>
          </w:p>
        </w:tc>
      </w:tr>
      <w:tr>
        <w:trPr>
          <w:trHeight w:val="163"/>
        </w:trPr>
        <w:tc>
          <w:tcPr>
            <w:tcW w:w="3480" w:type="dxa"/>
            <w:vAlign w:val="bottom"/>
          </w:tcPr>
          <w:p>
            <w:pPr>
              <w:ind w:left="60"/>
              <w:spacing w:after="0" w:line="163" w:lineRule="exact"/>
              <w:rPr>
                <w:sz w:val="20"/>
                <w:szCs w:val="20"/>
                <w:color w:val="auto"/>
              </w:rPr>
            </w:pPr>
            <w:r>
              <w:rPr>
                <w:rFonts w:ascii="Arial" w:cs="Arial" w:eastAsia="Arial" w:hAnsi="Arial"/>
                <w:sz w:val="16"/>
                <w:szCs w:val="16"/>
                <w:b w:val="1"/>
                <w:bCs w:val="1"/>
                <w:color w:val="284993"/>
              </w:rPr>
              <w:t>•  Succession Planning</w:t>
            </w:r>
          </w:p>
        </w:tc>
        <w:tc>
          <w:tcPr>
            <w:tcW w:w="5860" w:type="dxa"/>
            <w:vAlign w:val="bottom"/>
          </w:tcPr>
          <w:p>
            <w:pPr>
              <w:ind w:left="640"/>
              <w:spacing w:after="0" w:line="163" w:lineRule="exact"/>
              <w:rPr>
                <w:sz w:val="20"/>
                <w:szCs w:val="20"/>
                <w:color w:val="auto"/>
              </w:rPr>
            </w:pPr>
            <w:r>
              <w:rPr>
                <w:rFonts w:ascii="Arial" w:cs="Arial" w:eastAsia="Arial" w:hAnsi="Arial"/>
                <w:sz w:val="16"/>
                <w:szCs w:val="16"/>
                <w:color w:val="auto"/>
              </w:rPr>
              <w:t>We have robust succession planning and executive assessment</w:t>
            </w:r>
          </w:p>
        </w:tc>
      </w:tr>
      <w:tr>
        <w:trPr>
          <w:trHeight w:val="194"/>
        </w:trPr>
        <w:tc>
          <w:tcPr>
            <w:tcW w:w="3480" w:type="dxa"/>
            <w:vAlign w:val="bottom"/>
            <w:tcBorders>
              <w:bottom w:val="single" w:sz="8" w:color="284993"/>
            </w:tcBorders>
          </w:tcPr>
          <w:p>
            <w:pPr>
              <w:spacing w:after="0"/>
              <w:rPr>
                <w:sz w:val="16"/>
                <w:szCs w:val="16"/>
                <w:color w:val="auto"/>
              </w:rPr>
            </w:pPr>
          </w:p>
        </w:tc>
        <w:tc>
          <w:tcPr>
            <w:tcW w:w="5860" w:type="dxa"/>
            <w:vAlign w:val="bottom"/>
            <w:tcBorders>
              <w:bottom w:val="single" w:sz="8" w:color="284993"/>
            </w:tcBorders>
          </w:tcPr>
          <w:p>
            <w:pPr>
              <w:ind w:left="640"/>
              <w:spacing w:after="0"/>
              <w:rPr>
                <w:sz w:val="20"/>
                <w:szCs w:val="20"/>
                <w:color w:val="auto"/>
              </w:rPr>
            </w:pPr>
            <w:r>
              <w:rPr>
                <w:rFonts w:ascii="Arial" w:cs="Arial" w:eastAsia="Arial" w:hAnsi="Arial"/>
                <w:sz w:val="16"/>
                <w:szCs w:val="16"/>
                <w:color w:val="auto"/>
              </w:rPr>
              <w:t>processes to ensure succession plans are in place.</w:t>
            </w:r>
          </w:p>
        </w:tc>
      </w:tr>
      <w:tr>
        <w:trPr>
          <w:trHeight w:val="163"/>
        </w:trPr>
        <w:tc>
          <w:tcPr>
            <w:tcW w:w="3480" w:type="dxa"/>
            <w:vAlign w:val="bottom"/>
          </w:tcPr>
          <w:p>
            <w:pPr>
              <w:ind w:left="60"/>
              <w:spacing w:after="0" w:line="163" w:lineRule="exact"/>
              <w:rPr>
                <w:sz w:val="20"/>
                <w:szCs w:val="20"/>
                <w:color w:val="auto"/>
              </w:rPr>
            </w:pPr>
            <w:r>
              <w:rPr>
                <w:rFonts w:ascii="Arial" w:cs="Arial" w:eastAsia="Arial" w:hAnsi="Arial"/>
                <w:sz w:val="16"/>
                <w:szCs w:val="16"/>
                <w:b w:val="1"/>
                <w:bCs w:val="1"/>
                <w:color w:val="284993"/>
              </w:rPr>
              <w:t>•  Balanced Incentive Compensation</w:t>
            </w:r>
          </w:p>
        </w:tc>
        <w:tc>
          <w:tcPr>
            <w:tcW w:w="5860" w:type="dxa"/>
            <w:vAlign w:val="bottom"/>
          </w:tcPr>
          <w:p>
            <w:pPr>
              <w:ind w:left="640"/>
              <w:spacing w:after="0" w:line="163" w:lineRule="exact"/>
              <w:rPr>
                <w:sz w:val="20"/>
                <w:szCs w:val="20"/>
                <w:color w:val="auto"/>
              </w:rPr>
            </w:pPr>
            <w:r>
              <w:rPr>
                <w:rFonts w:ascii="Arial" w:cs="Arial" w:eastAsia="Arial" w:hAnsi="Arial"/>
                <w:sz w:val="16"/>
                <w:szCs w:val="16"/>
                <w:color w:val="auto"/>
              </w:rPr>
              <w:t>We have a balance of time horizons and performance metrics for our</w:t>
            </w:r>
          </w:p>
        </w:tc>
      </w:tr>
      <w:tr>
        <w:trPr>
          <w:trHeight w:val="182"/>
        </w:trPr>
        <w:tc>
          <w:tcPr>
            <w:tcW w:w="3480" w:type="dxa"/>
            <w:vAlign w:val="bottom"/>
          </w:tcPr>
          <w:p>
            <w:pPr>
              <w:spacing w:after="0"/>
              <w:rPr>
                <w:sz w:val="15"/>
                <w:szCs w:val="15"/>
                <w:color w:val="auto"/>
              </w:rPr>
            </w:pPr>
          </w:p>
        </w:tc>
        <w:tc>
          <w:tcPr>
            <w:tcW w:w="5860" w:type="dxa"/>
            <w:vAlign w:val="bottom"/>
          </w:tcPr>
          <w:p>
            <w:pPr>
              <w:ind w:left="640"/>
              <w:spacing w:after="0" w:line="182" w:lineRule="exact"/>
              <w:rPr>
                <w:sz w:val="20"/>
                <w:szCs w:val="20"/>
                <w:color w:val="auto"/>
              </w:rPr>
            </w:pPr>
            <w:r>
              <w:rPr>
                <w:rFonts w:ascii="Arial" w:cs="Arial" w:eastAsia="Arial" w:hAnsi="Arial"/>
                <w:sz w:val="16"/>
                <w:szCs w:val="16"/>
                <w:color w:val="auto"/>
              </w:rPr>
              <w:t>incentive awards, including an annual cash incentive compensation</w:t>
            </w:r>
          </w:p>
        </w:tc>
      </w:tr>
      <w:tr>
        <w:trPr>
          <w:trHeight w:val="182"/>
        </w:trPr>
        <w:tc>
          <w:tcPr>
            <w:tcW w:w="3480" w:type="dxa"/>
            <w:vAlign w:val="bottom"/>
          </w:tcPr>
          <w:p>
            <w:pPr>
              <w:spacing w:after="0"/>
              <w:rPr>
                <w:sz w:val="15"/>
                <w:szCs w:val="15"/>
                <w:color w:val="auto"/>
              </w:rPr>
            </w:pPr>
          </w:p>
        </w:tc>
        <w:tc>
          <w:tcPr>
            <w:tcW w:w="5860" w:type="dxa"/>
            <w:vAlign w:val="bottom"/>
          </w:tcPr>
          <w:p>
            <w:pPr>
              <w:ind w:left="640"/>
              <w:spacing w:after="0" w:line="182" w:lineRule="exact"/>
              <w:rPr>
                <w:sz w:val="20"/>
                <w:szCs w:val="20"/>
                <w:color w:val="auto"/>
              </w:rPr>
            </w:pPr>
            <w:r>
              <w:rPr>
                <w:rFonts w:ascii="Arial" w:cs="Arial" w:eastAsia="Arial" w:hAnsi="Arial"/>
                <w:sz w:val="16"/>
                <w:szCs w:val="16"/>
                <w:color w:val="auto"/>
              </w:rPr>
              <w:t>plan, multi-year performance periods for our long-term incentive</w:t>
            </w:r>
          </w:p>
        </w:tc>
      </w:tr>
      <w:tr>
        <w:trPr>
          <w:trHeight w:val="182"/>
        </w:trPr>
        <w:tc>
          <w:tcPr>
            <w:tcW w:w="3480" w:type="dxa"/>
            <w:vAlign w:val="bottom"/>
          </w:tcPr>
          <w:p>
            <w:pPr>
              <w:spacing w:after="0"/>
              <w:rPr>
                <w:sz w:val="15"/>
                <w:szCs w:val="15"/>
                <w:color w:val="auto"/>
              </w:rPr>
            </w:pPr>
          </w:p>
        </w:tc>
        <w:tc>
          <w:tcPr>
            <w:tcW w:w="5860" w:type="dxa"/>
            <w:vAlign w:val="bottom"/>
          </w:tcPr>
          <w:p>
            <w:pPr>
              <w:ind w:left="640"/>
              <w:spacing w:after="0" w:line="182" w:lineRule="exact"/>
              <w:rPr>
                <w:sz w:val="20"/>
                <w:szCs w:val="20"/>
                <w:color w:val="auto"/>
              </w:rPr>
            </w:pPr>
            <w:r>
              <w:rPr>
                <w:rFonts w:ascii="Arial" w:cs="Arial" w:eastAsia="Arial" w:hAnsi="Arial"/>
                <w:sz w:val="16"/>
                <w:szCs w:val="16"/>
                <w:color w:val="auto"/>
              </w:rPr>
              <w:t>program (“LTIP”) PSUs, and a three-year vesting period for our</w:t>
            </w:r>
          </w:p>
        </w:tc>
      </w:tr>
      <w:tr>
        <w:trPr>
          <w:trHeight w:val="194"/>
        </w:trPr>
        <w:tc>
          <w:tcPr>
            <w:tcW w:w="3480" w:type="dxa"/>
            <w:vAlign w:val="bottom"/>
            <w:tcBorders>
              <w:bottom w:val="single" w:sz="8" w:color="284993"/>
            </w:tcBorders>
          </w:tcPr>
          <w:p>
            <w:pPr>
              <w:spacing w:after="0"/>
              <w:rPr>
                <w:sz w:val="16"/>
                <w:szCs w:val="16"/>
                <w:color w:val="auto"/>
              </w:rPr>
            </w:pPr>
          </w:p>
        </w:tc>
        <w:tc>
          <w:tcPr>
            <w:tcW w:w="5860" w:type="dxa"/>
            <w:vAlign w:val="bottom"/>
            <w:tcBorders>
              <w:bottom w:val="single" w:sz="8" w:color="284993"/>
            </w:tcBorders>
          </w:tcPr>
          <w:p>
            <w:pPr>
              <w:ind w:left="640"/>
              <w:spacing w:after="0"/>
              <w:rPr>
                <w:sz w:val="20"/>
                <w:szCs w:val="20"/>
                <w:color w:val="auto"/>
              </w:rPr>
            </w:pPr>
            <w:r>
              <w:rPr>
                <w:rFonts w:ascii="Arial" w:cs="Arial" w:eastAsia="Arial" w:hAnsi="Arial"/>
                <w:sz w:val="16"/>
                <w:szCs w:val="16"/>
                <w:color w:val="auto"/>
              </w:rPr>
              <w:t>restricted share unit (“RSU”) awards.</w:t>
            </w:r>
          </w:p>
        </w:tc>
      </w:tr>
    </w:tbl>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220" w:type="dxa"/>
            <w:vAlign w:val="bottom"/>
            <w:shd w:val="clear" w:color="auto" w:fill="284993"/>
          </w:tcPr>
          <w:p>
            <w:pPr>
              <w:spacing w:after="0"/>
              <w:rPr>
                <w:sz w:val="16"/>
                <w:szCs w:val="16"/>
                <w:color w:val="auto"/>
              </w:rPr>
            </w:pPr>
          </w:p>
        </w:tc>
        <w:tc>
          <w:tcPr>
            <w:tcW w:w="6120" w:type="dxa"/>
            <w:vAlign w:val="bottom"/>
            <w:shd w:val="clear" w:color="auto" w:fill="284993"/>
          </w:tcPr>
          <w:p>
            <w:pPr>
              <w:ind w:left="2720"/>
              <w:spacing w:after="0"/>
              <w:rPr>
                <w:sz w:val="20"/>
                <w:szCs w:val="20"/>
                <w:color w:val="auto"/>
              </w:rPr>
            </w:pPr>
            <w:r>
              <w:rPr>
                <w:rFonts w:ascii="Arial" w:cs="Arial" w:eastAsia="Arial" w:hAnsi="Arial"/>
                <w:sz w:val="16"/>
                <w:szCs w:val="16"/>
                <w:b w:val="1"/>
                <w:bCs w:val="1"/>
                <w:color w:val="FFFFFF"/>
              </w:rPr>
              <w:t>What we don’t do</w:t>
            </w:r>
          </w:p>
        </w:tc>
      </w:tr>
      <w:tr>
        <w:trPr>
          <w:trHeight w:val="183"/>
        </w:trPr>
        <w:tc>
          <w:tcPr>
            <w:tcW w:w="3220" w:type="dxa"/>
            <w:vAlign w:val="bottom"/>
          </w:tcPr>
          <w:p>
            <w:pPr>
              <w:ind w:left="60"/>
              <w:spacing w:after="0" w:line="183" w:lineRule="exact"/>
              <w:rPr>
                <w:sz w:val="20"/>
                <w:szCs w:val="20"/>
                <w:color w:val="auto"/>
              </w:rPr>
            </w:pPr>
            <w:r>
              <w:rPr>
                <w:rFonts w:ascii="Arial" w:cs="Arial" w:eastAsia="Arial" w:hAnsi="Arial"/>
                <w:sz w:val="16"/>
                <w:szCs w:val="16"/>
                <w:b w:val="1"/>
                <w:bCs w:val="1"/>
                <w:color w:val="284993"/>
              </w:rPr>
              <w:t>•  No Special Retirement Plans</w:t>
            </w:r>
          </w:p>
        </w:tc>
        <w:tc>
          <w:tcPr>
            <w:tcW w:w="6120" w:type="dxa"/>
            <w:vAlign w:val="bottom"/>
          </w:tcPr>
          <w:p>
            <w:pPr>
              <w:ind w:left="900"/>
              <w:spacing w:after="0" w:line="183" w:lineRule="exact"/>
              <w:rPr>
                <w:sz w:val="20"/>
                <w:szCs w:val="20"/>
                <w:color w:val="auto"/>
              </w:rPr>
            </w:pPr>
            <w:r>
              <w:rPr>
                <w:rFonts w:ascii="Arial" w:cs="Arial" w:eastAsia="Arial" w:hAnsi="Arial"/>
                <w:sz w:val="16"/>
                <w:szCs w:val="16"/>
                <w:color w:val="auto"/>
              </w:rPr>
              <w:t>We do not currently offer pension arrangements or retirement plans to</w:t>
            </w:r>
          </w:p>
        </w:tc>
      </w:tr>
      <w:tr>
        <w:trPr>
          <w:trHeight w:val="182"/>
        </w:trPr>
        <w:tc>
          <w:tcPr>
            <w:tcW w:w="3220" w:type="dxa"/>
            <w:vAlign w:val="bottom"/>
          </w:tcPr>
          <w:p>
            <w:pPr>
              <w:spacing w:after="0"/>
              <w:rPr>
                <w:sz w:val="15"/>
                <w:szCs w:val="15"/>
                <w:color w:val="auto"/>
              </w:rPr>
            </w:pPr>
          </w:p>
        </w:tc>
        <w:tc>
          <w:tcPr>
            <w:tcW w:w="6120" w:type="dxa"/>
            <w:vAlign w:val="bottom"/>
          </w:tcPr>
          <w:p>
            <w:pPr>
              <w:ind w:left="900"/>
              <w:spacing w:after="0" w:line="182" w:lineRule="exact"/>
              <w:rPr>
                <w:sz w:val="20"/>
                <w:szCs w:val="20"/>
                <w:color w:val="auto"/>
              </w:rPr>
            </w:pPr>
            <w:r>
              <w:rPr>
                <w:rFonts w:ascii="Arial" w:cs="Arial" w:eastAsia="Arial" w:hAnsi="Arial"/>
                <w:sz w:val="16"/>
                <w:szCs w:val="16"/>
                <w:color w:val="auto"/>
              </w:rPr>
              <w:t>our Named Executive Officers other than the section 401(k) retirement</w:t>
            </w:r>
          </w:p>
        </w:tc>
      </w:tr>
      <w:tr>
        <w:trPr>
          <w:trHeight w:val="182"/>
        </w:trPr>
        <w:tc>
          <w:tcPr>
            <w:tcW w:w="3220" w:type="dxa"/>
            <w:vAlign w:val="bottom"/>
          </w:tcPr>
          <w:p>
            <w:pPr>
              <w:spacing w:after="0"/>
              <w:rPr>
                <w:sz w:val="15"/>
                <w:szCs w:val="15"/>
                <w:color w:val="auto"/>
              </w:rPr>
            </w:pPr>
          </w:p>
        </w:tc>
        <w:tc>
          <w:tcPr>
            <w:tcW w:w="6120" w:type="dxa"/>
            <w:vAlign w:val="bottom"/>
          </w:tcPr>
          <w:p>
            <w:pPr>
              <w:ind w:left="900"/>
              <w:spacing w:after="0" w:line="182" w:lineRule="exact"/>
              <w:rPr>
                <w:sz w:val="20"/>
                <w:szCs w:val="20"/>
                <w:color w:val="auto"/>
              </w:rPr>
            </w:pPr>
            <w:r>
              <w:rPr>
                <w:rFonts w:ascii="Arial" w:cs="Arial" w:eastAsia="Arial" w:hAnsi="Arial"/>
                <w:sz w:val="16"/>
                <w:szCs w:val="16"/>
                <w:color w:val="auto"/>
              </w:rPr>
              <w:t>plan that is available to all U.S. employees, although we do provide our</w:t>
            </w:r>
          </w:p>
        </w:tc>
      </w:tr>
      <w:tr>
        <w:trPr>
          <w:trHeight w:val="182"/>
        </w:trPr>
        <w:tc>
          <w:tcPr>
            <w:tcW w:w="3220" w:type="dxa"/>
            <w:vAlign w:val="bottom"/>
          </w:tcPr>
          <w:p>
            <w:pPr>
              <w:spacing w:after="0"/>
              <w:rPr>
                <w:sz w:val="15"/>
                <w:szCs w:val="15"/>
                <w:color w:val="auto"/>
              </w:rPr>
            </w:pPr>
          </w:p>
        </w:tc>
        <w:tc>
          <w:tcPr>
            <w:tcW w:w="6120" w:type="dxa"/>
            <w:vAlign w:val="bottom"/>
          </w:tcPr>
          <w:p>
            <w:pPr>
              <w:ind w:left="900"/>
              <w:spacing w:after="0" w:line="182" w:lineRule="exact"/>
              <w:rPr>
                <w:sz w:val="20"/>
                <w:szCs w:val="20"/>
                <w:color w:val="auto"/>
              </w:rPr>
            </w:pPr>
            <w:r>
              <w:rPr>
                <w:rFonts w:ascii="Arial" w:cs="Arial" w:eastAsia="Arial" w:hAnsi="Arial"/>
                <w:sz w:val="16"/>
                <w:szCs w:val="16"/>
                <w:color w:val="auto"/>
              </w:rPr>
              <w:t>executives with the ability to defer a portion of their compensation to be</w:t>
            </w:r>
          </w:p>
        </w:tc>
      </w:tr>
      <w:tr>
        <w:trPr>
          <w:trHeight w:val="194"/>
        </w:trPr>
        <w:tc>
          <w:tcPr>
            <w:tcW w:w="3220" w:type="dxa"/>
            <w:vAlign w:val="bottom"/>
            <w:tcBorders>
              <w:bottom w:val="single" w:sz="8" w:color="284993"/>
            </w:tcBorders>
          </w:tcPr>
          <w:p>
            <w:pPr>
              <w:spacing w:after="0"/>
              <w:rPr>
                <w:sz w:val="16"/>
                <w:szCs w:val="16"/>
                <w:color w:val="auto"/>
              </w:rPr>
            </w:pPr>
          </w:p>
        </w:tc>
        <w:tc>
          <w:tcPr>
            <w:tcW w:w="6120" w:type="dxa"/>
            <w:vAlign w:val="bottom"/>
            <w:tcBorders>
              <w:bottom w:val="single" w:sz="8" w:color="284993"/>
            </w:tcBorders>
          </w:tcPr>
          <w:p>
            <w:pPr>
              <w:ind w:left="900"/>
              <w:spacing w:after="0"/>
              <w:rPr>
                <w:sz w:val="20"/>
                <w:szCs w:val="20"/>
                <w:color w:val="auto"/>
              </w:rPr>
            </w:pPr>
            <w:r>
              <w:rPr>
                <w:rFonts w:ascii="Arial" w:cs="Arial" w:eastAsia="Arial" w:hAnsi="Arial"/>
                <w:sz w:val="16"/>
                <w:szCs w:val="16"/>
                <w:color w:val="auto"/>
              </w:rPr>
              <w:t>paid at the end of their service with us.</w:t>
            </w:r>
          </w:p>
        </w:tc>
      </w:tr>
      <w:tr>
        <w:trPr>
          <w:trHeight w:val="163"/>
        </w:trPr>
        <w:tc>
          <w:tcPr>
            <w:tcW w:w="3220" w:type="dxa"/>
            <w:vAlign w:val="bottom"/>
          </w:tcPr>
          <w:p>
            <w:pPr>
              <w:ind w:left="60"/>
              <w:spacing w:after="0" w:line="163" w:lineRule="exact"/>
              <w:rPr>
                <w:sz w:val="20"/>
                <w:szCs w:val="20"/>
                <w:color w:val="auto"/>
              </w:rPr>
            </w:pPr>
            <w:r>
              <w:rPr>
                <w:rFonts w:ascii="Arial" w:cs="Arial" w:eastAsia="Arial" w:hAnsi="Arial"/>
                <w:sz w:val="16"/>
                <w:szCs w:val="16"/>
                <w:b w:val="1"/>
                <w:bCs w:val="1"/>
                <w:color w:val="284993"/>
              </w:rPr>
              <w:t>•  No Guaranteed Bonuses</w:t>
            </w:r>
          </w:p>
        </w:tc>
        <w:tc>
          <w:tcPr>
            <w:tcW w:w="6120" w:type="dxa"/>
            <w:vAlign w:val="bottom"/>
          </w:tcPr>
          <w:p>
            <w:pPr>
              <w:ind w:left="900"/>
              <w:spacing w:after="0" w:line="163" w:lineRule="exact"/>
              <w:rPr>
                <w:sz w:val="20"/>
                <w:szCs w:val="20"/>
                <w:color w:val="auto"/>
              </w:rPr>
            </w:pPr>
            <w:r>
              <w:rPr>
                <w:rFonts w:ascii="Arial" w:cs="Arial" w:eastAsia="Arial" w:hAnsi="Arial"/>
                <w:sz w:val="16"/>
                <w:szCs w:val="16"/>
                <w:color w:val="auto"/>
              </w:rPr>
              <w:t>We do not provide guaranteed bonuses to our executive officers,</w:t>
            </w:r>
          </w:p>
        </w:tc>
      </w:tr>
      <w:tr>
        <w:trPr>
          <w:trHeight w:val="194"/>
        </w:trPr>
        <w:tc>
          <w:tcPr>
            <w:tcW w:w="3220" w:type="dxa"/>
            <w:vAlign w:val="bottom"/>
            <w:tcBorders>
              <w:bottom w:val="single" w:sz="8" w:color="284993"/>
            </w:tcBorders>
          </w:tcPr>
          <w:p>
            <w:pPr>
              <w:spacing w:after="0"/>
              <w:rPr>
                <w:sz w:val="16"/>
                <w:szCs w:val="16"/>
                <w:color w:val="auto"/>
              </w:rPr>
            </w:pPr>
          </w:p>
        </w:tc>
        <w:tc>
          <w:tcPr>
            <w:tcW w:w="6120" w:type="dxa"/>
            <w:vAlign w:val="bottom"/>
            <w:tcBorders>
              <w:bottom w:val="single" w:sz="8" w:color="284993"/>
            </w:tcBorders>
          </w:tcPr>
          <w:p>
            <w:pPr>
              <w:ind w:left="900"/>
              <w:spacing w:after="0"/>
              <w:rPr>
                <w:sz w:val="20"/>
                <w:szCs w:val="20"/>
                <w:color w:val="auto"/>
              </w:rPr>
            </w:pPr>
            <w:r>
              <w:rPr>
                <w:rFonts w:ascii="Arial" w:cs="Arial" w:eastAsia="Arial" w:hAnsi="Arial"/>
                <w:sz w:val="16"/>
                <w:szCs w:val="16"/>
                <w:color w:val="auto"/>
              </w:rPr>
              <w:t>except for new hire sign-on bonuses that help us attract key executives.</w:t>
            </w:r>
          </w:p>
        </w:tc>
      </w:tr>
      <w:tr>
        <w:trPr>
          <w:trHeight w:val="163"/>
        </w:trPr>
        <w:tc>
          <w:tcPr>
            <w:tcW w:w="3220" w:type="dxa"/>
            <w:vAlign w:val="bottom"/>
          </w:tcPr>
          <w:p>
            <w:pPr>
              <w:ind w:left="60"/>
              <w:spacing w:after="0" w:line="163" w:lineRule="exact"/>
              <w:rPr>
                <w:sz w:val="20"/>
                <w:szCs w:val="20"/>
                <w:color w:val="auto"/>
              </w:rPr>
            </w:pPr>
            <w:r>
              <w:rPr>
                <w:rFonts w:ascii="Arial" w:cs="Arial" w:eastAsia="Arial" w:hAnsi="Arial"/>
                <w:sz w:val="16"/>
                <w:szCs w:val="16"/>
                <w:b w:val="1"/>
                <w:bCs w:val="1"/>
                <w:color w:val="284993"/>
              </w:rPr>
              <w:t>•  No Stock Option Re-Pricing</w:t>
            </w:r>
          </w:p>
        </w:tc>
        <w:tc>
          <w:tcPr>
            <w:tcW w:w="6120" w:type="dxa"/>
            <w:vAlign w:val="bottom"/>
          </w:tcPr>
          <w:p>
            <w:pPr>
              <w:ind w:left="900"/>
              <w:spacing w:after="0" w:line="163" w:lineRule="exact"/>
              <w:rPr>
                <w:sz w:val="20"/>
                <w:szCs w:val="20"/>
                <w:color w:val="auto"/>
              </w:rPr>
            </w:pPr>
            <w:r>
              <w:rPr>
                <w:rFonts w:ascii="Arial" w:cs="Arial" w:eastAsia="Arial" w:hAnsi="Arial"/>
                <w:sz w:val="16"/>
                <w:szCs w:val="16"/>
                <w:color w:val="auto"/>
              </w:rPr>
              <w:t>Our equity compensation plan does not permit stock options or stock</w:t>
            </w:r>
          </w:p>
        </w:tc>
      </w:tr>
      <w:tr>
        <w:trPr>
          <w:trHeight w:val="182"/>
        </w:trPr>
        <w:tc>
          <w:tcPr>
            <w:tcW w:w="3220" w:type="dxa"/>
            <w:vAlign w:val="bottom"/>
          </w:tcPr>
          <w:p>
            <w:pPr>
              <w:spacing w:after="0"/>
              <w:rPr>
                <w:sz w:val="15"/>
                <w:szCs w:val="15"/>
                <w:color w:val="auto"/>
              </w:rPr>
            </w:pPr>
          </w:p>
        </w:tc>
        <w:tc>
          <w:tcPr>
            <w:tcW w:w="6120" w:type="dxa"/>
            <w:vAlign w:val="bottom"/>
          </w:tcPr>
          <w:p>
            <w:pPr>
              <w:ind w:left="900"/>
              <w:spacing w:after="0" w:line="182" w:lineRule="exact"/>
              <w:rPr>
                <w:sz w:val="20"/>
                <w:szCs w:val="20"/>
                <w:color w:val="auto"/>
              </w:rPr>
            </w:pPr>
            <w:r>
              <w:rPr>
                <w:rFonts w:ascii="Arial" w:cs="Arial" w:eastAsia="Arial" w:hAnsi="Arial"/>
                <w:sz w:val="16"/>
                <w:szCs w:val="16"/>
                <w:color w:val="auto"/>
              </w:rPr>
              <w:t>appreciation rights to be repriced to a lower exercise or strike price</w:t>
            </w:r>
          </w:p>
        </w:tc>
      </w:tr>
      <w:tr>
        <w:trPr>
          <w:trHeight w:val="205"/>
        </w:trPr>
        <w:tc>
          <w:tcPr>
            <w:tcW w:w="3220" w:type="dxa"/>
            <w:vAlign w:val="bottom"/>
          </w:tcPr>
          <w:p>
            <w:pPr>
              <w:spacing w:after="0"/>
              <w:rPr>
                <w:sz w:val="17"/>
                <w:szCs w:val="17"/>
                <w:color w:val="auto"/>
              </w:rPr>
            </w:pPr>
          </w:p>
        </w:tc>
        <w:tc>
          <w:tcPr>
            <w:tcW w:w="6120" w:type="dxa"/>
            <w:vAlign w:val="bottom"/>
          </w:tcPr>
          <w:p>
            <w:pPr>
              <w:ind w:left="900"/>
              <w:spacing w:after="0"/>
              <w:rPr>
                <w:sz w:val="20"/>
                <w:szCs w:val="20"/>
                <w:color w:val="auto"/>
              </w:rPr>
            </w:pPr>
            <w:r>
              <w:rPr>
                <w:rFonts w:ascii="Arial" w:cs="Arial" w:eastAsia="Arial" w:hAnsi="Arial"/>
                <w:sz w:val="16"/>
                <w:szCs w:val="16"/>
                <w:color w:val="auto"/>
              </w:rPr>
              <w:t>without the approval of our stockholders.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-6350</wp:posOffset>
            </wp:positionV>
            <wp:extent cx="59410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ectPr>
          <w:pgSz w:w="11900" w:h="16838" w:orient="portrait"/>
          <w:cols w:equalWidth="0" w:num="1">
            <w:col w:w="9360"/>
          </w:cols>
          <w:pgMar w:left="1260" w:top="306" w:right="1279" w:bottom="1440" w:gutter="0" w:footer="0" w:header="0"/>
        </w:sectPr>
      </w:pPr>
    </w:p>
    <w:p>
      <w:pPr>
        <w:ind w:left="240" w:hanging="155"/>
        <w:spacing w:after="0" w:line="262" w:lineRule="auto"/>
        <w:rPr>
          <w:sz w:val="20"/>
          <w:szCs w:val="20"/>
          <w:color w:val="auto"/>
        </w:rPr>
      </w:pPr>
      <w:r>
        <w:rPr>
          <w:rFonts w:ascii="Arial" w:cs="Arial" w:eastAsia="Arial" w:hAnsi="Arial"/>
          <w:sz w:val="16"/>
          <w:szCs w:val="16"/>
          <w:b w:val="1"/>
          <w:bCs w:val="1"/>
          <w:color w:val="284993"/>
        </w:rPr>
        <w:t>•  No Significant Perquisites, Welfare or Health Benefits or Other Personal Benefits</w:t>
      </w:r>
    </w:p>
    <w:p>
      <w:pPr>
        <w:spacing w:after="0" w:line="20" w:lineRule="exact"/>
        <w:rPr>
          <w:sz w:val="20"/>
          <w:szCs w:val="20"/>
          <w:color w:val="auto"/>
        </w:rPr>
      </w:pPr>
      <w:r>
        <w:rPr>
          <w:sz w:val="20"/>
          <w:szCs w:val="20"/>
          <w:color w:val="auto"/>
        </w:rPr>
        <w:br w:type="column"/>
      </w:r>
    </w:p>
    <w:p>
      <w:pPr>
        <w:ind w:right="460"/>
        <w:spacing w:after="0" w:line="237" w:lineRule="auto"/>
        <w:rPr>
          <w:sz w:val="20"/>
          <w:szCs w:val="20"/>
          <w:color w:val="auto"/>
        </w:rPr>
      </w:pPr>
      <w:r>
        <w:rPr>
          <w:rFonts w:ascii="Arial" w:cs="Arial" w:eastAsia="Arial" w:hAnsi="Arial"/>
          <w:sz w:val="16"/>
          <w:szCs w:val="16"/>
          <w:color w:val="auto"/>
        </w:rPr>
        <w:t>In 2023, we did not provide our Named Executive Officers with any perquisites or other personal benefits that are not available to our employees generally, except for an annual executive health check-up introduced in 2022.</w:t>
      </w:r>
    </w:p>
    <w:p>
      <w:pPr>
        <w:spacing w:after="0" w:line="3" w:lineRule="exact"/>
        <w:rPr>
          <w:sz w:val="20"/>
          <w:szCs w:val="20"/>
          <w:color w:val="auto"/>
        </w:rPr>
      </w:pPr>
    </w:p>
    <w:p>
      <w:pPr>
        <w:sectPr>
          <w:pgSz w:w="11900" w:h="16838" w:orient="portrait"/>
          <w:cols w:equalWidth="0" w:num="2">
            <w:col w:w="3520" w:space="620"/>
            <w:col w:w="5220"/>
          </w:cols>
          <w:pgMar w:left="1260" w:top="306" w:right="1279" w:bottom="1440" w:gutter="0" w:footer="0" w:header="0"/>
          <w:type w:val="continuous"/>
        </w:sectPr>
      </w:pPr>
    </w:p>
    <w:tbl>
      <w:tblPr>
        <w:tblLayout w:type="fixed"/>
        <w:tblInd w:w="20" w:type="dxa"/>
        <w:tblCellMar>
          <w:top w:w="0" w:type="dxa"/>
          <w:left w:w="0" w:type="dxa"/>
          <w:bottom w:w="0" w:type="dxa"/>
          <w:right w:w="0" w:type="dxa"/>
        </w:tblCellMar>
      </w:tblPr>
      <w:tr>
        <w:trPr>
          <w:trHeight w:val="161"/>
        </w:trPr>
        <w:tc>
          <w:tcPr>
            <w:tcW w:w="3880" w:type="dxa"/>
            <w:vAlign w:val="bottom"/>
            <w:tcBorders>
              <w:top w:val="single" w:sz="8" w:color="284993"/>
            </w:tcBorders>
          </w:tcPr>
          <w:p>
            <w:pPr>
              <w:ind w:left="60"/>
              <w:spacing w:after="0" w:line="161" w:lineRule="exact"/>
              <w:rPr>
                <w:sz w:val="20"/>
                <w:szCs w:val="20"/>
                <w:color w:val="auto"/>
              </w:rPr>
            </w:pPr>
            <w:r>
              <w:rPr>
                <w:rFonts w:ascii="Arial" w:cs="Arial" w:eastAsia="Arial" w:hAnsi="Arial"/>
                <w:sz w:val="16"/>
                <w:szCs w:val="16"/>
                <w:b w:val="1"/>
                <w:bCs w:val="1"/>
                <w:color w:val="284993"/>
              </w:rPr>
              <w:t>•  No Excise Tax Payments on Future Post-</w:t>
            </w:r>
          </w:p>
        </w:tc>
        <w:tc>
          <w:tcPr>
            <w:tcW w:w="5460" w:type="dxa"/>
            <w:vAlign w:val="bottom"/>
            <w:tcBorders>
              <w:top w:val="single" w:sz="8" w:color="284993"/>
            </w:tcBorders>
          </w:tcPr>
          <w:p>
            <w:pPr>
              <w:ind w:left="240"/>
              <w:spacing w:after="0" w:line="161" w:lineRule="exact"/>
              <w:rPr>
                <w:sz w:val="20"/>
                <w:szCs w:val="20"/>
                <w:color w:val="auto"/>
              </w:rPr>
            </w:pPr>
            <w:r>
              <w:rPr>
                <w:rFonts w:ascii="Arial" w:cs="Arial" w:eastAsia="Arial" w:hAnsi="Arial"/>
                <w:sz w:val="16"/>
                <w:szCs w:val="16"/>
                <w:color w:val="auto"/>
              </w:rPr>
              <w:t>We do not provide any excise tax reimbursement payments (including</w:t>
            </w:r>
          </w:p>
        </w:tc>
      </w:tr>
      <w:tr>
        <w:trPr>
          <w:trHeight w:val="184"/>
        </w:trPr>
        <w:tc>
          <w:tcPr>
            <w:tcW w:w="3880" w:type="dxa"/>
            <w:vAlign w:val="bottom"/>
          </w:tcPr>
          <w:p>
            <w:pPr>
              <w:ind w:left="220"/>
              <w:spacing w:after="0"/>
              <w:rPr>
                <w:sz w:val="20"/>
                <w:szCs w:val="20"/>
                <w:color w:val="auto"/>
              </w:rPr>
            </w:pPr>
            <w:r>
              <w:rPr>
                <w:rFonts w:ascii="Arial" w:cs="Arial" w:eastAsia="Arial" w:hAnsi="Arial"/>
                <w:sz w:val="16"/>
                <w:szCs w:val="16"/>
                <w:b w:val="1"/>
                <w:bCs w:val="1"/>
                <w:color w:val="284993"/>
              </w:rPr>
              <w:t>Employment Compensation Arrangements</w:t>
            </w:r>
          </w:p>
        </w:tc>
        <w:tc>
          <w:tcPr>
            <w:tcW w:w="5460" w:type="dxa"/>
            <w:vAlign w:val="bottom"/>
          </w:tcPr>
          <w:p>
            <w:pPr>
              <w:ind w:left="240"/>
              <w:spacing w:after="0"/>
              <w:rPr>
                <w:sz w:val="20"/>
                <w:szCs w:val="20"/>
                <w:color w:val="auto"/>
              </w:rPr>
            </w:pPr>
            <w:r>
              <w:rPr>
                <w:rFonts w:ascii="Arial" w:cs="Arial" w:eastAsia="Arial" w:hAnsi="Arial"/>
                <w:sz w:val="16"/>
                <w:szCs w:val="16"/>
                <w:color w:val="auto"/>
              </w:rPr>
              <w:t>“gross ups”) with respect to payments or benefits contingent upon a</w:t>
            </w:r>
          </w:p>
        </w:tc>
      </w:tr>
      <w:tr>
        <w:trPr>
          <w:trHeight w:val="194"/>
        </w:trPr>
        <w:tc>
          <w:tcPr>
            <w:tcW w:w="3880" w:type="dxa"/>
            <w:vAlign w:val="bottom"/>
            <w:tcBorders>
              <w:bottom w:val="single" w:sz="8" w:color="284993"/>
            </w:tcBorders>
          </w:tcPr>
          <w:p>
            <w:pPr>
              <w:spacing w:after="0"/>
              <w:rPr>
                <w:sz w:val="16"/>
                <w:szCs w:val="16"/>
                <w:color w:val="auto"/>
              </w:rPr>
            </w:pPr>
          </w:p>
        </w:tc>
        <w:tc>
          <w:tcPr>
            <w:tcW w:w="5460" w:type="dxa"/>
            <w:vAlign w:val="bottom"/>
            <w:tcBorders>
              <w:bottom w:val="single" w:sz="8" w:color="284993"/>
            </w:tcBorders>
          </w:tcPr>
          <w:p>
            <w:pPr>
              <w:ind w:left="240"/>
              <w:spacing w:after="0"/>
              <w:rPr>
                <w:sz w:val="20"/>
                <w:szCs w:val="20"/>
                <w:color w:val="auto"/>
              </w:rPr>
            </w:pPr>
            <w:r>
              <w:rPr>
                <w:rFonts w:ascii="Arial" w:cs="Arial" w:eastAsia="Arial" w:hAnsi="Arial"/>
                <w:sz w:val="16"/>
                <w:szCs w:val="16"/>
                <w:color w:val="auto"/>
              </w:rPr>
              <w:t>change in control of the Company.</w:t>
            </w:r>
          </w:p>
        </w:tc>
      </w:tr>
      <w:tr>
        <w:trPr>
          <w:trHeight w:val="163"/>
        </w:trPr>
        <w:tc>
          <w:tcPr>
            <w:tcW w:w="3880" w:type="dxa"/>
            <w:vAlign w:val="bottom"/>
          </w:tcPr>
          <w:p>
            <w:pPr>
              <w:ind w:left="60"/>
              <w:spacing w:after="0" w:line="163" w:lineRule="exact"/>
              <w:rPr>
                <w:sz w:val="20"/>
                <w:szCs w:val="20"/>
                <w:color w:val="auto"/>
              </w:rPr>
            </w:pPr>
            <w:r>
              <w:rPr>
                <w:rFonts w:ascii="Arial" w:cs="Arial" w:eastAsia="Arial" w:hAnsi="Arial"/>
                <w:sz w:val="16"/>
                <w:szCs w:val="16"/>
                <w:b w:val="1"/>
                <w:bCs w:val="1"/>
                <w:color w:val="284993"/>
              </w:rPr>
              <w:t>•  No Hedging or Pledging</w:t>
            </w:r>
          </w:p>
        </w:tc>
        <w:tc>
          <w:tcPr>
            <w:tcW w:w="5460" w:type="dxa"/>
            <w:vAlign w:val="bottom"/>
          </w:tcPr>
          <w:p>
            <w:pPr>
              <w:ind w:left="240"/>
              <w:spacing w:after="0" w:line="163" w:lineRule="exact"/>
              <w:rPr>
                <w:sz w:val="20"/>
                <w:szCs w:val="20"/>
                <w:color w:val="auto"/>
              </w:rPr>
            </w:pPr>
            <w:r>
              <w:rPr>
                <w:rFonts w:ascii="Arial" w:cs="Arial" w:eastAsia="Arial" w:hAnsi="Arial"/>
                <w:sz w:val="16"/>
                <w:szCs w:val="16"/>
                <w:color w:val="auto"/>
              </w:rPr>
              <w:t>We prohibit our employees, including our executive officers, and the</w:t>
            </w:r>
          </w:p>
        </w:tc>
      </w:tr>
      <w:tr>
        <w:trPr>
          <w:trHeight w:val="182"/>
        </w:trPr>
        <w:tc>
          <w:tcPr>
            <w:tcW w:w="3880" w:type="dxa"/>
            <w:vAlign w:val="bottom"/>
          </w:tcPr>
          <w:p>
            <w:pPr>
              <w:spacing w:after="0"/>
              <w:rPr>
                <w:sz w:val="15"/>
                <w:szCs w:val="15"/>
                <w:color w:val="auto"/>
              </w:rPr>
            </w:pPr>
          </w:p>
        </w:tc>
        <w:tc>
          <w:tcPr>
            <w:tcW w:w="5460" w:type="dxa"/>
            <w:vAlign w:val="bottom"/>
          </w:tcPr>
          <w:p>
            <w:pPr>
              <w:ind w:left="240"/>
              <w:spacing w:after="0" w:line="182" w:lineRule="exact"/>
              <w:rPr>
                <w:sz w:val="20"/>
                <w:szCs w:val="20"/>
                <w:color w:val="auto"/>
              </w:rPr>
            </w:pPr>
            <w:r>
              <w:rPr>
                <w:rFonts w:ascii="Arial" w:cs="Arial" w:eastAsia="Arial" w:hAnsi="Arial"/>
                <w:sz w:val="16"/>
                <w:szCs w:val="16"/>
                <w:color w:val="auto"/>
              </w:rPr>
              <w:t>non-employee members of our Board from engaging in short sales and</w:t>
            </w:r>
          </w:p>
        </w:tc>
      </w:tr>
      <w:tr>
        <w:trPr>
          <w:trHeight w:val="182"/>
        </w:trPr>
        <w:tc>
          <w:tcPr>
            <w:tcW w:w="3880" w:type="dxa"/>
            <w:vAlign w:val="bottom"/>
          </w:tcPr>
          <w:p>
            <w:pPr>
              <w:spacing w:after="0"/>
              <w:rPr>
                <w:sz w:val="15"/>
                <w:szCs w:val="15"/>
                <w:color w:val="auto"/>
              </w:rPr>
            </w:pPr>
          </w:p>
        </w:tc>
        <w:tc>
          <w:tcPr>
            <w:tcW w:w="5460" w:type="dxa"/>
            <w:vAlign w:val="bottom"/>
          </w:tcPr>
          <w:p>
            <w:pPr>
              <w:ind w:left="240"/>
              <w:spacing w:after="0" w:line="182" w:lineRule="exact"/>
              <w:rPr>
                <w:sz w:val="20"/>
                <w:szCs w:val="20"/>
                <w:color w:val="auto"/>
              </w:rPr>
            </w:pPr>
            <w:r>
              <w:rPr>
                <w:rFonts w:ascii="Arial" w:cs="Arial" w:eastAsia="Arial" w:hAnsi="Arial"/>
                <w:sz w:val="16"/>
                <w:szCs w:val="16"/>
                <w:color w:val="auto"/>
              </w:rPr>
              <w:t>certain derivative transactions relating to our securities. Current awards</w:t>
            </w:r>
          </w:p>
        </w:tc>
      </w:tr>
      <w:tr>
        <w:trPr>
          <w:trHeight w:val="182"/>
        </w:trPr>
        <w:tc>
          <w:tcPr>
            <w:tcW w:w="3880" w:type="dxa"/>
            <w:vAlign w:val="bottom"/>
          </w:tcPr>
          <w:p>
            <w:pPr>
              <w:spacing w:after="0"/>
              <w:rPr>
                <w:sz w:val="15"/>
                <w:szCs w:val="15"/>
                <w:color w:val="auto"/>
              </w:rPr>
            </w:pPr>
          </w:p>
        </w:tc>
        <w:tc>
          <w:tcPr>
            <w:tcW w:w="5460" w:type="dxa"/>
            <w:vAlign w:val="bottom"/>
          </w:tcPr>
          <w:p>
            <w:pPr>
              <w:ind w:left="240"/>
              <w:spacing w:after="0" w:line="182" w:lineRule="exact"/>
              <w:rPr>
                <w:sz w:val="20"/>
                <w:szCs w:val="20"/>
                <w:color w:val="auto"/>
              </w:rPr>
            </w:pPr>
            <w:r>
              <w:rPr>
                <w:rFonts w:ascii="Arial" w:cs="Arial" w:eastAsia="Arial" w:hAnsi="Arial"/>
                <w:sz w:val="16"/>
                <w:szCs w:val="16"/>
                <w:color w:val="auto"/>
              </w:rPr>
              <w:t>granted under our equity plans provide that they may not be sold,</w:t>
            </w:r>
          </w:p>
        </w:tc>
      </w:tr>
      <w:tr>
        <w:trPr>
          <w:trHeight w:val="182"/>
        </w:trPr>
        <w:tc>
          <w:tcPr>
            <w:tcW w:w="3880" w:type="dxa"/>
            <w:vAlign w:val="bottom"/>
          </w:tcPr>
          <w:p>
            <w:pPr>
              <w:spacing w:after="0"/>
              <w:rPr>
                <w:sz w:val="15"/>
                <w:szCs w:val="15"/>
                <w:color w:val="auto"/>
              </w:rPr>
            </w:pPr>
          </w:p>
        </w:tc>
        <w:tc>
          <w:tcPr>
            <w:tcW w:w="5460" w:type="dxa"/>
            <w:vAlign w:val="bottom"/>
          </w:tcPr>
          <w:p>
            <w:pPr>
              <w:ind w:left="240"/>
              <w:spacing w:after="0" w:line="182" w:lineRule="exact"/>
              <w:rPr>
                <w:sz w:val="20"/>
                <w:szCs w:val="20"/>
                <w:color w:val="auto"/>
              </w:rPr>
            </w:pPr>
            <w:r>
              <w:rPr>
                <w:rFonts w:ascii="Arial" w:cs="Arial" w:eastAsia="Arial" w:hAnsi="Arial"/>
                <w:sz w:val="16"/>
                <w:szCs w:val="16"/>
                <w:color w:val="auto"/>
              </w:rPr>
              <w:t>exchanged, assigned, transferred, pledged, encumbered, or otherwise</w:t>
            </w:r>
          </w:p>
        </w:tc>
      </w:tr>
      <w:tr>
        <w:trPr>
          <w:trHeight w:val="194"/>
        </w:trPr>
        <w:tc>
          <w:tcPr>
            <w:tcW w:w="3880" w:type="dxa"/>
            <w:vAlign w:val="bottom"/>
            <w:tcBorders>
              <w:bottom w:val="single" w:sz="8" w:color="284993"/>
            </w:tcBorders>
          </w:tcPr>
          <w:p>
            <w:pPr>
              <w:spacing w:after="0"/>
              <w:rPr>
                <w:sz w:val="16"/>
                <w:szCs w:val="16"/>
                <w:color w:val="auto"/>
              </w:rPr>
            </w:pPr>
          </w:p>
        </w:tc>
        <w:tc>
          <w:tcPr>
            <w:tcW w:w="5460" w:type="dxa"/>
            <w:vAlign w:val="bottom"/>
            <w:tcBorders>
              <w:bottom w:val="single" w:sz="8" w:color="284993"/>
            </w:tcBorders>
          </w:tcPr>
          <w:p>
            <w:pPr>
              <w:ind w:left="240"/>
              <w:spacing w:after="0"/>
              <w:rPr>
                <w:sz w:val="20"/>
                <w:szCs w:val="20"/>
                <w:color w:val="auto"/>
              </w:rPr>
            </w:pPr>
            <w:r>
              <w:rPr>
                <w:rFonts w:ascii="Arial" w:cs="Arial" w:eastAsia="Arial" w:hAnsi="Arial"/>
                <w:sz w:val="16"/>
                <w:szCs w:val="16"/>
                <w:color w:val="auto"/>
              </w:rPr>
              <w:t>disposed of by the grantee until they vest.</w:t>
            </w:r>
          </w:p>
        </w:tc>
      </w:tr>
      <w:tr>
        <w:trPr>
          <w:trHeight w:val="161"/>
        </w:trPr>
        <w:tc>
          <w:tcPr>
            <w:tcW w:w="3880" w:type="dxa"/>
            <w:vAlign w:val="bottom"/>
          </w:tcPr>
          <w:p>
            <w:pPr>
              <w:ind w:left="60"/>
              <w:spacing w:after="0" w:line="161" w:lineRule="exact"/>
              <w:rPr>
                <w:sz w:val="20"/>
                <w:szCs w:val="20"/>
                <w:color w:val="auto"/>
              </w:rPr>
            </w:pPr>
            <w:r>
              <w:rPr>
                <w:rFonts w:ascii="Arial" w:cs="Arial" w:eastAsia="Arial" w:hAnsi="Arial"/>
                <w:sz w:val="16"/>
                <w:szCs w:val="16"/>
                <w:b w:val="1"/>
                <w:bCs w:val="1"/>
                <w:color w:val="284993"/>
              </w:rPr>
              <w:t>•  No Dividends or Dividend Equivalents Payable</w:t>
            </w:r>
          </w:p>
        </w:tc>
        <w:tc>
          <w:tcPr>
            <w:tcW w:w="5460" w:type="dxa"/>
            <w:vAlign w:val="bottom"/>
          </w:tcPr>
          <w:p>
            <w:pPr>
              <w:ind w:left="240"/>
              <w:spacing w:after="0" w:line="161" w:lineRule="exact"/>
              <w:rPr>
                <w:sz w:val="20"/>
                <w:szCs w:val="20"/>
                <w:color w:val="auto"/>
              </w:rPr>
            </w:pPr>
            <w:r>
              <w:rPr>
                <w:rFonts w:ascii="Arial" w:cs="Arial" w:eastAsia="Arial" w:hAnsi="Arial"/>
                <w:sz w:val="16"/>
                <w:szCs w:val="16"/>
                <w:color w:val="auto"/>
              </w:rPr>
              <w:t>We do not pay dividends or dividend equivalents on unvested equity</w:t>
            </w:r>
          </w:p>
        </w:tc>
      </w:tr>
      <w:tr>
        <w:trPr>
          <w:trHeight w:val="196"/>
        </w:trPr>
        <w:tc>
          <w:tcPr>
            <w:tcW w:w="3880" w:type="dxa"/>
            <w:vAlign w:val="bottom"/>
            <w:tcBorders>
              <w:bottom w:val="single" w:sz="8" w:color="284993"/>
            </w:tcBorders>
          </w:tcPr>
          <w:p>
            <w:pPr>
              <w:ind w:left="220"/>
              <w:spacing w:after="0"/>
              <w:rPr>
                <w:sz w:val="20"/>
                <w:szCs w:val="20"/>
                <w:color w:val="auto"/>
              </w:rPr>
            </w:pPr>
            <w:r>
              <w:rPr>
                <w:rFonts w:ascii="Arial" w:cs="Arial" w:eastAsia="Arial" w:hAnsi="Arial"/>
                <w:sz w:val="16"/>
                <w:szCs w:val="16"/>
                <w:b w:val="1"/>
                <w:bCs w:val="1"/>
                <w:color w:val="284993"/>
              </w:rPr>
              <w:t>on Unvested Equity Awards</w:t>
            </w:r>
          </w:p>
        </w:tc>
        <w:tc>
          <w:tcPr>
            <w:tcW w:w="5460" w:type="dxa"/>
            <w:vAlign w:val="bottom"/>
            <w:tcBorders>
              <w:bottom w:val="single" w:sz="8" w:color="284993"/>
            </w:tcBorders>
          </w:tcPr>
          <w:p>
            <w:pPr>
              <w:ind w:left="240"/>
              <w:spacing w:after="0"/>
              <w:rPr>
                <w:sz w:val="20"/>
                <w:szCs w:val="20"/>
                <w:color w:val="auto"/>
              </w:rPr>
            </w:pPr>
            <w:r>
              <w:rPr>
                <w:rFonts w:ascii="Arial" w:cs="Arial" w:eastAsia="Arial" w:hAnsi="Arial"/>
                <w:sz w:val="16"/>
                <w:szCs w:val="16"/>
                <w:color w:val="auto"/>
              </w:rPr>
              <w:t>awards.</w:t>
            </w:r>
          </w:p>
        </w:tc>
      </w:tr>
      <w:tr>
        <w:trPr>
          <w:trHeight w:val="163"/>
        </w:trPr>
        <w:tc>
          <w:tcPr>
            <w:tcW w:w="3880" w:type="dxa"/>
            <w:vAlign w:val="bottom"/>
          </w:tcPr>
          <w:p>
            <w:pPr>
              <w:ind w:left="60"/>
              <w:spacing w:after="0" w:line="163" w:lineRule="exact"/>
              <w:rPr>
                <w:sz w:val="20"/>
                <w:szCs w:val="20"/>
                <w:color w:val="auto"/>
              </w:rPr>
            </w:pPr>
            <w:r>
              <w:rPr>
                <w:rFonts w:ascii="Arial" w:cs="Arial" w:eastAsia="Arial" w:hAnsi="Arial"/>
                <w:sz w:val="16"/>
                <w:szCs w:val="16"/>
                <w:b w:val="1"/>
                <w:bCs w:val="1"/>
                <w:color w:val="284993"/>
              </w:rPr>
              <w:t>•  Limited Contractual Vesting Acceleration</w:t>
            </w:r>
          </w:p>
        </w:tc>
        <w:tc>
          <w:tcPr>
            <w:tcW w:w="5460" w:type="dxa"/>
            <w:vAlign w:val="bottom"/>
          </w:tcPr>
          <w:p>
            <w:pPr>
              <w:ind w:left="240"/>
              <w:spacing w:after="0" w:line="163" w:lineRule="exact"/>
              <w:rPr>
                <w:sz w:val="20"/>
                <w:szCs w:val="20"/>
                <w:color w:val="auto"/>
              </w:rPr>
            </w:pPr>
            <w:r>
              <w:rPr>
                <w:rFonts w:ascii="Arial" w:cs="Arial" w:eastAsia="Arial" w:hAnsi="Arial"/>
                <w:sz w:val="16"/>
                <w:szCs w:val="16"/>
                <w:color w:val="auto"/>
              </w:rPr>
              <w:t>We have no contractual acceleration of vesting for any outstanding</w:t>
            </w:r>
          </w:p>
        </w:tc>
      </w:tr>
      <w:tr>
        <w:trPr>
          <w:trHeight w:val="182"/>
        </w:trPr>
        <w:tc>
          <w:tcPr>
            <w:tcW w:w="3880" w:type="dxa"/>
            <w:vAlign w:val="bottom"/>
          </w:tcPr>
          <w:p>
            <w:pPr>
              <w:spacing w:after="0"/>
              <w:rPr>
                <w:sz w:val="15"/>
                <w:szCs w:val="15"/>
                <w:color w:val="auto"/>
              </w:rPr>
            </w:pPr>
          </w:p>
        </w:tc>
        <w:tc>
          <w:tcPr>
            <w:tcW w:w="5460" w:type="dxa"/>
            <w:vAlign w:val="bottom"/>
          </w:tcPr>
          <w:p>
            <w:pPr>
              <w:ind w:left="240"/>
              <w:spacing w:after="0" w:line="182" w:lineRule="exact"/>
              <w:rPr>
                <w:sz w:val="20"/>
                <w:szCs w:val="20"/>
                <w:color w:val="auto"/>
              </w:rPr>
            </w:pPr>
            <w:r>
              <w:rPr>
                <w:rFonts w:ascii="Arial" w:cs="Arial" w:eastAsia="Arial" w:hAnsi="Arial"/>
                <w:sz w:val="16"/>
                <w:szCs w:val="16"/>
                <w:color w:val="auto"/>
              </w:rPr>
              <w:t>equity, except for these limited, common exceptions: death or long-term</w:t>
            </w:r>
          </w:p>
        </w:tc>
      </w:tr>
      <w:tr>
        <w:trPr>
          <w:trHeight w:val="182"/>
        </w:trPr>
        <w:tc>
          <w:tcPr>
            <w:tcW w:w="3880" w:type="dxa"/>
            <w:vAlign w:val="bottom"/>
          </w:tcPr>
          <w:p>
            <w:pPr>
              <w:spacing w:after="0"/>
              <w:rPr>
                <w:sz w:val="15"/>
                <w:szCs w:val="15"/>
                <w:color w:val="auto"/>
              </w:rPr>
            </w:pPr>
          </w:p>
        </w:tc>
        <w:tc>
          <w:tcPr>
            <w:tcW w:w="5460" w:type="dxa"/>
            <w:vAlign w:val="bottom"/>
          </w:tcPr>
          <w:p>
            <w:pPr>
              <w:ind w:left="240"/>
              <w:spacing w:after="0" w:line="182" w:lineRule="exact"/>
              <w:rPr>
                <w:sz w:val="20"/>
                <w:szCs w:val="20"/>
                <w:color w:val="auto"/>
              </w:rPr>
            </w:pPr>
            <w:r>
              <w:rPr>
                <w:rFonts w:ascii="Arial" w:cs="Arial" w:eastAsia="Arial" w:hAnsi="Arial"/>
                <w:sz w:val="16"/>
                <w:szCs w:val="16"/>
                <w:color w:val="auto"/>
              </w:rPr>
              <w:t>disability, in some cases, termination without cause or for good reason,</w:t>
            </w:r>
          </w:p>
        </w:tc>
      </w:tr>
      <w:tr>
        <w:trPr>
          <w:trHeight w:val="194"/>
        </w:trPr>
        <w:tc>
          <w:tcPr>
            <w:tcW w:w="3880" w:type="dxa"/>
            <w:vAlign w:val="bottom"/>
            <w:tcBorders>
              <w:bottom w:val="single" w:sz="8" w:color="284993"/>
            </w:tcBorders>
          </w:tcPr>
          <w:p>
            <w:pPr>
              <w:spacing w:after="0"/>
              <w:rPr>
                <w:sz w:val="16"/>
                <w:szCs w:val="16"/>
                <w:color w:val="auto"/>
              </w:rPr>
            </w:pPr>
          </w:p>
        </w:tc>
        <w:tc>
          <w:tcPr>
            <w:tcW w:w="5460" w:type="dxa"/>
            <w:vAlign w:val="bottom"/>
            <w:tcBorders>
              <w:bottom w:val="single" w:sz="8" w:color="284993"/>
            </w:tcBorders>
          </w:tcPr>
          <w:p>
            <w:pPr>
              <w:ind w:left="240"/>
              <w:spacing w:after="0"/>
              <w:rPr>
                <w:sz w:val="20"/>
                <w:szCs w:val="20"/>
                <w:color w:val="auto"/>
              </w:rPr>
            </w:pPr>
            <w:r>
              <w:rPr>
                <w:rFonts w:ascii="Arial" w:cs="Arial" w:eastAsia="Arial" w:hAnsi="Arial"/>
                <w:sz w:val="16"/>
                <w:szCs w:val="16"/>
                <w:color w:val="auto"/>
              </w:rPr>
              <w:t>or pursuant to “double trigger” change in control benefits.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90805</wp:posOffset>
            </wp:positionV>
            <wp:extent cx="693420" cy="1320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3420" cy="13208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38</w:t>
      </w:r>
    </w:p>
    <w:p>
      <w:pPr>
        <w:sectPr>
          <w:pgSz w:w="11900" w:h="16838" w:orient="portrait"/>
          <w:cols w:equalWidth="0" w:num="1">
            <w:col w:w="9360"/>
          </w:cols>
          <w:pgMar w:left="1260" w:top="306" w:right="127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Compensation Design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Overview</w:t>
      </w:r>
    </w:p>
    <w:p>
      <w:pPr>
        <w:spacing w:after="0" w:line="108"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In alignment with our pay-for-performance philosophy, a significant portion of our Named Executive Officers’ target total direct compensation is “at-risk” and variable in the amount ultimately paid. We believe that linking a significant portion of our executive officers’ target total direct compensation to challenging performance objectives creates strong incentives for them to achieve our short-term profitability and growth objectives and to create sustainable long-term value for our stockholders. We believe that this approach also helps us attract talented individuals who are committed to achieving challenging goals with the opportunity to earn market competitive compensation if they and the Company demonstrate superior results.</w:t>
      </w:r>
    </w:p>
    <w:p>
      <w:pPr>
        <w:spacing w:after="0" w:line="176"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Compensation Elements</w:t>
      </w:r>
    </w:p>
    <w:p>
      <w:pPr>
        <w:spacing w:after="0" w:line="124"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Our executive compensation consists of three principal elements: base salary, an annual cash incentive compensation opportunity under the ACI STIP, and long-term compensation opportunities under the LTIP in the form of service-based RSUs and PSUs. Each of these elements is summarized in the table below. Although this Compensation Discussion and Analysis focuses on the compensation of our Named Executive Officers, our 2023 executive compensation program and our compensation-setting process (described below) were substantially the same for all our executive officers.</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39</w:t>
      </w:r>
    </w:p>
    <w:p>
      <w:pPr>
        <w:sectPr>
          <w:pgSz w:w="11900" w:h="16838" w:orient="portrait"/>
          <w:cols w:equalWidth="0" w:num="1">
            <w:col w:w="9360"/>
          </w:cols>
          <w:pgMar w:left="1260" w:top="286" w:right="127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580" w:type="dxa"/>
            <w:vAlign w:val="bottom"/>
            <w:shd w:val="clear" w:color="auto" w:fill="284993"/>
          </w:tcPr>
          <w:p>
            <w:pPr>
              <w:spacing w:after="0"/>
              <w:rPr>
                <w:sz w:val="16"/>
                <w:szCs w:val="16"/>
                <w:color w:val="auto"/>
              </w:rPr>
            </w:pPr>
          </w:p>
        </w:tc>
        <w:tc>
          <w:tcPr>
            <w:tcW w:w="4440" w:type="dxa"/>
            <w:vAlign w:val="bottom"/>
            <w:shd w:val="clear" w:color="auto" w:fill="284993"/>
          </w:tcPr>
          <w:p>
            <w:pPr>
              <w:spacing w:after="0"/>
              <w:rPr>
                <w:sz w:val="16"/>
                <w:szCs w:val="16"/>
                <w:color w:val="auto"/>
              </w:rPr>
            </w:pPr>
          </w:p>
        </w:tc>
        <w:tc>
          <w:tcPr>
            <w:tcW w:w="3320" w:type="dxa"/>
            <w:vAlign w:val="bottom"/>
            <w:shd w:val="clear" w:color="auto" w:fill="284993"/>
          </w:tcPr>
          <w:p>
            <w:pPr>
              <w:spacing w:after="0"/>
              <w:rPr>
                <w:sz w:val="16"/>
                <w:szCs w:val="16"/>
                <w:color w:val="auto"/>
              </w:rPr>
            </w:pPr>
          </w:p>
        </w:tc>
      </w:tr>
      <w:tr>
        <w:trPr>
          <w:trHeight w:val="235"/>
        </w:trPr>
        <w:tc>
          <w:tcPr>
            <w:tcW w:w="20" w:type="dxa"/>
            <w:vAlign w:val="bottom"/>
          </w:tcPr>
          <w:p>
            <w:pPr>
              <w:spacing w:after="0"/>
              <w:rPr>
                <w:sz w:val="20"/>
                <w:szCs w:val="20"/>
                <w:color w:val="auto"/>
              </w:rPr>
            </w:pPr>
          </w:p>
        </w:tc>
        <w:tc>
          <w:tcPr>
            <w:tcW w:w="1580" w:type="dxa"/>
            <w:vAlign w:val="bottom"/>
            <w:shd w:val="clear" w:color="auto" w:fill="D8D8D8"/>
          </w:tcPr>
          <w:p>
            <w:pPr>
              <w:ind w:left="160"/>
              <w:spacing w:after="0"/>
              <w:rPr>
                <w:sz w:val="20"/>
                <w:szCs w:val="20"/>
                <w:color w:val="auto"/>
              </w:rPr>
            </w:pPr>
            <w:r>
              <w:rPr>
                <w:rFonts w:ascii="Arial" w:cs="Arial" w:eastAsia="Arial" w:hAnsi="Arial"/>
                <w:sz w:val="16"/>
                <w:szCs w:val="16"/>
                <w:color w:val="auto"/>
              </w:rPr>
              <w:t>Base Salary</w:t>
            </w:r>
          </w:p>
        </w:tc>
        <w:tc>
          <w:tcPr>
            <w:tcW w:w="4440" w:type="dxa"/>
            <w:vAlign w:val="bottom"/>
            <w:shd w:val="clear" w:color="auto" w:fill="D8D8D8"/>
          </w:tcPr>
          <w:p>
            <w:pPr>
              <w:ind w:left="100"/>
              <w:spacing w:after="0"/>
              <w:rPr>
                <w:sz w:val="20"/>
                <w:szCs w:val="20"/>
                <w:color w:val="auto"/>
              </w:rPr>
            </w:pPr>
            <w:r>
              <w:rPr>
                <w:rFonts w:ascii="Arial" w:cs="Arial" w:eastAsia="Arial" w:hAnsi="Arial"/>
                <w:sz w:val="16"/>
                <w:szCs w:val="16"/>
                <w:color w:val="auto"/>
              </w:rPr>
              <w:t>Ongoing cash compensation based on executive officer’s</w:t>
            </w:r>
          </w:p>
        </w:tc>
        <w:tc>
          <w:tcPr>
            <w:tcW w:w="3320" w:type="dxa"/>
            <w:vAlign w:val="bottom"/>
            <w:shd w:val="clear" w:color="auto" w:fill="D8D8D8"/>
          </w:tcPr>
          <w:p>
            <w:pPr>
              <w:ind w:left="60"/>
              <w:spacing w:after="0"/>
              <w:rPr>
                <w:sz w:val="20"/>
                <w:szCs w:val="20"/>
                <w:color w:val="auto"/>
              </w:rPr>
            </w:pPr>
            <w:r>
              <w:rPr>
                <w:rFonts w:ascii="Arial" w:cs="Arial" w:eastAsia="Arial" w:hAnsi="Arial"/>
                <w:sz w:val="16"/>
                <w:szCs w:val="16"/>
                <w:color w:val="auto"/>
              </w:rPr>
              <w:t>•   Attract and retain key managerial talent.</w:t>
            </w:r>
          </w:p>
        </w:tc>
      </w:tr>
      <w:tr>
        <w:trPr>
          <w:trHeight w:val="182"/>
        </w:trPr>
        <w:tc>
          <w:tcPr>
            <w:tcW w:w="20" w:type="dxa"/>
            <w:vAlign w:val="bottom"/>
          </w:tcPr>
          <w:p>
            <w:pPr>
              <w:spacing w:after="0"/>
              <w:rPr>
                <w:sz w:val="15"/>
                <w:szCs w:val="15"/>
                <w:color w:val="auto"/>
              </w:rPr>
            </w:pPr>
          </w:p>
        </w:tc>
        <w:tc>
          <w:tcPr>
            <w:tcW w:w="1580" w:type="dxa"/>
            <w:vAlign w:val="bottom"/>
            <w:shd w:val="clear" w:color="auto" w:fill="D8D8D8"/>
          </w:tcPr>
          <w:p>
            <w:pPr>
              <w:spacing w:after="0"/>
              <w:rPr>
                <w:sz w:val="15"/>
                <w:szCs w:val="15"/>
                <w:color w:val="auto"/>
              </w:rPr>
            </w:pPr>
          </w:p>
        </w:tc>
        <w:tc>
          <w:tcPr>
            <w:tcW w:w="4440" w:type="dxa"/>
            <w:vAlign w:val="bottom"/>
            <w:shd w:val="clear" w:color="auto" w:fill="D8D8D8"/>
          </w:tcPr>
          <w:p>
            <w:pPr>
              <w:ind w:left="100"/>
              <w:spacing w:after="0" w:line="182" w:lineRule="exact"/>
              <w:rPr>
                <w:sz w:val="20"/>
                <w:szCs w:val="20"/>
                <w:color w:val="auto"/>
              </w:rPr>
            </w:pPr>
            <w:r>
              <w:rPr>
                <w:rFonts w:ascii="Arial" w:cs="Arial" w:eastAsia="Arial" w:hAnsi="Arial"/>
                <w:sz w:val="16"/>
                <w:szCs w:val="16"/>
                <w:color w:val="auto"/>
              </w:rPr>
              <w:t>role, responsibilities, competitive market positioning and</w:t>
            </w:r>
          </w:p>
        </w:tc>
        <w:tc>
          <w:tcPr>
            <w:tcW w:w="3320" w:type="dxa"/>
            <w:vAlign w:val="bottom"/>
            <w:shd w:val="clear" w:color="auto" w:fill="D8D8D8"/>
          </w:tcPr>
          <w:p>
            <w:pPr>
              <w:ind w:left="60"/>
              <w:spacing w:after="0" w:line="182" w:lineRule="exact"/>
              <w:rPr>
                <w:sz w:val="20"/>
                <w:szCs w:val="20"/>
                <w:color w:val="auto"/>
              </w:rPr>
            </w:pPr>
            <w:r>
              <w:rPr>
                <w:rFonts w:ascii="Arial" w:cs="Arial" w:eastAsia="Arial" w:hAnsi="Arial"/>
                <w:sz w:val="16"/>
                <w:szCs w:val="16"/>
                <w:color w:val="auto"/>
              </w:rPr>
              <w:t>•   Provide a base level of compensation.</w:t>
            </w:r>
          </w:p>
        </w:tc>
      </w:tr>
      <w:tr>
        <w:trPr>
          <w:trHeight w:val="205"/>
        </w:trPr>
        <w:tc>
          <w:tcPr>
            <w:tcW w:w="20" w:type="dxa"/>
            <w:vAlign w:val="bottom"/>
          </w:tcPr>
          <w:p>
            <w:pPr>
              <w:spacing w:after="0"/>
              <w:rPr>
                <w:sz w:val="17"/>
                <w:szCs w:val="17"/>
                <w:color w:val="auto"/>
              </w:rPr>
            </w:pPr>
          </w:p>
        </w:tc>
        <w:tc>
          <w:tcPr>
            <w:tcW w:w="1580" w:type="dxa"/>
            <w:vAlign w:val="bottom"/>
            <w:shd w:val="clear" w:color="auto" w:fill="D8D8D8"/>
          </w:tcPr>
          <w:p>
            <w:pPr>
              <w:spacing w:after="0"/>
              <w:rPr>
                <w:sz w:val="17"/>
                <w:szCs w:val="17"/>
                <w:color w:val="auto"/>
              </w:rPr>
            </w:pPr>
          </w:p>
        </w:tc>
        <w:tc>
          <w:tcPr>
            <w:tcW w:w="4440" w:type="dxa"/>
            <w:vAlign w:val="bottom"/>
            <w:shd w:val="clear" w:color="auto" w:fill="D8D8D8"/>
          </w:tcPr>
          <w:p>
            <w:pPr>
              <w:ind w:left="100"/>
              <w:spacing w:after="0"/>
              <w:rPr>
                <w:sz w:val="20"/>
                <w:szCs w:val="20"/>
                <w:color w:val="auto"/>
              </w:rPr>
            </w:pPr>
            <w:r>
              <w:rPr>
                <w:rFonts w:ascii="Arial" w:cs="Arial" w:eastAsia="Arial" w:hAnsi="Arial"/>
                <w:sz w:val="16"/>
                <w:szCs w:val="16"/>
                <w:color w:val="auto"/>
              </w:rPr>
              <w:t>individual performance.</w:t>
            </w:r>
          </w:p>
        </w:tc>
        <w:tc>
          <w:tcPr>
            <w:tcW w:w="3320" w:type="dxa"/>
            <w:vAlign w:val="bottom"/>
            <w:shd w:val="clear" w:color="auto" w:fill="D8D8D8"/>
          </w:tcPr>
          <w:p>
            <w:pPr>
              <w:spacing w:after="0"/>
              <w:rPr>
                <w:sz w:val="17"/>
                <w:szCs w:val="17"/>
                <w:color w:val="auto"/>
              </w:rPr>
            </w:pPr>
          </w:p>
        </w:tc>
      </w:tr>
      <w:tr>
        <w:trPr>
          <w:trHeight w:val="341"/>
        </w:trPr>
        <w:tc>
          <w:tcPr>
            <w:tcW w:w="20" w:type="dxa"/>
            <w:vAlign w:val="bottom"/>
          </w:tcPr>
          <w:p>
            <w:pPr>
              <w:spacing w:after="0"/>
              <w:rPr>
                <w:sz w:val="24"/>
                <w:szCs w:val="24"/>
                <w:color w:val="auto"/>
              </w:rPr>
            </w:pPr>
          </w:p>
        </w:tc>
        <w:tc>
          <w:tcPr>
            <w:tcW w:w="1580" w:type="dxa"/>
            <w:vAlign w:val="bottom"/>
            <w:shd w:val="clear" w:color="auto" w:fill="D8D8D8"/>
          </w:tcPr>
          <w:p>
            <w:pPr>
              <w:ind w:left="160"/>
              <w:spacing w:after="0"/>
              <w:rPr>
                <w:sz w:val="20"/>
                <w:szCs w:val="20"/>
                <w:color w:val="auto"/>
              </w:rPr>
            </w:pPr>
            <w:r>
              <w:rPr>
                <w:rFonts w:ascii="Arial" w:cs="Arial" w:eastAsia="Arial" w:hAnsi="Arial"/>
                <w:sz w:val="16"/>
                <w:szCs w:val="16"/>
                <w:color w:val="auto"/>
              </w:rPr>
              <w:t>Annual Cash</w:t>
            </w:r>
          </w:p>
        </w:tc>
        <w:tc>
          <w:tcPr>
            <w:tcW w:w="4440" w:type="dxa"/>
            <w:vAlign w:val="bottom"/>
            <w:shd w:val="clear" w:color="auto" w:fill="D8D8D8"/>
          </w:tcPr>
          <w:p>
            <w:pPr>
              <w:ind w:left="100"/>
              <w:spacing w:after="0"/>
              <w:rPr>
                <w:sz w:val="20"/>
                <w:szCs w:val="20"/>
                <w:color w:val="auto"/>
              </w:rPr>
            </w:pPr>
            <w:r>
              <w:rPr>
                <w:rFonts w:ascii="Arial" w:cs="Arial" w:eastAsia="Arial" w:hAnsi="Arial"/>
                <w:sz w:val="16"/>
                <w:szCs w:val="16"/>
                <w:color w:val="auto"/>
                <w:w w:val="99"/>
              </w:rPr>
              <w:t>Annual cash incentive awards based on performance against</w:t>
            </w:r>
          </w:p>
        </w:tc>
        <w:tc>
          <w:tcPr>
            <w:tcW w:w="3320" w:type="dxa"/>
            <w:vAlign w:val="bottom"/>
            <w:shd w:val="clear" w:color="auto" w:fill="D8D8D8"/>
          </w:tcPr>
          <w:p>
            <w:pPr>
              <w:ind w:left="60"/>
              <w:spacing w:after="0"/>
              <w:rPr>
                <w:sz w:val="20"/>
                <w:szCs w:val="20"/>
                <w:color w:val="auto"/>
              </w:rPr>
            </w:pPr>
            <w:r>
              <w:rPr>
                <w:rFonts w:ascii="Arial" w:cs="Arial" w:eastAsia="Arial" w:hAnsi="Arial"/>
                <w:sz w:val="16"/>
                <w:szCs w:val="16"/>
                <w:color w:val="auto"/>
              </w:rPr>
              <w:t>•   Attract and retain key managerial talent.</w:t>
            </w:r>
          </w:p>
        </w:tc>
      </w:tr>
      <w:tr>
        <w:trPr>
          <w:trHeight w:val="182"/>
        </w:trPr>
        <w:tc>
          <w:tcPr>
            <w:tcW w:w="20" w:type="dxa"/>
            <w:vAlign w:val="bottom"/>
          </w:tcPr>
          <w:p>
            <w:pPr>
              <w:spacing w:after="0"/>
              <w:rPr>
                <w:sz w:val="15"/>
                <w:szCs w:val="15"/>
                <w:color w:val="auto"/>
              </w:rPr>
            </w:pPr>
          </w:p>
        </w:tc>
        <w:tc>
          <w:tcPr>
            <w:tcW w:w="1580" w:type="dxa"/>
            <w:vAlign w:val="bottom"/>
            <w:shd w:val="clear" w:color="auto" w:fill="D8D8D8"/>
          </w:tcPr>
          <w:p>
            <w:pPr>
              <w:ind w:left="160"/>
              <w:spacing w:after="0" w:line="182" w:lineRule="exact"/>
              <w:rPr>
                <w:sz w:val="20"/>
                <w:szCs w:val="20"/>
                <w:color w:val="auto"/>
              </w:rPr>
            </w:pPr>
            <w:r>
              <w:rPr>
                <w:rFonts w:ascii="Arial" w:cs="Arial" w:eastAsia="Arial" w:hAnsi="Arial"/>
                <w:sz w:val="16"/>
                <w:szCs w:val="16"/>
                <w:color w:val="auto"/>
              </w:rPr>
              <w:t>Incentive</w:t>
            </w:r>
          </w:p>
        </w:tc>
        <w:tc>
          <w:tcPr>
            <w:tcW w:w="4440" w:type="dxa"/>
            <w:vAlign w:val="bottom"/>
            <w:shd w:val="clear" w:color="auto" w:fill="D8D8D8"/>
          </w:tcPr>
          <w:p>
            <w:pPr>
              <w:ind w:left="100"/>
              <w:spacing w:after="0" w:line="182" w:lineRule="exact"/>
              <w:rPr>
                <w:sz w:val="20"/>
                <w:szCs w:val="20"/>
                <w:color w:val="auto"/>
              </w:rPr>
            </w:pPr>
            <w:r>
              <w:rPr>
                <w:rFonts w:ascii="Arial" w:cs="Arial" w:eastAsia="Arial" w:hAnsi="Arial"/>
                <w:sz w:val="16"/>
                <w:szCs w:val="16"/>
                <w:color w:val="auto"/>
              </w:rPr>
              <w:t>predetermined goals for Adjusted EBITDA (40%) and</w:t>
            </w:r>
          </w:p>
        </w:tc>
        <w:tc>
          <w:tcPr>
            <w:tcW w:w="3320" w:type="dxa"/>
            <w:vAlign w:val="bottom"/>
            <w:shd w:val="clear" w:color="auto" w:fill="D8D8D8"/>
          </w:tcPr>
          <w:p>
            <w:pPr>
              <w:ind w:left="60"/>
              <w:spacing w:after="0" w:line="182" w:lineRule="exact"/>
              <w:rPr>
                <w:sz w:val="20"/>
                <w:szCs w:val="20"/>
                <w:color w:val="auto"/>
              </w:rPr>
            </w:pPr>
            <w:r>
              <w:rPr>
                <w:rFonts w:ascii="Arial" w:cs="Arial" w:eastAsia="Arial" w:hAnsi="Arial"/>
                <w:sz w:val="16"/>
                <w:szCs w:val="16"/>
                <w:color w:val="auto"/>
              </w:rPr>
              <w:t>•   Encourage and reward achievement of</w:t>
            </w:r>
          </w:p>
        </w:tc>
      </w:tr>
      <w:tr>
        <w:trPr>
          <w:trHeight w:val="182"/>
        </w:trPr>
        <w:tc>
          <w:tcPr>
            <w:tcW w:w="20" w:type="dxa"/>
            <w:vAlign w:val="bottom"/>
          </w:tcPr>
          <w:p>
            <w:pPr>
              <w:spacing w:after="0"/>
              <w:rPr>
                <w:sz w:val="15"/>
                <w:szCs w:val="15"/>
                <w:color w:val="auto"/>
              </w:rPr>
            </w:pPr>
          </w:p>
        </w:tc>
        <w:tc>
          <w:tcPr>
            <w:tcW w:w="1580" w:type="dxa"/>
            <w:vAlign w:val="bottom"/>
            <w:shd w:val="clear" w:color="auto" w:fill="D8D8D8"/>
          </w:tcPr>
          <w:p>
            <w:pPr>
              <w:spacing w:after="0"/>
              <w:rPr>
                <w:sz w:val="15"/>
                <w:szCs w:val="15"/>
                <w:color w:val="auto"/>
              </w:rPr>
            </w:pPr>
          </w:p>
        </w:tc>
        <w:tc>
          <w:tcPr>
            <w:tcW w:w="4440" w:type="dxa"/>
            <w:vAlign w:val="bottom"/>
            <w:shd w:val="clear" w:color="auto" w:fill="D8D8D8"/>
          </w:tcPr>
          <w:p>
            <w:pPr>
              <w:ind w:left="100"/>
              <w:spacing w:after="0" w:line="182" w:lineRule="exact"/>
              <w:rPr>
                <w:sz w:val="20"/>
                <w:szCs w:val="20"/>
                <w:color w:val="auto"/>
              </w:rPr>
            </w:pPr>
            <w:r>
              <w:rPr>
                <w:rFonts w:ascii="Arial" w:cs="Arial" w:eastAsia="Arial" w:hAnsi="Arial"/>
                <w:sz w:val="16"/>
                <w:szCs w:val="16"/>
                <w:color w:val="auto"/>
              </w:rPr>
              <w:t>Revenue Net of Interchange Growth (60%), with a critical</w:t>
            </w:r>
          </w:p>
        </w:tc>
        <w:tc>
          <w:tcPr>
            <w:tcW w:w="3320" w:type="dxa"/>
            <w:vAlign w:val="bottom"/>
            <w:shd w:val="clear" w:color="auto" w:fill="D8D8D8"/>
          </w:tcPr>
          <w:p>
            <w:pPr>
              <w:ind w:left="220"/>
              <w:spacing w:after="0" w:line="182" w:lineRule="exact"/>
              <w:rPr>
                <w:sz w:val="20"/>
                <w:szCs w:val="20"/>
                <w:color w:val="auto"/>
              </w:rPr>
            </w:pPr>
            <w:r>
              <w:rPr>
                <w:rFonts w:ascii="Arial" w:cs="Arial" w:eastAsia="Arial" w:hAnsi="Arial"/>
                <w:sz w:val="16"/>
                <w:szCs w:val="16"/>
                <w:color w:val="auto"/>
              </w:rPr>
              <w:t>annual performance objectives.</w:t>
            </w:r>
          </w:p>
        </w:tc>
      </w:tr>
      <w:tr>
        <w:trPr>
          <w:trHeight w:val="182"/>
        </w:trPr>
        <w:tc>
          <w:tcPr>
            <w:tcW w:w="20" w:type="dxa"/>
            <w:vAlign w:val="bottom"/>
          </w:tcPr>
          <w:p>
            <w:pPr>
              <w:spacing w:after="0"/>
              <w:rPr>
                <w:sz w:val="15"/>
                <w:szCs w:val="15"/>
                <w:color w:val="auto"/>
              </w:rPr>
            </w:pPr>
          </w:p>
        </w:tc>
        <w:tc>
          <w:tcPr>
            <w:tcW w:w="1580" w:type="dxa"/>
            <w:vAlign w:val="bottom"/>
            <w:shd w:val="clear" w:color="auto" w:fill="D8D8D8"/>
          </w:tcPr>
          <w:p>
            <w:pPr>
              <w:spacing w:after="0"/>
              <w:rPr>
                <w:sz w:val="15"/>
                <w:szCs w:val="15"/>
                <w:color w:val="auto"/>
              </w:rPr>
            </w:pPr>
          </w:p>
        </w:tc>
        <w:tc>
          <w:tcPr>
            <w:tcW w:w="4440" w:type="dxa"/>
            <w:vAlign w:val="bottom"/>
            <w:shd w:val="clear" w:color="auto" w:fill="D8D8D8"/>
          </w:tcPr>
          <w:p>
            <w:pPr>
              <w:ind w:left="100"/>
              <w:spacing w:after="0" w:line="182" w:lineRule="exact"/>
              <w:rPr>
                <w:sz w:val="20"/>
                <w:szCs w:val="20"/>
                <w:color w:val="auto"/>
              </w:rPr>
            </w:pPr>
            <w:r>
              <w:rPr>
                <w:rFonts w:ascii="Arial" w:cs="Arial" w:eastAsia="Arial" w:hAnsi="Arial"/>
                <w:sz w:val="16"/>
                <w:szCs w:val="16"/>
                <w:color w:val="auto"/>
              </w:rPr>
              <w:t>incidents modifier that could increase results by 20% based</w:t>
            </w:r>
          </w:p>
        </w:tc>
        <w:tc>
          <w:tcPr>
            <w:tcW w:w="3320" w:type="dxa"/>
            <w:vAlign w:val="bottom"/>
            <w:shd w:val="clear" w:color="auto" w:fill="D8D8D8"/>
          </w:tcPr>
          <w:p>
            <w:pPr>
              <w:ind w:left="60"/>
              <w:spacing w:after="0" w:line="182" w:lineRule="exact"/>
              <w:rPr>
                <w:sz w:val="20"/>
                <w:szCs w:val="20"/>
                <w:color w:val="auto"/>
              </w:rPr>
            </w:pPr>
            <w:r>
              <w:rPr>
                <w:rFonts w:ascii="Arial" w:cs="Arial" w:eastAsia="Arial" w:hAnsi="Arial"/>
                <w:sz w:val="16"/>
                <w:szCs w:val="16"/>
                <w:color w:val="auto"/>
              </w:rPr>
              <w:t>•   Drive top-tier performance through</w:t>
            </w:r>
          </w:p>
        </w:tc>
      </w:tr>
      <w:tr>
        <w:trPr>
          <w:trHeight w:val="182"/>
        </w:trPr>
        <w:tc>
          <w:tcPr>
            <w:tcW w:w="20" w:type="dxa"/>
            <w:vAlign w:val="bottom"/>
          </w:tcPr>
          <w:p>
            <w:pPr>
              <w:spacing w:after="0"/>
              <w:rPr>
                <w:sz w:val="15"/>
                <w:szCs w:val="15"/>
                <w:color w:val="auto"/>
              </w:rPr>
            </w:pPr>
          </w:p>
        </w:tc>
        <w:tc>
          <w:tcPr>
            <w:tcW w:w="1580" w:type="dxa"/>
            <w:vAlign w:val="bottom"/>
            <w:shd w:val="clear" w:color="auto" w:fill="D8D8D8"/>
          </w:tcPr>
          <w:p>
            <w:pPr>
              <w:spacing w:after="0"/>
              <w:rPr>
                <w:sz w:val="15"/>
                <w:szCs w:val="15"/>
                <w:color w:val="auto"/>
              </w:rPr>
            </w:pPr>
          </w:p>
        </w:tc>
        <w:tc>
          <w:tcPr>
            <w:tcW w:w="4440" w:type="dxa"/>
            <w:vAlign w:val="bottom"/>
            <w:shd w:val="clear" w:color="auto" w:fill="D8D8D8"/>
          </w:tcPr>
          <w:p>
            <w:pPr>
              <w:ind w:left="100"/>
              <w:spacing w:after="0" w:line="182" w:lineRule="exact"/>
              <w:rPr>
                <w:sz w:val="20"/>
                <w:szCs w:val="20"/>
                <w:color w:val="auto"/>
              </w:rPr>
            </w:pPr>
            <w:r>
              <w:rPr>
                <w:rFonts w:ascii="Arial" w:cs="Arial" w:eastAsia="Arial" w:hAnsi="Arial"/>
                <w:sz w:val="16"/>
                <w:szCs w:val="16"/>
                <w:color w:val="auto"/>
              </w:rPr>
              <w:t>on the change in critical incidents in comparison to 2022 and</w:t>
            </w:r>
          </w:p>
        </w:tc>
        <w:tc>
          <w:tcPr>
            <w:tcW w:w="3320" w:type="dxa"/>
            <w:vAlign w:val="bottom"/>
            <w:shd w:val="clear" w:color="auto" w:fill="D8D8D8"/>
          </w:tcPr>
          <w:p>
            <w:pPr>
              <w:ind w:left="220"/>
              <w:spacing w:after="0" w:line="182" w:lineRule="exact"/>
              <w:rPr>
                <w:sz w:val="20"/>
                <w:szCs w:val="20"/>
                <w:color w:val="auto"/>
              </w:rPr>
            </w:pPr>
            <w:r>
              <w:rPr>
                <w:rFonts w:ascii="Arial" w:cs="Arial" w:eastAsia="Arial" w:hAnsi="Arial"/>
                <w:sz w:val="16"/>
                <w:szCs w:val="16"/>
                <w:color w:val="auto"/>
              </w:rPr>
              <w:t>individual contributions.</w:t>
            </w:r>
          </w:p>
        </w:tc>
      </w:tr>
      <w:tr>
        <w:trPr>
          <w:trHeight w:val="182"/>
        </w:trPr>
        <w:tc>
          <w:tcPr>
            <w:tcW w:w="20" w:type="dxa"/>
            <w:vAlign w:val="bottom"/>
          </w:tcPr>
          <w:p>
            <w:pPr>
              <w:spacing w:after="0"/>
              <w:rPr>
                <w:sz w:val="15"/>
                <w:szCs w:val="15"/>
                <w:color w:val="auto"/>
              </w:rPr>
            </w:pPr>
          </w:p>
        </w:tc>
        <w:tc>
          <w:tcPr>
            <w:tcW w:w="1580" w:type="dxa"/>
            <w:vAlign w:val="bottom"/>
            <w:shd w:val="clear" w:color="auto" w:fill="D8D8D8"/>
          </w:tcPr>
          <w:p>
            <w:pPr>
              <w:spacing w:after="0"/>
              <w:rPr>
                <w:sz w:val="15"/>
                <w:szCs w:val="15"/>
                <w:color w:val="auto"/>
              </w:rPr>
            </w:pPr>
          </w:p>
        </w:tc>
        <w:tc>
          <w:tcPr>
            <w:tcW w:w="4440" w:type="dxa"/>
            <w:vAlign w:val="bottom"/>
            <w:shd w:val="clear" w:color="auto" w:fill="D8D8D8"/>
          </w:tcPr>
          <w:p>
            <w:pPr>
              <w:ind w:left="100"/>
              <w:spacing w:after="0" w:line="182" w:lineRule="exact"/>
              <w:rPr>
                <w:sz w:val="20"/>
                <w:szCs w:val="20"/>
                <w:color w:val="auto"/>
              </w:rPr>
            </w:pPr>
            <w:r>
              <w:rPr>
                <w:rFonts w:ascii="Arial" w:cs="Arial" w:eastAsia="Arial" w:hAnsi="Arial"/>
                <w:sz w:val="16"/>
                <w:szCs w:val="16"/>
                <w:color w:val="auto"/>
              </w:rPr>
              <w:t>with a potential modifier of +/- 10% based on individual</w:t>
            </w:r>
          </w:p>
        </w:tc>
        <w:tc>
          <w:tcPr>
            <w:tcW w:w="3320" w:type="dxa"/>
            <w:vAlign w:val="bottom"/>
            <w:shd w:val="clear" w:color="auto" w:fill="D8D8D8"/>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1580" w:type="dxa"/>
            <w:vAlign w:val="bottom"/>
            <w:shd w:val="clear" w:color="auto" w:fill="D8D8D8"/>
          </w:tcPr>
          <w:p>
            <w:pPr>
              <w:spacing w:after="0"/>
              <w:rPr>
                <w:sz w:val="17"/>
                <w:szCs w:val="17"/>
                <w:color w:val="auto"/>
              </w:rPr>
            </w:pPr>
          </w:p>
        </w:tc>
        <w:tc>
          <w:tcPr>
            <w:tcW w:w="4440" w:type="dxa"/>
            <w:vAlign w:val="bottom"/>
            <w:shd w:val="clear" w:color="auto" w:fill="D8D8D8"/>
          </w:tcPr>
          <w:p>
            <w:pPr>
              <w:ind w:left="100"/>
              <w:spacing w:after="0"/>
              <w:rPr>
                <w:sz w:val="20"/>
                <w:szCs w:val="20"/>
                <w:color w:val="auto"/>
              </w:rPr>
            </w:pPr>
            <w:r>
              <w:rPr>
                <w:rFonts w:ascii="Arial" w:cs="Arial" w:eastAsia="Arial" w:hAnsi="Arial"/>
                <w:sz w:val="16"/>
                <w:szCs w:val="16"/>
                <w:color w:val="auto"/>
              </w:rPr>
              <w:t>performance.</w:t>
            </w:r>
          </w:p>
        </w:tc>
        <w:tc>
          <w:tcPr>
            <w:tcW w:w="3320" w:type="dxa"/>
            <w:vAlign w:val="bottom"/>
            <w:shd w:val="clear" w:color="auto" w:fill="D8D8D8"/>
          </w:tcPr>
          <w:p>
            <w:pPr>
              <w:spacing w:after="0"/>
              <w:rPr>
                <w:sz w:val="17"/>
                <w:szCs w:val="17"/>
                <w:color w:val="auto"/>
              </w:rPr>
            </w:pPr>
          </w:p>
        </w:tc>
      </w:tr>
      <w:tr>
        <w:trPr>
          <w:trHeight w:val="1315"/>
        </w:trPr>
        <w:tc>
          <w:tcPr>
            <w:tcW w:w="20" w:type="dxa"/>
            <w:vAlign w:val="bottom"/>
          </w:tcPr>
          <w:p>
            <w:pPr>
              <w:spacing w:after="0"/>
              <w:rPr>
                <w:sz w:val="24"/>
                <w:szCs w:val="24"/>
                <w:color w:val="auto"/>
              </w:rPr>
            </w:pPr>
          </w:p>
        </w:tc>
        <w:tc>
          <w:tcPr>
            <w:tcW w:w="1580" w:type="dxa"/>
            <w:vAlign w:val="bottom"/>
            <w:shd w:val="clear" w:color="auto" w:fill="D8D8D8"/>
          </w:tcPr>
          <w:p>
            <w:pPr>
              <w:ind w:left="160"/>
              <w:spacing w:after="0"/>
              <w:rPr>
                <w:sz w:val="20"/>
                <w:szCs w:val="20"/>
                <w:color w:val="auto"/>
              </w:rPr>
            </w:pPr>
            <w:r>
              <w:rPr>
                <w:rFonts w:ascii="Arial" w:cs="Arial" w:eastAsia="Arial" w:hAnsi="Arial"/>
                <w:sz w:val="16"/>
                <w:szCs w:val="16"/>
                <w:color w:val="auto"/>
              </w:rPr>
              <w:t>Long-Term</w:t>
            </w:r>
          </w:p>
        </w:tc>
        <w:tc>
          <w:tcPr>
            <w:tcW w:w="4440" w:type="dxa"/>
            <w:vAlign w:val="bottom"/>
            <w:shd w:val="clear" w:color="auto" w:fill="D8D8D8"/>
          </w:tcPr>
          <w:p>
            <w:pPr>
              <w:ind w:left="100"/>
              <w:spacing w:after="0"/>
              <w:rPr>
                <w:sz w:val="20"/>
                <w:szCs w:val="20"/>
                <w:color w:val="auto"/>
              </w:rPr>
            </w:pPr>
            <w:r>
              <w:rPr>
                <w:rFonts w:ascii="Arial" w:cs="Arial" w:eastAsia="Arial" w:hAnsi="Arial"/>
                <w:sz w:val="16"/>
                <w:szCs w:val="16"/>
                <w:color w:val="auto"/>
              </w:rPr>
              <w:t>Long-term equity incentives granted in the form of service-</w:t>
            </w:r>
          </w:p>
        </w:tc>
        <w:tc>
          <w:tcPr>
            <w:tcW w:w="3320" w:type="dxa"/>
            <w:vAlign w:val="bottom"/>
            <w:shd w:val="clear" w:color="auto" w:fill="D8D8D8"/>
          </w:tcPr>
          <w:p>
            <w:pPr>
              <w:ind w:left="60"/>
              <w:spacing w:after="0"/>
              <w:rPr>
                <w:sz w:val="20"/>
                <w:szCs w:val="20"/>
                <w:color w:val="auto"/>
              </w:rPr>
            </w:pPr>
            <w:r>
              <w:rPr>
                <w:rFonts w:ascii="Arial" w:cs="Arial" w:eastAsia="Arial" w:hAnsi="Arial"/>
                <w:sz w:val="16"/>
                <w:szCs w:val="16"/>
                <w:color w:val="auto"/>
              </w:rPr>
              <w:t>•   Attract and retain key managerial talent.</w:t>
            </w:r>
          </w:p>
        </w:tc>
      </w:tr>
      <w:tr>
        <w:trPr>
          <w:trHeight w:val="182"/>
        </w:trPr>
        <w:tc>
          <w:tcPr>
            <w:tcW w:w="20" w:type="dxa"/>
            <w:vAlign w:val="bottom"/>
          </w:tcPr>
          <w:p>
            <w:pPr>
              <w:spacing w:after="0"/>
              <w:rPr>
                <w:sz w:val="15"/>
                <w:szCs w:val="15"/>
                <w:color w:val="auto"/>
              </w:rPr>
            </w:pPr>
          </w:p>
        </w:tc>
        <w:tc>
          <w:tcPr>
            <w:tcW w:w="1580" w:type="dxa"/>
            <w:vAlign w:val="bottom"/>
            <w:shd w:val="clear" w:color="auto" w:fill="D8D8D8"/>
          </w:tcPr>
          <w:p>
            <w:pPr>
              <w:ind w:left="160"/>
              <w:spacing w:after="0" w:line="182" w:lineRule="exact"/>
              <w:rPr>
                <w:sz w:val="20"/>
                <w:szCs w:val="20"/>
                <w:color w:val="auto"/>
              </w:rPr>
            </w:pPr>
            <w:r>
              <w:rPr>
                <w:rFonts w:ascii="Arial" w:cs="Arial" w:eastAsia="Arial" w:hAnsi="Arial"/>
                <w:sz w:val="16"/>
                <w:szCs w:val="16"/>
                <w:color w:val="auto"/>
              </w:rPr>
              <w:t>Incentive</w:t>
            </w:r>
          </w:p>
        </w:tc>
        <w:tc>
          <w:tcPr>
            <w:tcW w:w="4440" w:type="dxa"/>
            <w:vAlign w:val="bottom"/>
            <w:shd w:val="clear" w:color="auto" w:fill="D8D8D8"/>
          </w:tcPr>
          <w:p>
            <w:pPr>
              <w:ind w:left="100"/>
              <w:spacing w:after="0" w:line="182" w:lineRule="exact"/>
              <w:rPr>
                <w:sz w:val="20"/>
                <w:szCs w:val="20"/>
                <w:color w:val="auto"/>
              </w:rPr>
            </w:pPr>
            <w:r>
              <w:rPr>
                <w:rFonts w:ascii="Arial" w:cs="Arial" w:eastAsia="Arial" w:hAnsi="Arial"/>
                <w:sz w:val="16"/>
                <w:szCs w:val="16"/>
                <w:color w:val="auto"/>
              </w:rPr>
              <w:t>based RSUs and PSUs tied to our Revenue Net of</w:t>
            </w:r>
          </w:p>
        </w:tc>
        <w:tc>
          <w:tcPr>
            <w:tcW w:w="3320" w:type="dxa"/>
            <w:vAlign w:val="bottom"/>
            <w:shd w:val="clear" w:color="auto" w:fill="D8D8D8"/>
          </w:tcPr>
          <w:p>
            <w:pPr>
              <w:ind w:left="60"/>
              <w:spacing w:after="0" w:line="182" w:lineRule="exact"/>
              <w:rPr>
                <w:sz w:val="20"/>
                <w:szCs w:val="20"/>
                <w:color w:val="auto"/>
              </w:rPr>
            </w:pPr>
            <w:r>
              <w:rPr>
                <w:rFonts w:ascii="Arial" w:cs="Arial" w:eastAsia="Arial" w:hAnsi="Arial"/>
                <w:sz w:val="16"/>
                <w:szCs w:val="16"/>
                <w:color w:val="auto"/>
              </w:rPr>
              <w:t>•   Drive top-tier performance through long-</w:t>
            </w:r>
          </w:p>
        </w:tc>
      </w:tr>
      <w:tr>
        <w:trPr>
          <w:trHeight w:val="182"/>
        </w:trPr>
        <w:tc>
          <w:tcPr>
            <w:tcW w:w="20" w:type="dxa"/>
            <w:vAlign w:val="bottom"/>
          </w:tcPr>
          <w:p>
            <w:pPr>
              <w:spacing w:after="0"/>
              <w:rPr>
                <w:sz w:val="15"/>
                <w:szCs w:val="15"/>
                <w:color w:val="auto"/>
              </w:rPr>
            </w:pPr>
          </w:p>
        </w:tc>
        <w:tc>
          <w:tcPr>
            <w:tcW w:w="1580" w:type="dxa"/>
            <w:vAlign w:val="bottom"/>
            <w:shd w:val="clear" w:color="auto" w:fill="D8D8D8"/>
          </w:tcPr>
          <w:p>
            <w:pPr>
              <w:spacing w:after="0"/>
              <w:rPr>
                <w:sz w:val="15"/>
                <w:szCs w:val="15"/>
                <w:color w:val="auto"/>
              </w:rPr>
            </w:pPr>
          </w:p>
        </w:tc>
        <w:tc>
          <w:tcPr>
            <w:tcW w:w="4440" w:type="dxa"/>
            <w:vAlign w:val="bottom"/>
            <w:shd w:val="clear" w:color="auto" w:fill="D8D8D8"/>
          </w:tcPr>
          <w:p>
            <w:pPr>
              <w:ind w:left="100"/>
              <w:spacing w:after="0" w:line="182" w:lineRule="exact"/>
              <w:rPr>
                <w:sz w:val="20"/>
                <w:szCs w:val="20"/>
                <w:color w:val="auto"/>
              </w:rPr>
            </w:pPr>
            <w:r>
              <w:rPr>
                <w:rFonts w:ascii="Arial" w:cs="Arial" w:eastAsia="Arial" w:hAnsi="Arial"/>
                <w:sz w:val="16"/>
                <w:szCs w:val="16"/>
                <w:color w:val="auto"/>
              </w:rPr>
              <w:t>Interchange Growth and Net Adjusted EBITDA Margin, with</w:t>
            </w:r>
          </w:p>
        </w:tc>
        <w:tc>
          <w:tcPr>
            <w:tcW w:w="3320" w:type="dxa"/>
            <w:vAlign w:val="bottom"/>
            <w:shd w:val="clear" w:color="auto" w:fill="D8D8D8"/>
          </w:tcPr>
          <w:p>
            <w:pPr>
              <w:ind w:left="220"/>
              <w:spacing w:after="0" w:line="182" w:lineRule="exact"/>
              <w:rPr>
                <w:sz w:val="20"/>
                <w:szCs w:val="20"/>
                <w:color w:val="auto"/>
              </w:rPr>
            </w:pPr>
            <w:r>
              <w:rPr>
                <w:rFonts w:ascii="Arial" w:cs="Arial" w:eastAsia="Arial" w:hAnsi="Arial"/>
                <w:sz w:val="16"/>
                <w:szCs w:val="16"/>
                <w:color w:val="auto"/>
              </w:rPr>
              <w:t>term and sustained company success.</w:t>
            </w:r>
          </w:p>
        </w:tc>
      </w:tr>
      <w:tr>
        <w:trPr>
          <w:trHeight w:val="182"/>
        </w:trPr>
        <w:tc>
          <w:tcPr>
            <w:tcW w:w="20" w:type="dxa"/>
            <w:vAlign w:val="bottom"/>
          </w:tcPr>
          <w:p>
            <w:pPr>
              <w:spacing w:after="0"/>
              <w:rPr>
                <w:sz w:val="15"/>
                <w:szCs w:val="15"/>
                <w:color w:val="auto"/>
              </w:rPr>
            </w:pPr>
          </w:p>
        </w:tc>
        <w:tc>
          <w:tcPr>
            <w:tcW w:w="1580" w:type="dxa"/>
            <w:vAlign w:val="bottom"/>
            <w:shd w:val="clear" w:color="auto" w:fill="D8D8D8"/>
          </w:tcPr>
          <w:p>
            <w:pPr>
              <w:spacing w:after="0"/>
              <w:rPr>
                <w:sz w:val="15"/>
                <w:szCs w:val="15"/>
                <w:color w:val="auto"/>
              </w:rPr>
            </w:pPr>
          </w:p>
        </w:tc>
        <w:tc>
          <w:tcPr>
            <w:tcW w:w="4440" w:type="dxa"/>
            <w:vAlign w:val="bottom"/>
            <w:shd w:val="clear" w:color="auto" w:fill="D8D8D8"/>
          </w:tcPr>
          <w:p>
            <w:pPr>
              <w:ind w:left="100"/>
              <w:spacing w:after="0" w:line="182" w:lineRule="exact"/>
              <w:rPr>
                <w:sz w:val="20"/>
                <w:szCs w:val="20"/>
                <w:color w:val="auto"/>
              </w:rPr>
            </w:pPr>
            <w:r>
              <w:rPr>
                <w:rFonts w:ascii="Arial" w:cs="Arial" w:eastAsia="Arial" w:hAnsi="Arial"/>
                <w:sz w:val="16"/>
                <w:szCs w:val="16"/>
                <w:color w:val="auto"/>
              </w:rPr>
              <w:t>an rTSR multiplier.</w:t>
            </w:r>
          </w:p>
        </w:tc>
        <w:tc>
          <w:tcPr>
            <w:tcW w:w="3320" w:type="dxa"/>
            <w:vAlign w:val="bottom"/>
            <w:shd w:val="clear" w:color="auto" w:fill="D8D8D8"/>
          </w:tcPr>
          <w:p>
            <w:pPr>
              <w:ind w:left="60"/>
              <w:spacing w:after="0" w:line="182" w:lineRule="exact"/>
              <w:rPr>
                <w:sz w:val="20"/>
                <w:szCs w:val="20"/>
                <w:color w:val="auto"/>
              </w:rPr>
            </w:pPr>
            <w:r>
              <w:rPr>
                <w:rFonts w:ascii="Arial" w:cs="Arial" w:eastAsia="Arial" w:hAnsi="Arial"/>
                <w:sz w:val="16"/>
                <w:szCs w:val="16"/>
                <w:color w:val="auto"/>
              </w:rPr>
              <w:t>•   Enhance stock ownership to promote</w:t>
            </w:r>
          </w:p>
        </w:tc>
      </w:tr>
      <w:tr>
        <w:trPr>
          <w:trHeight w:val="205"/>
        </w:trPr>
        <w:tc>
          <w:tcPr>
            <w:tcW w:w="20" w:type="dxa"/>
            <w:vAlign w:val="bottom"/>
          </w:tcPr>
          <w:p>
            <w:pPr>
              <w:spacing w:after="0"/>
              <w:rPr>
                <w:sz w:val="17"/>
                <w:szCs w:val="17"/>
                <w:color w:val="auto"/>
              </w:rPr>
            </w:pPr>
          </w:p>
        </w:tc>
        <w:tc>
          <w:tcPr>
            <w:tcW w:w="1580" w:type="dxa"/>
            <w:vAlign w:val="bottom"/>
            <w:shd w:val="clear" w:color="auto" w:fill="D8D8D8"/>
          </w:tcPr>
          <w:p>
            <w:pPr>
              <w:spacing w:after="0"/>
              <w:rPr>
                <w:sz w:val="17"/>
                <w:szCs w:val="17"/>
                <w:color w:val="auto"/>
              </w:rPr>
            </w:pPr>
          </w:p>
        </w:tc>
        <w:tc>
          <w:tcPr>
            <w:tcW w:w="4440" w:type="dxa"/>
            <w:vAlign w:val="bottom"/>
            <w:shd w:val="clear" w:color="auto" w:fill="D8D8D8"/>
          </w:tcPr>
          <w:p>
            <w:pPr>
              <w:spacing w:after="0"/>
              <w:rPr>
                <w:sz w:val="17"/>
                <w:szCs w:val="17"/>
                <w:color w:val="auto"/>
              </w:rPr>
            </w:pPr>
          </w:p>
        </w:tc>
        <w:tc>
          <w:tcPr>
            <w:tcW w:w="3320" w:type="dxa"/>
            <w:vAlign w:val="bottom"/>
            <w:shd w:val="clear" w:color="auto" w:fill="D8D8D8"/>
          </w:tcPr>
          <w:p>
            <w:pPr>
              <w:ind w:left="220"/>
              <w:spacing w:after="0"/>
              <w:rPr>
                <w:sz w:val="20"/>
                <w:szCs w:val="20"/>
                <w:color w:val="auto"/>
              </w:rPr>
            </w:pPr>
            <w:r>
              <w:rPr>
                <w:rFonts w:ascii="Arial" w:cs="Arial" w:eastAsia="Arial" w:hAnsi="Arial"/>
                <w:sz w:val="16"/>
                <w:szCs w:val="16"/>
                <w:color w:val="auto"/>
              </w:rPr>
              <w:t>alignment with stockholders’ interests.</w:t>
            </w:r>
          </w:p>
        </w:tc>
      </w:tr>
      <w:tr>
        <w:trPr>
          <w:trHeight w:val="786"/>
        </w:trPr>
        <w:tc>
          <w:tcPr>
            <w:tcW w:w="20" w:type="dxa"/>
            <w:vAlign w:val="bottom"/>
          </w:tcPr>
          <w:p>
            <w:pPr>
              <w:spacing w:after="0"/>
              <w:rPr>
                <w:sz w:val="24"/>
                <w:szCs w:val="24"/>
                <w:color w:val="auto"/>
              </w:rPr>
            </w:pPr>
          </w:p>
        </w:tc>
        <w:tc>
          <w:tcPr>
            <w:tcW w:w="1580" w:type="dxa"/>
            <w:vAlign w:val="bottom"/>
            <w:shd w:val="clear" w:color="auto" w:fill="D8D8D8"/>
          </w:tcPr>
          <w:p>
            <w:pPr>
              <w:spacing w:after="0"/>
              <w:rPr>
                <w:sz w:val="24"/>
                <w:szCs w:val="24"/>
                <w:color w:val="auto"/>
              </w:rPr>
            </w:pPr>
          </w:p>
        </w:tc>
        <w:tc>
          <w:tcPr>
            <w:tcW w:w="4440" w:type="dxa"/>
            <w:vAlign w:val="bottom"/>
            <w:shd w:val="clear" w:color="auto" w:fill="D8D8D8"/>
          </w:tcPr>
          <w:p>
            <w:pPr>
              <w:ind w:left="1760"/>
              <w:spacing w:after="0"/>
              <w:rPr>
                <w:sz w:val="20"/>
                <w:szCs w:val="20"/>
                <w:color w:val="auto"/>
              </w:rPr>
            </w:pPr>
            <w:r>
              <w:rPr>
                <w:rFonts w:ascii="Arial" w:cs="Arial" w:eastAsia="Arial" w:hAnsi="Arial"/>
                <w:sz w:val="17"/>
                <w:szCs w:val="17"/>
                <w:color w:val="auto"/>
              </w:rPr>
              <w:t xml:space="preserve">           </w:t>
            </w:r>
          </w:p>
        </w:tc>
        <w:tc>
          <w:tcPr>
            <w:tcW w:w="3320" w:type="dxa"/>
            <w:vAlign w:val="bottom"/>
            <w:shd w:val="clear" w:color="auto" w:fill="D8D8D8"/>
          </w:tcPr>
          <w:p>
            <w:pPr>
              <w:spacing w:after="0"/>
              <w:rPr>
                <w:sz w:val="24"/>
                <w:szCs w:val="24"/>
                <w:color w:val="auto"/>
              </w:rPr>
            </w:pPr>
          </w:p>
        </w:tc>
      </w:tr>
      <w:tr>
        <w:trPr>
          <w:trHeight w:val="1803"/>
        </w:trPr>
        <w:tc>
          <w:tcPr>
            <w:tcW w:w="20" w:type="dxa"/>
            <w:vAlign w:val="bottom"/>
          </w:tcPr>
          <w:p>
            <w:pPr>
              <w:spacing w:after="0"/>
              <w:rPr>
                <w:sz w:val="24"/>
                <w:szCs w:val="24"/>
                <w:color w:val="auto"/>
              </w:rPr>
            </w:pPr>
          </w:p>
        </w:tc>
        <w:tc>
          <w:tcPr>
            <w:tcW w:w="1580" w:type="dxa"/>
            <w:vAlign w:val="bottom"/>
            <w:shd w:val="clear" w:color="auto" w:fill="D8D8D8"/>
          </w:tcPr>
          <w:p>
            <w:pPr>
              <w:ind w:left="160"/>
              <w:spacing w:after="0"/>
              <w:rPr>
                <w:sz w:val="20"/>
                <w:szCs w:val="20"/>
                <w:color w:val="auto"/>
              </w:rPr>
            </w:pPr>
            <w:r>
              <w:rPr>
                <w:rFonts w:ascii="Arial" w:cs="Arial" w:eastAsia="Arial" w:hAnsi="Arial"/>
                <w:sz w:val="16"/>
                <w:szCs w:val="16"/>
                <w:color w:val="auto"/>
              </w:rPr>
              <w:t>Retirement, Health,</w:t>
            </w:r>
          </w:p>
        </w:tc>
        <w:tc>
          <w:tcPr>
            <w:tcW w:w="4440" w:type="dxa"/>
            <w:vAlign w:val="bottom"/>
            <w:shd w:val="clear" w:color="auto" w:fill="D8D8D8"/>
          </w:tcPr>
          <w:p>
            <w:pPr>
              <w:ind w:left="100"/>
              <w:spacing w:after="0"/>
              <w:rPr>
                <w:sz w:val="20"/>
                <w:szCs w:val="20"/>
                <w:color w:val="auto"/>
              </w:rPr>
            </w:pPr>
            <w:r>
              <w:rPr>
                <w:rFonts w:ascii="Arial" w:cs="Arial" w:eastAsia="Arial" w:hAnsi="Arial"/>
                <w:sz w:val="16"/>
                <w:szCs w:val="16"/>
                <w:color w:val="auto"/>
              </w:rPr>
              <w:t>Broad-based market-competitive employee benefits</w:t>
            </w:r>
          </w:p>
        </w:tc>
        <w:tc>
          <w:tcPr>
            <w:tcW w:w="3320" w:type="dxa"/>
            <w:vAlign w:val="bottom"/>
            <w:shd w:val="clear" w:color="auto" w:fill="D8D8D8"/>
          </w:tcPr>
          <w:p>
            <w:pPr>
              <w:ind w:left="60"/>
              <w:spacing w:after="0"/>
              <w:rPr>
                <w:sz w:val="20"/>
                <w:szCs w:val="20"/>
                <w:color w:val="auto"/>
              </w:rPr>
            </w:pPr>
            <w:r>
              <w:rPr>
                <w:rFonts w:ascii="Arial" w:cs="Arial" w:eastAsia="Arial" w:hAnsi="Arial"/>
                <w:sz w:val="16"/>
                <w:szCs w:val="16"/>
                <w:color w:val="auto"/>
              </w:rPr>
              <w:t>•   Attract and retain key managerial talent.</w:t>
            </w:r>
          </w:p>
        </w:tc>
      </w:tr>
      <w:tr>
        <w:trPr>
          <w:trHeight w:val="182"/>
        </w:trPr>
        <w:tc>
          <w:tcPr>
            <w:tcW w:w="20" w:type="dxa"/>
            <w:vAlign w:val="bottom"/>
          </w:tcPr>
          <w:p>
            <w:pPr>
              <w:spacing w:after="0"/>
              <w:rPr>
                <w:sz w:val="15"/>
                <w:szCs w:val="15"/>
                <w:color w:val="auto"/>
              </w:rPr>
            </w:pPr>
          </w:p>
        </w:tc>
        <w:tc>
          <w:tcPr>
            <w:tcW w:w="1580" w:type="dxa"/>
            <w:vAlign w:val="bottom"/>
            <w:shd w:val="clear" w:color="auto" w:fill="D8D8D8"/>
          </w:tcPr>
          <w:p>
            <w:pPr>
              <w:ind w:left="160"/>
              <w:spacing w:after="0" w:line="182" w:lineRule="exact"/>
              <w:rPr>
                <w:sz w:val="20"/>
                <w:szCs w:val="20"/>
                <w:color w:val="auto"/>
              </w:rPr>
            </w:pPr>
            <w:r>
              <w:rPr>
                <w:rFonts w:ascii="Arial" w:cs="Arial" w:eastAsia="Arial" w:hAnsi="Arial"/>
                <w:sz w:val="16"/>
                <w:szCs w:val="16"/>
                <w:color w:val="auto"/>
              </w:rPr>
              <w:t>Welfare and Other</w:t>
            </w:r>
          </w:p>
        </w:tc>
        <w:tc>
          <w:tcPr>
            <w:tcW w:w="4440" w:type="dxa"/>
            <w:vAlign w:val="bottom"/>
            <w:shd w:val="clear" w:color="auto" w:fill="D8D8D8"/>
          </w:tcPr>
          <w:p>
            <w:pPr>
              <w:ind w:left="100"/>
              <w:spacing w:after="0" w:line="182" w:lineRule="exact"/>
              <w:rPr>
                <w:sz w:val="20"/>
                <w:szCs w:val="20"/>
                <w:color w:val="auto"/>
              </w:rPr>
            </w:pPr>
            <w:r>
              <w:rPr>
                <w:rFonts w:ascii="Arial" w:cs="Arial" w:eastAsia="Arial" w:hAnsi="Arial"/>
                <w:sz w:val="16"/>
                <w:szCs w:val="16"/>
                <w:color w:val="auto"/>
              </w:rPr>
              <w:t>consistent with the benefits available to our employees</w:t>
            </w:r>
          </w:p>
        </w:tc>
        <w:tc>
          <w:tcPr>
            <w:tcW w:w="3320" w:type="dxa"/>
            <w:vAlign w:val="bottom"/>
            <w:shd w:val="clear" w:color="auto" w:fill="D8D8D8"/>
          </w:tcPr>
          <w:p>
            <w:pPr>
              <w:ind w:left="60"/>
              <w:spacing w:after="0" w:line="182" w:lineRule="exact"/>
              <w:rPr>
                <w:sz w:val="20"/>
                <w:szCs w:val="20"/>
                <w:color w:val="auto"/>
              </w:rPr>
            </w:pPr>
            <w:r>
              <w:rPr>
                <w:rFonts w:ascii="Arial" w:cs="Arial" w:eastAsia="Arial" w:hAnsi="Arial"/>
                <w:sz w:val="16"/>
                <w:szCs w:val="16"/>
                <w:color w:val="auto"/>
              </w:rPr>
              <w:t>•   Promote health and well-being of</w:t>
            </w:r>
          </w:p>
        </w:tc>
      </w:tr>
      <w:tr>
        <w:trPr>
          <w:trHeight w:val="182"/>
        </w:trPr>
        <w:tc>
          <w:tcPr>
            <w:tcW w:w="20" w:type="dxa"/>
            <w:vAlign w:val="bottom"/>
          </w:tcPr>
          <w:p>
            <w:pPr>
              <w:spacing w:after="0"/>
              <w:rPr>
                <w:sz w:val="15"/>
                <w:szCs w:val="15"/>
                <w:color w:val="auto"/>
              </w:rPr>
            </w:pPr>
          </w:p>
        </w:tc>
        <w:tc>
          <w:tcPr>
            <w:tcW w:w="1580" w:type="dxa"/>
            <w:vAlign w:val="bottom"/>
            <w:shd w:val="clear" w:color="auto" w:fill="D8D8D8"/>
          </w:tcPr>
          <w:p>
            <w:pPr>
              <w:ind w:left="160"/>
              <w:spacing w:after="0" w:line="182" w:lineRule="exact"/>
              <w:rPr>
                <w:sz w:val="20"/>
                <w:szCs w:val="20"/>
                <w:color w:val="auto"/>
              </w:rPr>
            </w:pPr>
            <w:r>
              <w:rPr>
                <w:rFonts w:ascii="Arial" w:cs="Arial" w:eastAsia="Arial" w:hAnsi="Arial"/>
                <w:sz w:val="16"/>
                <w:szCs w:val="16"/>
                <w:color w:val="auto"/>
              </w:rPr>
              <w:t>Benefits</w:t>
            </w:r>
          </w:p>
        </w:tc>
        <w:tc>
          <w:tcPr>
            <w:tcW w:w="4440" w:type="dxa"/>
            <w:vAlign w:val="bottom"/>
            <w:shd w:val="clear" w:color="auto" w:fill="D8D8D8"/>
          </w:tcPr>
          <w:p>
            <w:pPr>
              <w:ind w:left="100"/>
              <w:spacing w:after="0" w:line="182" w:lineRule="exact"/>
              <w:rPr>
                <w:sz w:val="20"/>
                <w:szCs w:val="20"/>
                <w:color w:val="auto"/>
              </w:rPr>
            </w:pPr>
            <w:r>
              <w:rPr>
                <w:rFonts w:ascii="Arial" w:cs="Arial" w:eastAsia="Arial" w:hAnsi="Arial"/>
                <w:sz w:val="16"/>
                <w:szCs w:val="16"/>
                <w:color w:val="auto"/>
                <w:w w:val="98"/>
              </w:rPr>
              <w:t>generally, including our employee stock purchase plan; 401(k)</w:t>
            </w:r>
          </w:p>
        </w:tc>
        <w:tc>
          <w:tcPr>
            <w:tcW w:w="3320" w:type="dxa"/>
            <w:vAlign w:val="bottom"/>
            <w:shd w:val="clear" w:color="auto" w:fill="D8D8D8"/>
          </w:tcPr>
          <w:p>
            <w:pPr>
              <w:ind w:left="220"/>
              <w:spacing w:after="0" w:line="182" w:lineRule="exact"/>
              <w:rPr>
                <w:sz w:val="20"/>
                <w:szCs w:val="20"/>
                <w:color w:val="auto"/>
              </w:rPr>
            </w:pPr>
            <w:r>
              <w:rPr>
                <w:rFonts w:ascii="Arial" w:cs="Arial" w:eastAsia="Arial" w:hAnsi="Arial"/>
                <w:sz w:val="16"/>
                <w:szCs w:val="16"/>
                <w:color w:val="auto"/>
              </w:rPr>
              <w:t>executive officers.</w:t>
            </w:r>
          </w:p>
        </w:tc>
      </w:tr>
      <w:tr>
        <w:trPr>
          <w:trHeight w:val="182"/>
        </w:trPr>
        <w:tc>
          <w:tcPr>
            <w:tcW w:w="20" w:type="dxa"/>
            <w:vAlign w:val="bottom"/>
          </w:tcPr>
          <w:p>
            <w:pPr>
              <w:spacing w:after="0"/>
              <w:rPr>
                <w:sz w:val="15"/>
                <w:szCs w:val="15"/>
                <w:color w:val="auto"/>
              </w:rPr>
            </w:pPr>
          </w:p>
        </w:tc>
        <w:tc>
          <w:tcPr>
            <w:tcW w:w="1580" w:type="dxa"/>
            <w:vAlign w:val="bottom"/>
            <w:shd w:val="clear" w:color="auto" w:fill="D8D8D8"/>
          </w:tcPr>
          <w:p>
            <w:pPr>
              <w:spacing w:after="0"/>
              <w:rPr>
                <w:sz w:val="15"/>
                <w:szCs w:val="15"/>
                <w:color w:val="auto"/>
              </w:rPr>
            </w:pPr>
          </w:p>
        </w:tc>
        <w:tc>
          <w:tcPr>
            <w:tcW w:w="4440" w:type="dxa"/>
            <w:vAlign w:val="bottom"/>
            <w:shd w:val="clear" w:color="auto" w:fill="D8D8D8"/>
          </w:tcPr>
          <w:p>
            <w:pPr>
              <w:ind w:left="100"/>
              <w:spacing w:after="0" w:line="182" w:lineRule="exact"/>
              <w:rPr>
                <w:sz w:val="20"/>
                <w:szCs w:val="20"/>
                <w:color w:val="auto"/>
              </w:rPr>
            </w:pPr>
            <w:r>
              <w:rPr>
                <w:rFonts w:ascii="Arial" w:cs="Arial" w:eastAsia="Arial" w:hAnsi="Arial"/>
                <w:sz w:val="16"/>
                <w:szCs w:val="16"/>
                <w:color w:val="auto"/>
              </w:rPr>
              <w:t>retirement plan; life, health, and dental insurance; and short-</w:t>
            </w:r>
          </w:p>
        </w:tc>
        <w:tc>
          <w:tcPr>
            <w:tcW w:w="3320" w:type="dxa"/>
            <w:vAlign w:val="bottom"/>
            <w:shd w:val="clear" w:color="auto" w:fill="D8D8D8"/>
          </w:tcPr>
          <w:p>
            <w:pPr>
              <w:ind w:left="60"/>
              <w:spacing w:after="0" w:line="182" w:lineRule="exact"/>
              <w:rPr>
                <w:sz w:val="20"/>
                <w:szCs w:val="20"/>
                <w:color w:val="auto"/>
              </w:rPr>
            </w:pPr>
            <w:r>
              <w:rPr>
                <w:rFonts w:ascii="Arial" w:cs="Arial" w:eastAsia="Arial" w:hAnsi="Arial"/>
                <w:sz w:val="16"/>
                <w:szCs w:val="16"/>
                <w:color w:val="auto"/>
              </w:rPr>
              <w:t>•   Provide death benefits to executive</w:t>
            </w:r>
          </w:p>
        </w:tc>
      </w:tr>
      <w:tr>
        <w:trPr>
          <w:trHeight w:val="182"/>
        </w:trPr>
        <w:tc>
          <w:tcPr>
            <w:tcW w:w="20" w:type="dxa"/>
            <w:vAlign w:val="bottom"/>
          </w:tcPr>
          <w:p>
            <w:pPr>
              <w:spacing w:after="0"/>
              <w:rPr>
                <w:sz w:val="15"/>
                <w:szCs w:val="15"/>
                <w:color w:val="auto"/>
              </w:rPr>
            </w:pPr>
          </w:p>
        </w:tc>
        <w:tc>
          <w:tcPr>
            <w:tcW w:w="1580" w:type="dxa"/>
            <w:vAlign w:val="bottom"/>
            <w:shd w:val="clear" w:color="auto" w:fill="D8D8D8"/>
          </w:tcPr>
          <w:p>
            <w:pPr>
              <w:spacing w:after="0"/>
              <w:rPr>
                <w:sz w:val="15"/>
                <w:szCs w:val="15"/>
                <w:color w:val="auto"/>
              </w:rPr>
            </w:pPr>
          </w:p>
        </w:tc>
        <w:tc>
          <w:tcPr>
            <w:tcW w:w="4440" w:type="dxa"/>
            <w:vAlign w:val="bottom"/>
            <w:shd w:val="clear" w:color="auto" w:fill="D8D8D8"/>
          </w:tcPr>
          <w:p>
            <w:pPr>
              <w:ind w:left="100"/>
              <w:spacing w:after="0" w:line="182" w:lineRule="exact"/>
              <w:rPr>
                <w:sz w:val="20"/>
                <w:szCs w:val="20"/>
                <w:color w:val="auto"/>
              </w:rPr>
            </w:pPr>
            <w:r>
              <w:rPr>
                <w:rFonts w:ascii="Arial" w:cs="Arial" w:eastAsia="Arial" w:hAnsi="Arial"/>
                <w:sz w:val="16"/>
                <w:szCs w:val="16"/>
                <w:color w:val="auto"/>
              </w:rPr>
              <w:t>term and long-term disability plans. In addition, we provide</w:t>
            </w:r>
          </w:p>
        </w:tc>
        <w:tc>
          <w:tcPr>
            <w:tcW w:w="3320" w:type="dxa"/>
            <w:vAlign w:val="bottom"/>
            <w:shd w:val="clear" w:color="auto" w:fill="D8D8D8"/>
          </w:tcPr>
          <w:p>
            <w:pPr>
              <w:ind w:left="220"/>
              <w:spacing w:after="0" w:line="182" w:lineRule="exact"/>
              <w:rPr>
                <w:sz w:val="20"/>
                <w:szCs w:val="20"/>
                <w:color w:val="auto"/>
              </w:rPr>
            </w:pPr>
            <w:r>
              <w:rPr>
                <w:rFonts w:ascii="Arial" w:cs="Arial" w:eastAsia="Arial" w:hAnsi="Arial"/>
                <w:sz w:val="16"/>
                <w:szCs w:val="16"/>
                <w:color w:val="auto"/>
              </w:rPr>
              <w:t>officers’ beneficiaries.</w:t>
            </w:r>
          </w:p>
        </w:tc>
      </w:tr>
      <w:tr>
        <w:trPr>
          <w:trHeight w:val="205"/>
        </w:trPr>
        <w:tc>
          <w:tcPr>
            <w:tcW w:w="20" w:type="dxa"/>
            <w:vAlign w:val="bottom"/>
          </w:tcPr>
          <w:p>
            <w:pPr>
              <w:spacing w:after="0"/>
              <w:rPr>
                <w:sz w:val="17"/>
                <w:szCs w:val="17"/>
                <w:color w:val="auto"/>
              </w:rPr>
            </w:pPr>
          </w:p>
        </w:tc>
        <w:tc>
          <w:tcPr>
            <w:tcW w:w="1580" w:type="dxa"/>
            <w:vAlign w:val="bottom"/>
            <w:shd w:val="clear" w:color="auto" w:fill="D8D8D8"/>
          </w:tcPr>
          <w:p>
            <w:pPr>
              <w:spacing w:after="0"/>
              <w:rPr>
                <w:sz w:val="17"/>
                <w:szCs w:val="17"/>
                <w:color w:val="auto"/>
              </w:rPr>
            </w:pPr>
          </w:p>
        </w:tc>
        <w:tc>
          <w:tcPr>
            <w:tcW w:w="4440" w:type="dxa"/>
            <w:vAlign w:val="bottom"/>
            <w:shd w:val="clear" w:color="auto" w:fill="D8D8D8"/>
          </w:tcPr>
          <w:p>
            <w:pPr>
              <w:ind w:left="100"/>
              <w:spacing w:after="0"/>
              <w:rPr>
                <w:sz w:val="20"/>
                <w:szCs w:val="20"/>
                <w:color w:val="auto"/>
              </w:rPr>
            </w:pPr>
            <w:r>
              <w:rPr>
                <w:rFonts w:ascii="Arial" w:cs="Arial" w:eastAsia="Arial" w:hAnsi="Arial"/>
                <w:sz w:val="16"/>
                <w:szCs w:val="16"/>
                <w:color w:val="auto"/>
              </w:rPr>
              <w:t>our NEOs with an annual executive health check-up.</w:t>
            </w:r>
          </w:p>
        </w:tc>
        <w:tc>
          <w:tcPr>
            <w:tcW w:w="3320" w:type="dxa"/>
            <w:vAlign w:val="bottom"/>
            <w:shd w:val="clear" w:color="auto" w:fill="D8D8D8"/>
          </w:tcPr>
          <w:p>
            <w:pPr>
              <w:ind w:left="60"/>
              <w:spacing w:after="0"/>
              <w:rPr>
                <w:sz w:val="20"/>
                <w:szCs w:val="20"/>
                <w:color w:val="auto"/>
              </w:rPr>
            </w:pPr>
            <w:r>
              <w:rPr>
                <w:rFonts w:ascii="Arial" w:cs="Arial" w:eastAsia="Arial" w:hAnsi="Arial"/>
                <w:sz w:val="16"/>
                <w:szCs w:val="16"/>
                <w:color w:val="auto"/>
              </w:rPr>
              <w:t>•   Provide opportunity for future financial</w:t>
            </w:r>
          </w:p>
        </w:tc>
      </w:tr>
      <w:tr>
        <w:trPr>
          <w:trHeight w:val="354"/>
        </w:trPr>
        <w:tc>
          <w:tcPr>
            <w:tcW w:w="20" w:type="dxa"/>
            <w:vAlign w:val="bottom"/>
          </w:tcPr>
          <w:p>
            <w:pPr>
              <w:spacing w:after="0"/>
              <w:rPr>
                <w:sz w:val="24"/>
                <w:szCs w:val="24"/>
                <w:color w:val="auto"/>
              </w:rPr>
            </w:pPr>
          </w:p>
        </w:tc>
        <w:tc>
          <w:tcPr>
            <w:tcW w:w="1580" w:type="dxa"/>
            <w:vAlign w:val="bottom"/>
            <w:shd w:val="clear" w:color="auto" w:fill="D8D8D8"/>
          </w:tcPr>
          <w:p>
            <w:pPr>
              <w:ind w:left="160"/>
              <w:spacing w:after="0"/>
              <w:rPr>
                <w:sz w:val="20"/>
                <w:szCs w:val="20"/>
                <w:color w:val="auto"/>
              </w:rPr>
            </w:pPr>
            <w:r>
              <w:rPr>
                <w:rFonts w:ascii="Arial" w:cs="Arial" w:eastAsia="Arial" w:hAnsi="Arial"/>
                <w:sz w:val="16"/>
                <w:szCs w:val="16"/>
                <w:color w:val="auto"/>
              </w:rPr>
              <w:t>Non-Qualified</w:t>
            </w:r>
          </w:p>
        </w:tc>
        <w:tc>
          <w:tcPr>
            <w:tcW w:w="4440" w:type="dxa"/>
            <w:vAlign w:val="bottom"/>
            <w:shd w:val="clear" w:color="auto" w:fill="D8D8D8"/>
          </w:tcPr>
          <w:p>
            <w:pPr>
              <w:ind w:left="100"/>
              <w:spacing w:after="0"/>
              <w:rPr>
                <w:sz w:val="20"/>
                <w:szCs w:val="20"/>
                <w:color w:val="auto"/>
              </w:rPr>
            </w:pPr>
            <w:r>
              <w:rPr>
                <w:rFonts w:ascii="Arial" w:cs="Arial" w:eastAsia="Arial" w:hAnsi="Arial"/>
                <w:sz w:val="16"/>
                <w:szCs w:val="16"/>
                <w:color w:val="auto"/>
              </w:rPr>
              <w:t>Enables deferral of base salary and/or annual cash incentive</w:t>
            </w:r>
          </w:p>
        </w:tc>
        <w:tc>
          <w:tcPr>
            <w:tcW w:w="3320" w:type="dxa"/>
            <w:vAlign w:val="bottom"/>
            <w:shd w:val="clear" w:color="auto" w:fill="D8D8D8"/>
          </w:tcPr>
          <w:p>
            <w:pPr>
              <w:ind w:left="60"/>
              <w:spacing w:after="0"/>
              <w:rPr>
                <w:sz w:val="20"/>
                <w:szCs w:val="20"/>
                <w:color w:val="auto"/>
              </w:rPr>
            </w:pPr>
            <w:r>
              <w:rPr>
                <w:rFonts w:ascii="Arial" w:cs="Arial" w:eastAsia="Arial" w:hAnsi="Arial"/>
                <w:sz w:val="16"/>
                <w:szCs w:val="16"/>
                <w:color w:val="auto"/>
              </w:rPr>
              <w:t>•   Attract and retain key managerial talent.</w:t>
            </w:r>
          </w:p>
        </w:tc>
      </w:tr>
      <w:tr>
        <w:trPr>
          <w:trHeight w:val="182"/>
        </w:trPr>
        <w:tc>
          <w:tcPr>
            <w:tcW w:w="20" w:type="dxa"/>
            <w:vAlign w:val="bottom"/>
          </w:tcPr>
          <w:p>
            <w:pPr>
              <w:spacing w:after="0"/>
              <w:rPr>
                <w:sz w:val="15"/>
                <w:szCs w:val="15"/>
                <w:color w:val="auto"/>
              </w:rPr>
            </w:pPr>
          </w:p>
        </w:tc>
        <w:tc>
          <w:tcPr>
            <w:tcW w:w="1580" w:type="dxa"/>
            <w:vAlign w:val="bottom"/>
            <w:shd w:val="clear" w:color="auto" w:fill="D8D8D8"/>
          </w:tcPr>
          <w:p>
            <w:pPr>
              <w:ind w:left="160"/>
              <w:spacing w:after="0" w:line="182" w:lineRule="exact"/>
              <w:rPr>
                <w:sz w:val="20"/>
                <w:szCs w:val="20"/>
                <w:color w:val="auto"/>
              </w:rPr>
            </w:pPr>
            <w:r>
              <w:rPr>
                <w:rFonts w:ascii="Arial" w:cs="Arial" w:eastAsia="Arial" w:hAnsi="Arial"/>
                <w:sz w:val="16"/>
                <w:szCs w:val="16"/>
                <w:color w:val="auto"/>
              </w:rPr>
              <w:t>Deferred</w:t>
            </w:r>
          </w:p>
        </w:tc>
        <w:tc>
          <w:tcPr>
            <w:tcW w:w="4440" w:type="dxa"/>
            <w:vAlign w:val="bottom"/>
            <w:shd w:val="clear" w:color="auto" w:fill="D8D8D8"/>
          </w:tcPr>
          <w:p>
            <w:pPr>
              <w:ind w:left="100"/>
              <w:spacing w:after="0" w:line="182" w:lineRule="exact"/>
              <w:rPr>
                <w:sz w:val="20"/>
                <w:szCs w:val="20"/>
                <w:color w:val="auto"/>
              </w:rPr>
            </w:pPr>
            <w:r>
              <w:rPr>
                <w:rFonts w:ascii="Arial" w:cs="Arial" w:eastAsia="Arial" w:hAnsi="Arial"/>
                <w:sz w:val="16"/>
                <w:szCs w:val="16"/>
                <w:color w:val="auto"/>
              </w:rPr>
              <w:t>awards on a tax-efficient basis to meet future financial goals.</w:t>
            </w:r>
          </w:p>
        </w:tc>
        <w:tc>
          <w:tcPr>
            <w:tcW w:w="3320" w:type="dxa"/>
            <w:vAlign w:val="bottom"/>
            <w:shd w:val="clear" w:color="auto" w:fill="D8D8D8"/>
          </w:tcPr>
          <w:p>
            <w:pPr>
              <w:ind w:left="60"/>
              <w:spacing w:after="0" w:line="182" w:lineRule="exact"/>
              <w:rPr>
                <w:sz w:val="20"/>
                <w:szCs w:val="20"/>
                <w:color w:val="auto"/>
              </w:rPr>
            </w:pPr>
            <w:r>
              <w:rPr>
                <w:rFonts w:ascii="Arial" w:cs="Arial" w:eastAsia="Arial" w:hAnsi="Arial"/>
                <w:sz w:val="16"/>
                <w:szCs w:val="16"/>
                <w:color w:val="auto"/>
              </w:rPr>
              <w:t>•   Provide opportunity for future financial</w:t>
            </w:r>
          </w:p>
        </w:tc>
      </w:tr>
      <w:tr>
        <w:trPr>
          <w:trHeight w:val="205"/>
        </w:trPr>
        <w:tc>
          <w:tcPr>
            <w:tcW w:w="20" w:type="dxa"/>
            <w:vAlign w:val="bottom"/>
          </w:tcPr>
          <w:p>
            <w:pPr>
              <w:spacing w:after="0"/>
              <w:rPr>
                <w:sz w:val="17"/>
                <w:szCs w:val="17"/>
                <w:color w:val="auto"/>
              </w:rPr>
            </w:pPr>
          </w:p>
        </w:tc>
        <w:tc>
          <w:tcPr>
            <w:tcW w:w="1580" w:type="dxa"/>
            <w:vAlign w:val="bottom"/>
            <w:shd w:val="clear" w:color="auto" w:fill="D8D8D8"/>
          </w:tcPr>
          <w:p>
            <w:pPr>
              <w:ind w:left="160"/>
              <w:spacing w:after="0"/>
              <w:rPr>
                <w:sz w:val="20"/>
                <w:szCs w:val="20"/>
                <w:color w:val="auto"/>
              </w:rPr>
            </w:pPr>
            <w:r>
              <w:rPr>
                <w:rFonts w:ascii="Arial" w:cs="Arial" w:eastAsia="Arial" w:hAnsi="Arial"/>
                <w:sz w:val="16"/>
                <w:szCs w:val="16"/>
                <w:color w:val="auto"/>
              </w:rPr>
              <w:t>Compensation</w:t>
            </w:r>
          </w:p>
        </w:tc>
        <w:tc>
          <w:tcPr>
            <w:tcW w:w="4440" w:type="dxa"/>
            <w:vAlign w:val="bottom"/>
            <w:shd w:val="clear" w:color="auto" w:fill="D8D8D8"/>
          </w:tcPr>
          <w:p>
            <w:pPr>
              <w:spacing w:after="0"/>
              <w:rPr>
                <w:sz w:val="17"/>
                <w:szCs w:val="17"/>
                <w:color w:val="auto"/>
              </w:rPr>
            </w:pPr>
          </w:p>
        </w:tc>
        <w:tc>
          <w:tcPr>
            <w:tcW w:w="3320" w:type="dxa"/>
            <w:vAlign w:val="bottom"/>
            <w:shd w:val="clear" w:color="auto" w:fill="D8D8D8"/>
          </w:tcPr>
          <w:p>
            <w:pPr>
              <w:ind w:left="220"/>
              <w:spacing w:after="0"/>
              <w:rPr>
                <w:sz w:val="20"/>
                <w:szCs w:val="20"/>
                <w:color w:val="auto"/>
              </w:rPr>
            </w:pPr>
            <w:r>
              <w:rPr>
                <w:rFonts w:ascii="Arial" w:cs="Arial" w:eastAsia="Arial" w:hAnsi="Arial"/>
                <w:sz w:val="16"/>
                <w:szCs w:val="16"/>
                <w:color w:val="auto"/>
              </w:rPr>
              <w:t>security.</w:t>
            </w:r>
          </w:p>
        </w:tc>
      </w:tr>
      <w:tr>
        <w:trPr>
          <w:trHeight w:val="354"/>
        </w:trPr>
        <w:tc>
          <w:tcPr>
            <w:tcW w:w="20" w:type="dxa"/>
            <w:vAlign w:val="bottom"/>
          </w:tcPr>
          <w:p>
            <w:pPr>
              <w:spacing w:after="0"/>
              <w:rPr>
                <w:sz w:val="24"/>
                <w:szCs w:val="24"/>
                <w:color w:val="auto"/>
              </w:rPr>
            </w:pPr>
          </w:p>
        </w:tc>
        <w:tc>
          <w:tcPr>
            <w:tcW w:w="1580" w:type="dxa"/>
            <w:vAlign w:val="bottom"/>
            <w:shd w:val="clear" w:color="auto" w:fill="D8D8D8"/>
          </w:tcPr>
          <w:p>
            <w:pPr>
              <w:ind w:left="160"/>
              <w:spacing w:after="0"/>
              <w:rPr>
                <w:sz w:val="20"/>
                <w:szCs w:val="20"/>
                <w:color w:val="auto"/>
              </w:rPr>
            </w:pPr>
            <w:r>
              <w:rPr>
                <w:rFonts w:ascii="Arial" w:cs="Arial" w:eastAsia="Arial" w:hAnsi="Arial"/>
                <w:sz w:val="16"/>
                <w:szCs w:val="16"/>
                <w:color w:val="auto"/>
              </w:rPr>
              <w:t>Severance and</w:t>
            </w:r>
          </w:p>
        </w:tc>
        <w:tc>
          <w:tcPr>
            <w:tcW w:w="4440" w:type="dxa"/>
            <w:vAlign w:val="bottom"/>
            <w:shd w:val="clear" w:color="auto" w:fill="D8D8D8"/>
          </w:tcPr>
          <w:p>
            <w:pPr>
              <w:ind w:left="100"/>
              <w:spacing w:after="0"/>
              <w:rPr>
                <w:sz w:val="20"/>
                <w:szCs w:val="20"/>
                <w:color w:val="auto"/>
              </w:rPr>
            </w:pPr>
            <w:r>
              <w:rPr>
                <w:rFonts w:ascii="Arial" w:cs="Arial" w:eastAsia="Arial" w:hAnsi="Arial"/>
                <w:sz w:val="16"/>
                <w:szCs w:val="16"/>
                <w:color w:val="auto"/>
              </w:rPr>
              <w:t>Provides for payments and benefits in the event of a</w:t>
            </w:r>
          </w:p>
        </w:tc>
        <w:tc>
          <w:tcPr>
            <w:tcW w:w="3320" w:type="dxa"/>
            <w:vAlign w:val="bottom"/>
            <w:shd w:val="clear" w:color="auto" w:fill="D8D8D8"/>
          </w:tcPr>
          <w:p>
            <w:pPr>
              <w:ind w:left="60"/>
              <w:spacing w:after="0"/>
              <w:rPr>
                <w:sz w:val="20"/>
                <w:szCs w:val="20"/>
                <w:color w:val="auto"/>
              </w:rPr>
            </w:pPr>
            <w:r>
              <w:rPr>
                <w:rFonts w:ascii="Arial" w:cs="Arial" w:eastAsia="Arial" w:hAnsi="Arial"/>
                <w:sz w:val="16"/>
                <w:szCs w:val="16"/>
                <w:color w:val="auto"/>
              </w:rPr>
              <w:t>•   Attract and retain key managerial talent.</w:t>
            </w:r>
          </w:p>
        </w:tc>
      </w:tr>
      <w:tr>
        <w:trPr>
          <w:trHeight w:val="182"/>
        </w:trPr>
        <w:tc>
          <w:tcPr>
            <w:tcW w:w="20" w:type="dxa"/>
            <w:vAlign w:val="bottom"/>
          </w:tcPr>
          <w:p>
            <w:pPr>
              <w:spacing w:after="0"/>
              <w:rPr>
                <w:sz w:val="15"/>
                <w:szCs w:val="15"/>
                <w:color w:val="auto"/>
              </w:rPr>
            </w:pPr>
          </w:p>
        </w:tc>
        <w:tc>
          <w:tcPr>
            <w:tcW w:w="1580" w:type="dxa"/>
            <w:vAlign w:val="bottom"/>
            <w:shd w:val="clear" w:color="auto" w:fill="D8D8D8"/>
          </w:tcPr>
          <w:p>
            <w:pPr>
              <w:ind w:left="160"/>
              <w:spacing w:after="0" w:line="182" w:lineRule="exact"/>
              <w:rPr>
                <w:sz w:val="20"/>
                <w:szCs w:val="20"/>
                <w:color w:val="auto"/>
              </w:rPr>
            </w:pPr>
            <w:r>
              <w:rPr>
                <w:rFonts w:ascii="Arial" w:cs="Arial" w:eastAsia="Arial" w:hAnsi="Arial"/>
                <w:sz w:val="16"/>
                <w:szCs w:val="16"/>
                <w:color w:val="auto"/>
              </w:rPr>
              <w:t>Change in Control</w:t>
            </w:r>
          </w:p>
        </w:tc>
        <w:tc>
          <w:tcPr>
            <w:tcW w:w="4440" w:type="dxa"/>
            <w:vAlign w:val="bottom"/>
            <w:shd w:val="clear" w:color="auto" w:fill="D8D8D8"/>
          </w:tcPr>
          <w:p>
            <w:pPr>
              <w:ind w:left="100"/>
              <w:spacing w:after="0" w:line="182" w:lineRule="exact"/>
              <w:rPr>
                <w:sz w:val="20"/>
                <w:szCs w:val="20"/>
                <w:color w:val="auto"/>
              </w:rPr>
            </w:pPr>
            <w:r>
              <w:rPr>
                <w:rFonts w:ascii="Arial" w:cs="Arial" w:eastAsia="Arial" w:hAnsi="Arial"/>
                <w:sz w:val="16"/>
                <w:szCs w:val="16"/>
                <w:color w:val="auto"/>
              </w:rPr>
              <w:t>qualifying termination, including in connection with a change</w:t>
            </w:r>
          </w:p>
        </w:tc>
        <w:tc>
          <w:tcPr>
            <w:tcW w:w="3320" w:type="dxa"/>
            <w:vAlign w:val="bottom"/>
            <w:shd w:val="clear" w:color="auto" w:fill="D8D8D8"/>
          </w:tcPr>
          <w:p>
            <w:pPr>
              <w:ind w:left="60"/>
              <w:spacing w:after="0" w:line="182" w:lineRule="exact"/>
              <w:rPr>
                <w:sz w:val="20"/>
                <w:szCs w:val="20"/>
                <w:color w:val="auto"/>
              </w:rPr>
            </w:pPr>
            <w:r>
              <w:rPr>
                <w:rFonts w:ascii="Arial" w:cs="Arial" w:eastAsia="Arial" w:hAnsi="Arial"/>
                <w:sz w:val="16"/>
                <w:szCs w:val="16"/>
                <w:color w:val="auto"/>
              </w:rPr>
              <w:t>•   Focus on delivering top-tier stockholder</w:t>
            </w:r>
          </w:p>
        </w:tc>
      </w:tr>
      <w:tr>
        <w:trPr>
          <w:trHeight w:val="182"/>
        </w:trPr>
        <w:tc>
          <w:tcPr>
            <w:tcW w:w="20" w:type="dxa"/>
            <w:vAlign w:val="bottom"/>
          </w:tcPr>
          <w:p>
            <w:pPr>
              <w:spacing w:after="0"/>
              <w:rPr>
                <w:sz w:val="15"/>
                <w:szCs w:val="15"/>
                <w:color w:val="auto"/>
              </w:rPr>
            </w:pPr>
          </w:p>
        </w:tc>
        <w:tc>
          <w:tcPr>
            <w:tcW w:w="1580" w:type="dxa"/>
            <w:vAlign w:val="bottom"/>
            <w:shd w:val="clear" w:color="auto" w:fill="D8D8D8"/>
          </w:tcPr>
          <w:p>
            <w:pPr>
              <w:ind w:left="160"/>
              <w:spacing w:after="0" w:line="182" w:lineRule="exact"/>
              <w:rPr>
                <w:sz w:val="20"/>
                <w:szCs w:val="20"/>
                <w:color w:val="auto"/>
              </w:rPr>
            </w:pPr>
            <w:r>
              <w:rPr>
                <w:rFonts w:ascii="Arial" w:cs="Arial" w:eastAsia="Arial" w:hAnsi="Arial"/>
                <w:sz w:val="16"/>
                <w:szCs w:val="16"/>
                <w:color w:val="auto"/>
              </w:rPr>
              <w:t>Benefits</w:t>
            </w:r>
          </w:p>
        </w:tc>
        <w:tc>
          <w:tcPr>
            <w:tcW w:w="4440" w:type="dxa"/>
            <w:vAlign w:val="bottom"/>
            <w:shd w:val="clear" w:color="auto" w:fill="D8D8D8"/>
          </w:tcPr>
          <w:p>
            <w:pPr>
              <w:ind w:left="100"/>
              <w:spacing w:after="0" w:line="182" w:lineRule="exact"/>
              <w:rPr>
                <w:sz w:val="20"/>
                <w:szCs w:val="20"/>
                <w:color w:val="auto"/>
              </w:rPr>
            </w:pPr>
            <w:r>
              <w:rPr>
                <w:rFonts w:ascii="Arial" w:cs="Arial" w:eastAsia="Arial" w:hAnsi="Arial"/>
                <w:sz w:val="16"/>
                <w:szCs w:val="16"/>
                <w:color w:val="auto"/>
              </w:rPr>
              <w:t>in control of the company.</w:t>
            </w:r>
          </w:p>
        </w:tc>
        <w:tc>
          <w:tcPr>
            <w:tcW w:w="3320" w:type="dxa"/>
            <w:vAlign w:val="bottom"/>
            <w:shd w:val="clear" w:color="auto" w:fill="D8D8D8"/>
          </w:tcPr>
          <w:p>
            <w:pPr>
              <w:ind w:left="220"/>
              <w:spacing w:after="0" w:line="182" w:lineRule="exact"/>
              <w:rPr>
                <w:sz w:val="20"/>
                <w:szCs w:val="20"/>
                <w:color w:val="auto"/>
              </w:rPr>
            </w:pPr>
            <w:r>
              <w:rPr>
                <w:rFonts w:ascii="Arial" w:cs="Arial" w:eastAsia="Arial" w:hAnsi="Arial"/>
                <w:sz w:val="16"/>
                <w:szCs w:val="16"/>
                <w:color w:val="auto"/>
              </w:rPr>
              <w:t>value in periods of uncertainty.</w:t>
            </w:r>
          </w:p>
        </w:tc>
      </w:tr>
      <w:tr>
        <w:trPr>
          <w:trHeight w:val="205"/>
        </w:trPr>
        <w:tc>
          <w:tcPr>
            <w:tcW w:w="20" w:type="dxa"/>
            <w:vAlign w:val="bottom"/>
          </w:tcPr>
          <w:p>
            <w:pPr>
              <w:spacing w:after="0"/>
              <w:rPr>
                <w:sz w:val="17"/>
                <w:szCs w:val="17"/>
                <w:color w:val="auto"/>
              </w:rPr>
            </w:pPr>
          </w:p>
        </w:tc>
        <w:tc>
          <w:tcPr>
            <w:tcW w:w="1580" w:type="dxa"/>
            <w:vAlign w:val="bottom"/>
            <w:shd w:val="clear" w:color="auto" w:fill="D8D8D8"/>
          </w:tcPr>
          <w:p>
            <w:pPr>
              <w:spacing w:after="0"/>
              <w:rPr>
                <w:sz w:val="17"/>
                <w:szCs w:val="17"/>
                <w:color w:val="auto"/>
              </w:rPr>
            </w:pPr>
          </w:p>
        </w:tc>
        <w:tc>
          <w:tcPr>
            <w:tcW w:w="4440" w:type="dxa"/>
            <w:vAlign w:val="bottom"/>
            <w:shd w:val="clear" w:color="auto" w:fill="D8D8D8"/>
          </w:tcPr>
          <w:p>
            <w:pPr>
              <w:spacing w:after="0"/>
              <w:rPr>
                <w:sz w:val="17"/>
                <w:szCs w:val="17"/>
                <w:color w:val="auto"/>
              </w:rPr>
            </w:pPr>
          </w:p>
        </w:tc>
        <w:tc>
          <w:tcPr>
            <w:tcW w:w="3320" w:type="dxa"/>
            <w:vAlign w:val="bottom"/>
            <w:shd w:val="clear" w:color="auto" w:fill="D8D8D8"/>
          </w:tcPr>
          <w:p>
            <w:pPr>
              <w:ind w:left="60"/>
              <w:spacing w:after="0"/>
              <w:rPr>
                <w:sz w:val="20"/>
                <w:szCs w:val="20"/>
                <w:color w:val="auto"/>
              </w:rPr>
            </w:pPr>
            <w:r>
              <w:rPr>
                <w:rFonts w:ascii="Arial" w:cs="Arial" w:eastAsia="Arial" w:hAnsi="Arial"/>
                <w:sz w:val="16"/>
                <w:szCs w:val="16"/>
                <w:color w:val="auto"/>
              </w:rPr>
              <w:t>•   Support effective transition.</w:t>
            </w:r>
          </w:p>
        </w:tc>
      </w:tr>
      <w:tr>
        <w:trPr>
          <w:trHeight w:val="106"/>
        </w:trPr>
        <w:tc>
          <w:tcPr>
            <w:tcW w:w="20" w:type="dxa"/>
            <w:vAlign w:val="bottom"/>
          </w:tcPr>
          <w:p>
            <w:pPr>
              <w:spacing w:after="0"/>
              <w:rPr>
                <w:sz w:val="9"/>
                <w:szCs w:val="9"/>
                <w:color w:val="auto"/>
              </w:rPr>
            </w:pPr>
          </w:p>
        </w:tc>
        <w:tc>
          <w:tcPr>
            <w:tcW w:w="1580" w:type="dxa"/>
            <w:vAlign w:val="bottom"/>
            <w:shd w:val="clear" w:color="auto" w:fill="D8D8D8"/>
          </w:tcPr>
          <w:p>
            <w:pPr>
              <w:spacing w:after="0"/>
              <w:rPr>
                <w:sz w:val="9"/>
                <w:szCs w:val="9"/>
                <w:color w:val="auto"/>
              </w:rPr>
            </w:pPr>
          </w:p>
        </w:tc>
        <w:tc>
          <w:tcPr>
            <w:tcW w:w="4440" w:type="dxa"/>
            <w:vAlign w:val="bottom"/>
            <w:shd w:val="clear" w:color="auto" w:fill="D8D8D8"/>
          </w:tcPr>
          <w:p>
            <w:pPr>
              <w:spacing w:after="0"/>
              <w:rPr>
                <w:sz w:val="9"/>
                <w:szCs w:val="9"/>
                <w:color w:val="auto"/>
              </w:rPr>
            </w:pPr>
          </w:p>
        </w:tc>
        <w:tc>
          <w:tcPr>
            <w:tcW w:w="3320" w:type="dxa"/>
            <w:vAlign w:val="bottom"/>
            <w:shd w:val="clear" w:color="auto" w:fill="D8D8D8"/>
          </w:tcPr>
          <w:p>
            <w:pPr>
              <w:spacing w:after="0"/>
              <w:rPr>
                <w:sz w:val="9"/>
                <w:szCs w:val="9"/>
                <w:color w:val="auto"/>
              </w:rPr>
            </w:pPr>
          </w:p>
        </w:tc>
      </w:tr>
      <w:tr>
        <w:trPr>
          <w:trHeight w:val="375"/>
        </w:trPr>
        <w:tc>
          <w:tcPr>
            <w:tcW w:w="1600" w:type="dxa"/>
            <w:vAlign w:val="bottom"/>
            <w:gridSpan w:val="2"/>
          </w:tcPr>
          <w:p>
            <w:pPr>
              <w:jc w:val="right"/>
              <w:ind w:right="1362"/>
              <w:spacing w:after="0"/>
              <w:rPr>
                <w:sz w:val="20"/>
                <w:szCs w:val="20"/>
                <w:color w:val="auto"/>
              </w:rPr>
            </w:pPr>
            <w:r>
              <w:rPr>
                <w:rFonts w:ascii="Arial" w:cs="Arial" w:eastAsia="Arial" w:hAnsi="Arial"/>
                <w:sz w:val="14"/>
                <w:szCs w:val="14"/>
                <w:b w:val="1"/>
                <w:bCs w:val="1"/>
                <w:color w:val="284993"/>
                <w:w w:val="89"/>
              </w:rPr>
              <w:t>40</w:t>
            </w:r>
          </w:p>
        </w:tc>
        <w:tc>
          <w:tcPr>
            <w:tcW w:w="444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62217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9310" cy="622173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-146685</wp:posOffset>
            </wp:positionV>
            <wp:extent cx="701675" cy="1320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1675" cy="132080"/>
                    </a:xfrm>
                    <a:prstGeom prst="rect">
                      <a:avLst/>
                    </a:prstGeom>
                    <a:noFill/>
                  </pic:spPr>
                </pic:pic>
              </a:graphicData>
            </a:graphic>
          </wp:anchor>
        </w:drawing>
      </w:r>
    </w:p>
    <w:p>
      <w:pPr>
        <w:sectPr>
          <w:pgSz w:w="11900" w:h="16838" w:orient="portrait"/>
          <w:cols w:equalWidth="0" w:num="1">
            <w:col w:w="9360"/>
          </w:cols>
          <w:pgMar w:left="1260" w:top="308" w:right="1279" w:bottom="1440" w:gutter="0" w:footer="0" w:header="0"/>
        </w:sectPr>
      </w:pPr>
    </w:p>
    <w:bookmarkStart w:id="46" w:name="page47"/>
    <w:bookmarkEnd w:id="46"/>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2023 Executive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Base Salary</w:t>
      </w:r>
    </w:p>
    <w:p>
      <w:pPr>
        <w:spacing w:after="0" w:line="108" w:lineRule="exact"/>
        <w:rPr>
          <w:sz w:val="20"/>
          <w:szCs w:val="20"/>
          <w:color w:val="auto"/>
        </w:rPr>
      </w:pPr>
    </w:p>
    <w:p>
      <w:pPr>
        <w:ind w:right="680"/>
        <w:spacing w:after="0" w:line="264" w:lineRule="auto"/>
        <w:rPr>
          <w:sz w:val="20"/>
          <w:szCs w:val="20"/>
          <w:color w:val="auto"/>
        </w:rPr>
      </w:pPr>
      <w:r>
        <w:rPr>
          <w:rFonts w:ascii="Arial" w:cs="Arial" w:eastAsia="Arial" w:hAnsi="Arial"/>
          <w:sz w:val="16"/>
          <w:szCs w:val="16"/>
          <w:color w:val="auto"/>
        </w:rPr>
        <w:t>Base salary represents the fixed portion of target total direct compensation and is intended to attract and retain highly talented individuals.</w:t>
      </w:r>
    </w:p>
    <w:p>
      <w:pPr>
        <w:spacing w:after="0" w:line="167"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Each executive officer’s base salary, except our CEO’s, is based on the recommendation of our CEO to the Compensation Committee. These recommendations consider the various factors described above under “Compensation-Setting Process – Factors Considered in Compensation Deliberations.” The Compensation Committee, with the help of its compensation consultant, reviews the base salaries of our Named Executive Officers (other than our CEO) annually based on the CEO’s recommendation and the factors described above and adjusts the base salaries as it determines to be necessary or appropriate. Our Compensation Committee reviews the market data and proposes any adjustment for our CEO’s base salary to the independent members of our Board of Directors for approval.</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reviewed the base salaries of our Named Executive Officers in December 2022 and January 2023.</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Following this review, the Compensation Committee approved an increase to Mr. Silva’s, Mr. Behrens’, and Ms. Guerra’s salaries as part of our normal annual review process. The base salaries of our Named Executive Officers for 2022 and 2023 (after the effectiveness of the adjustments described above) were as follows:</w:t>
      </w:r>
    </w:p>
    <w:p>
      <w:pPr>
        <w:spacing w:after="0" w:line="195"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2520" w:type="dxa"/>
            <w:vAlign w:val="bottom"/>
            <w:shd w:val="clear" w:color="auto" w:fill="284993"/>
          </w:tcPr>
          <w:p>
            <w:pPr>
              <w:spacing w:after="0"/>
              <w:rPr>
                <w:sz w:val="16"/>
                <w:szCs w:val="16"/>
                <w:color w:val="auto"/>
              </w:rPr>
            </w:pPr>
          </w:p>
        </w:tc>
        <w:tc>
          <w:tcPr>
            <w:tcW w:w="1960" w:type="dxa"/>
            <w:vAlign w:val="bottom"/>
            <w:shd w:val="clear" w:color="auto" w:fill="284993"/>
          </w:tcPr>
          <w:p>
            <w:pPr>
              <w:jc w:val="right"/>
              <w:ind w:right="213"/>
              <w:spacing w:after="0"/>
              <w:rPr>
                <w:sz w:val="20"/>
                <w:szCs w:val="20"/>
                <w:color w:val="auto"/>
              </w:rPr>
            </w:pPr>
            <w:r>
              <w:rPr>
                <w:rFonts w:ascii="Arial" w:cs="Arial" w:eastAsia="Arial" w:hAnsi="Arial"/>
                <w:sz w:val="17"/>
                <w:szCs w:val="17"/>
                <w:b w:val="1"/>
                <w:bCs w:val="1"/>
                <w:color w:val="FFFFFF"/>
              </w:rPr>
              <w:t>2022 Base Salary</w:t>
            </w:r>
          </w:p>
        </w:tc>
        <w:tc>
          <w:tcPr>
            <w:tcW w:w="2000" w:type="dxa"/>
            <w:vAlign w:val="bottom"/>
            <w:shd w:val="clear" w:color="auto" w:fill="284993"/>
          </w:tcPr>
          <w:p>
            <w:pPr>
              <w:jc w:val="right"/>
              <w:ind w:right="213"/>
              <w:spacing w:after="0"/>
              <w:rPr>
                <w:sz w:val="20"/>
                <w:szCs w:val="20"/>
                <w:color w:val="auto"/>
              </w:rPr>
            </w:pPr>
            <w:r>
              <w:rPr>
                <w:rFonts w:ascii="Arial" w:cs="Arial" w:eastAsia="Arial" w:hAnsi="Arial"/>
                <w:sz w:val="17"/>
                <w:szCs w:val="17"/>
                <w:b w:val="1"/>
                <w:bCs w:val="1"/>
                <w:color w:val="FFFFFF"/>
              </w:rPr>
              <w:t>2023 Base Salary</w:t>
            </w:r>
          </w:p>
        </w:tc>
        <w:tc>
          <w:tcPr>
            <w:tcW w:w="2300" w:type="dxa"/>
            <w:vAlign w:val="bottom"/>
            <w:shd w:val="clear" w:color="auto" w:fill="284993"/>
          </w:tcPr>
          <w:p>
            <w:pPr>
              <w:spacing w:after="0"/>
              <w:rPr>
                <w:sz w:val="16"/>
                <w:szCs w:val="16"/>
                <w:color w:val="auto"/>
              </w:rPr>
            </w:pPr>
          </w:p>
        </w:tc>
      </w:tr>
      <w:tr>
        <w:trPr>
          <w:trHeight w:val="227"/>
        </w:trPr>
        <w:tc>
          <w:tcPr>
            <w:tcW w:w="2520" w:type="dxa"/>
            <w:vAlign w:val="bottom"/>
            <w:shd w:val="clear" w:color="auto" w:fill="284993"/>
          </w:tcPr>
          <w:p>
            <w:pPr>
              <w:spacing w:after="0"/>
              <w:rPr>
                <w:sz w:val="20"/>
                <w:szCs w:val="20"/>
                <w:color w:val="auto"/>
              </w:rPr>
            </w:pPr>
            <w:r>
              <w:rPr>
                <w:rFonts w:ascii="Arial" w:cs="Arial" w:eastAsia="Arial" w:hAnsi="Arial"/>
                <w:sz w:val="17"/>
                <w:szCs w:val="17"/>
                <w:b w:val="1"/>
                <w:bCs w:val="1"/>
                <w:color w:val="FFFFFF"/>
              </w:rPr>
              <w:t>  Named Executive Officer</w:t>
            </w:r>
          </w:p>
        </w:tc>
        <w:tc>
          <w:tcPr>
            <w:tcW w:w="1960" w:type="dxa"/>
            <w:vAlign w:val="bottom"/>
            <w:shd w:val="clear" w:color="auto" w:fill="284993"/>
          </w:tcPr>
          <w:p>
            <w:pPr>
              <w:jc w:val="right"/>
              <w:ind w:right="733"/>
              <w:spacing w:after="0"/>
              <w:rPr>
                <w:sz w:val="20"/>
                <w:szCs w:val="20"/>
                <w:color w:val="auto"/>
              </w:rPr>
            </w:pPr>
            <w:r>
              <w:rPr>
                <w:rFonts w:ascii="Arial" w:cs="Arial" w:eastAsia="Arial" w:hAnsi="Arial"/>
                <w:sz w:val="17"/>
                <w:szCs w:val="17"/>
                <w:b w:val="1"/>
                <w:bCs w:val="1"/>
                <w:color w:val="FFFFFF"/>
              </w:rPr>
              <w:t>Rate</w:t>
            </w:r>
          </w:p>
        </w:tc>
        <w:tc>
          <w:tcPr>
            <w:tcW w:w="2000" w:type="dxa"/>
            <w:vAlign w:val="bottom"/>
            <w:shd w:val="clear" w:color="auto" w:fill="284993"/>
          </w:tcPr>
          <w:p>
            <w:pPr>
              <w:jc w:val="right"/>
              <w:ind w:right="733"/>
              <w:spacing w:after="0"/>
              <w:rPr>
                <w:sz w:val="20"/>
                <w:szCs w:val="20"/>
                <w:color w:val="auto"/>
              </w:rPr>
            </w:pPr>
            <w:r>
              <w:rPr>
                <w:rFonts w:ascii="Arial" w:cs="Arial" w:eastAsia="Arial" w:hAnsi="Arial"/>
                <w:sz w:val="17"/>
                <w:szCs w:val="17"/>
                <w:b w:val="1"/>
                <w:bCs w:val="1"/>
                <w:color w:val="FFFFFF"/>
              </w:rPr>
              <w:t>Rate</w:t>
            </w:r>
          </w:p>
        </w:tc>
        <w:tc>
          <w:tcPr>
            <w:tcW w:w="2300" w:type="dxa"/>
            <w:vAlign w:val="bottom"/>
            <w:shd w:val="clear" w:color="auto" w:fill="284993"/>
          </w:tcPr>
          <w:p>
            <w:pPr>
              <w:jc w:val="right"/>
              <w:ind w:right="233"/>
              <w:spacing w:after="0"/>
              <w:rPr>
                <w:sz w:val="20"/>
                <w:szCs w:val="20"/>
                <w:color w:val="auto"/>
              </w:rPr>
            </w:pPr>
            <w:r>
              <w:rPr>
                <w:rFonts w:ascii="Arial" w:cs="Arial" w:eastAsia="Arial" w:hAnsi="Arial"/>
                <w:sz w:val="17"/>
                <w:szCs w:val="17"/>
                <w:b w:val="1"/>
                <w:bCs w:val="1"/>
                <w:color w:val="FFFFFF"/>
              </w:rPr>
              <w:t>Percentage Increase</w:t>
            </w:r>
          </w:p>
        </w:tc>
      </w:tr>
      <w:tr>
        <w:trPr>
          <w:trHeight w:val="195"/>
        </w:trPr>
        <w:tc>
          <w:tcPr>
            <w:tcW w:w="2520" w:type="dxa"/>
            <w:vAlign w:val="bottom"/>
          </w:tcPr>
          <w:p>
            <w:pPr>
              <w:ind w:left="100"/>
              <w:spacing w:after="0" w:line="194" w:lineRule="exact"/>
              <w:rPr>
                <w:sz w:val="20"/>
                <w:szCs w:val="20"/>
                <w:color w:val="auto"/>
              </w:rPr>
            </w:pPr>
            <w:r>
              <w:rPr>
                <w:rFonts w:ascii="Arial" w:cs="Arial" w:eastAsia="Arial" w:hAnsi="Arial"/>
                <w:sz w:val="15"/>
                <w:szCs w:val="15"/>
                <w:color w:val="auto"/>
              </w:rPr>
              <w:t>Thomas W. Warsop III</w:t>
            </w:r>
            <w:r>
              <w:rPr>
                <w:rFonts w:ascii="Arial" w:cs="Arial" w:eastAsia="Arial" w:hAnsi="Arial"/>
                <w:sz w:val="22"/>
                <w:szCs w:val="22"/>
                <w:color w:val="auto"/>
                <w:vertAlign w:val="superscript"/>
              </w:rPr>
              <w:t>(1)</w:t>
            </w:r>
          </w:p>
        </w:tc>
        <w:tc>
          <w:tcPr>
            <w:tcW w:w="196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2000" w:type="dxa"/>
            <w:vAlign w:val="bottom"/>
          </w:tcPr>
          <w:p>
            <w:pPr>
              <w:jc w:val="right"/>
              <w:ind w:right="193"/>
              <w:spacing w:after="0"/>
              <w:rPr>
                <w:sz w:val="20"/>
                <w:szCs w:val="20"/>
                <w:color w:val="auto"/>
              </w:rPr>
            </w:pPr>
            <w:r>
              <w:rPr>
                <w:rFonts w:ascii="Arial" w:cs="Arial" w:eastAsia="Arial" w:hAnsi="Arial"/>
                <w:sz w:val="17"/>
                <w:szCs w:val="17"/>
                <w:color w:val="auto"/>
              </w:rPr>
              <w:t>$750,000</w:t>
            </w:r>
          </w:p>
        </w:tc>
        <w:tc>
          <w:tcPr>
            <w:tcW w:w="2300" w:type="dxa"/>
            <w:vAlign w:val="bottom"/>
          </w:tcPr>
          <w:p>
            <w:pPr>
              <w:jc w:val="right"/>
              <w:ind w:right="233"/>
              <w:spacing w:after="0"/>
              <w:rPr>
                <w:sz w:val="20"/>
                <w:szCs w:val="20"/>
                <w:color w:val="auto"/>
              </w:rPr>
            </w:pPr>
            <w:r>
              <w:rPr>
                <w:rFonts w:ascii="Arial" w:cs="Arial" w:eastAsia="Arial" w:hAnsi="Arial"/>
                <w:sz w:val="17"/>
                <w:szCs w:val="17"/>
                <w:color w:val="auto"/>
              </w:rPr>
              <w:t>-</w:t>
            </w:r>
          </w:p>
        </w:tc>
      </w:tr>
      <w:tr>
        <w:trPr>
          <w:trHeight w:val="195"/>
        </w:trPr>
        <w:tc>
          <w:tcPr>
            <w:tcW w:w="2520" w:type="dxa"/>
            <w:vAlign w:val="bottom"/>
            <w:shd w:val="clear" w:color="auto" w:fill="9DBDE4"/>
          </w:tcPr>
          <w:p>
            <w:pPr>
              <w:ind w:left="100"/>
              <w:spacing w:after="0"/>
              <w:rPr>
                <w:sz w:val="20"/>
                <w:szCs w:val="20"/>
                <w:color w:val="auto"/>
              </w:rPr>
            </w:pPr>
            <w:r>
              <w:rPr>
                <w:rFonts w:ascii="Arial" w:cs="Arial" w:eastAsia="Arial" w:hAnsi="Arial"/>
                <w:sz w:val="17"/>
                <w:szCs w:val="17"/>
                <w:color w:val="auto"/>
              </w:rPr>
              <w:t>Scott W. Behrens</w:t>
            </w:r>
          </w:p>
        </w:tc>
        <w:tc>
          <w:tcPr>
            <w:tcW w:w="1960" w:type="dxa"/>
            <w:vAlign w:val="bottom"/>
            <w:shd w:val="clear" w:color="auto" w:fill="9DBDE4"/>
          </w:tcPr>
          <w:p>
            <w:pPr>
              <w:jc w:val="right"/>
              <w:ind w:right="213"/>
              <w:spacing w:after="0"/>
              <w:rPr>
                <w:sz w:val="20"/>
                <w:szCs w:val="20"/>
                <w:color w:val="auto"/>
              </w:rPr>
            </w:pPr>
            <w:r>
              <w:rPr>
                <w:rFonts w:ascii="Arial" w:cs="Arial" w:eastAsia="Arial" w:hAnsi="Arial"/>
                <w:sz w:val="17"/>
                <w:szCs w:val="17"/>
                <w:color w:val="auto"/>
              </w:rPr>
              <w:t>$475,000</w:t>
            </w:r>
          </w:p>
        </w:tc>
        <w:tc>
          <w:tcPr>
            <w:tcW w:w="2000" w:type="dxa"/>
            <w:vAlign w:val="bottom"/>
            <w:shd w:val="clear" w:color="auto" w:fill="9DBDE4"/>
          </w:tcPr>
          <w:p>
            <w:pPr>
              <w:jc w:val="right"/>
              <w:ind w:right="193"/>
              <w:spacing w:after="0"/>
              <w:rPr>
                <w:sz w:val="20"/>
                <w:szCs w:val="20"/>
                <w:color w:val="auto"/>
              </w:rPr>
            </w:pPr>
            <w:r>
              <w:rPr>
                <w:rFonts w:ascii="Arial" w:cs="Arial" w:eastAsia="Arial" w:hAnsi="Arial"/>
                <w:sz w:val="17"/>
                <w:szCs w:val="17"/>
                <w:color w:val="auto"/>
              </w:rPr>
              <w:t>$515,000</w:t>
            </w:r>
          </w:p>
        </w:tc>
        <w:tc>
          <w:tcPr>
            <w:tcW w:w="2300" w:type="dxa"/>
            <w:vAlign w:val="bottom"/>
            <w:shd w:val="clear" w:color="auto" w:fill="9DBDE4"/>
          </w:tcPr>
          <w:p>
            <w:pPr>
              <w:jc w:val="right"/>
              <w:ind w:right="233"/>
              <w:spacing w:after="0"/>
              <w:rPr>
                <w:sz w:val="20"/>
                <w:szCs w:val="20"/>
                <w:color w:val="auto"/>
              </w:rPr>
            </w:pPr>
            <w:r>
              <w:rPr>
                <w:rFonts w:ascii="Arial" w:cs="Arial" w:eastAsia="Arial" w:hAnsi="Arial"/>
                <w:sz w:val="17"/>
                <w:szCs w:val="17"/>
                <w:color w:val="auto"/>
              </w:rPr>
              <w:t>8.42%</w:t>
            </w:r>
          </w:p>
        </w:tc>
      </w:tr>
      <w:tr>
        <w:trPr>
          <w:trHeight w:val="195"/>
        </w:trPr>
        <w:tc>
          <w:tcPr>
            <w:tcW w:w="2520" w:type="dxa"/>
            <w:vAlign w:val="bottom"/>
          </w:tcPr>
          <w:p>
            <w:pPr>
              <w:ind w:left="100"/>
              <w:spacing w:after="0" w:line="194" w:lineRule="exact"/>
              <w:rPr>
                <w:sz w:val="20"/>
                <w:szCs w:val="20"/>
                <w:color w:val="auto"/>
              </w:rPr>
            </w:pPr>
            <w:r>
              <w:rPr>
                <w:rFonts w:ascii="Arial" w:cs="Arial" w:eastAsia="Arial" w:hAnsi="Arial"/>
                <w:sz w:val="15"/>
                <w:szCs w:val="15"/>
                <w:color w:val="auto"/>
              </w:rPr>
              <w:t>Abraham (“Abe”) Kuruvilla</w:t>
            </w:r>
            <w:r>
              <w:rPr>
                <w:rFonts w:ascii="Arial" w:cs="Arial" w:eastAsia="Arial" w:hAnsi="Arial"/>
                <w:sz w:val="22"/>
                <w:szCs w:val="22"/>
                <w:color w:val="auto"/>
                <w:vertAlign w:val="superscript"/>
              </w:rPr>
              <w:t>(2)</w:t>
            </w:r>
          </w:p>
        </w:tc>
        <w:tc>
          <w:tcPr>
            <w:tcW w:w="196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2000" w:type="dxa"/>
            <w:vAlign w:val="bottom"/>
          </w:tcPr>
          <w:p>
            <w:pPr>
              <w:jc w:val="right"/>
              <w:ind w:right="193"/>
              <w:spacing w:after="0"/>
              <w:rPr>
                <w:sz w:val="20"/>
                <w:szCs w:val="20"/>
                <w:color w:val="auto"/>
              </w:rPr>
            </w:pPr>
            <w:r>
              <w:rPr>
                <w:rFonts w:ascii="Arial" w:cs="Arial" w:eastAsia="Arial" w:hAnsi="Arial"/>
                <w:sz w:val="17"/>
                <w:szCs w:val="17"/>
                <w:color w:val="auto"/>
              </w:rPr>
              <w:t>$460,000</w:t>
            </w:r>
          </w:p>
        </w:tc>
        <w:tc>
          <w:tcPr>
            <w:tcW w:w="2300" w:type="dxa"/>
            <w:vAlign w:val="bottom"/>
          </w:tcPr>
          <w:p>
            <w:pPr>
              <w:jc w:val="right"/>
              <w:ind w:right="233"/>
              <w:spacing w:after="0"/>
              <w:rPr>
                <w:sz w:val="20"/>
                <w:szCs w:val="20"/>
                <w:color w:val="auto"/>
              </w:rPr>
            </w:pPr>
            <w:r>
              <w:rPr>
                <w:rFonts w:ascii="Arial" w:cs="Arial" w:eastAsia="Arial" w:hAnsi="Arial"/>
                <w:sz w:val="17"/>
                <w:szCs w:val="17"/>
                <w:color w:val="auto"/>
              </w:rPr>
              <w:t>-</w:t>
            </w:r>
          </w:p>
        </w:tc>
      </w:tr>
      <w:tr>
        <w:trPr>
          <w:trHeight w:val="195"/>
        </w:trPr>
        <w:tc>
          <w:tcPr>
            <w:tcW w:w="2520" w:type="dxa"/>
            <w:vAlign w:val="bottom"/>
            <w:shd w:val="clear" w:color="auto" w:fill="9DBDE4"/>
          </w:tcPr>
          <w:p>
            <w:pPr>
              <w:ind w:left="100"/>
              <w:spacing w:after="0"/>
              <w:rPr>
                <w:sz w:val="20"/>
                <w:szCs w:val="20"/>
                <w:color w:val="auto"/>
              </w:rPr>
            </w:pPr>
            <w:r>
              <w:rPr>
                <w:rFonts w:ascii="Arial" w:cs="Arial" w:eastAsia="Arial" w:hAnsi="Arial"/>
                <w:sz w:val="17"/>
                <w:szCs w:val="17"/>
                <w:color w:val="auto"/>
              </w:rPr>
              <w:t>Alessandro Silva</w:t>
            </w:r>
          </w:p>
        </w:tc>
        <w:tc>
          <w:tcPr>
            <w:tcW w:w="1960" w:type="dxa"/>
            <w:vAlign w:val="bottom"/>
            <w:shd w:val="clear" w:color="auto" w:fill="9DBDE4"/>
          </w:tcPr>
          <w:p>
            <w:pPr>
              <w:jc w:val="right"/>
              <w:ind w:right="213"/>
              <w:spacing w:after="0"/>
              <w:rPr>
                <w:sz w:val="20"/>
                <w:szCs w:val="20"/>
                <w:color w:val="auto"/>
              </w:rPr>
            </w:pPr>
            <w:r>
              <w:rPr>
                <w:rFonts w:ascii="Arial" w:cs="Arial" w:eastAsia="Arial" w:hAnsi="Arial"/>
                <w:sz w:val="17"/>
                <w:szCs w:val="17"/>
                <w:color w:val="auto"/>
              </w:rPr>
              <w:t>$420,000</w:t>
            </w:r>
          </w:p>
        </w:tc>
        <w:tc>
          <w:tcPr>
            <w:tcW w:w="2000" w:type="dxa"/>
            <w:vAlign w:val="bottom"/>
            <w:shd w:val="clear" w:color="auto" w:fill="9DBDE4"/>
          </w:tcPr>
          <w:p>
            <w:pPr>
              <w:jc w:val="right"/>
              <w:ind w:right="193"/>
              <w:spacing w:after="0"/>
              <w:rPr>
                <w:sz w:val="20"/>
                <w:szCs w:val="20"/>
                <w:color w:val="auto"/>
              </w:rPr>
            </w:pPr>
            <w:r>
              <w:rPr>
                <w:rFonts w:ascii="Arial" w:cs="Arial" w:eastAsia="Arial" w:hAnsi="Arial"/>
                <w:sz w:val="17"/>
                <w:szCs w:val="17"/>
                <w:color w:val="auto"/>
              </w:rPr>
              <w:t>$460,000</w:t>
            </w:r>
          </w:p>
        </w:tc>
        <w:tc>
          <w:tcPr>
            <w:tcW w:w="2300" w:type="dxa"/>
            <w:vAlign w:val="bottom"/>
            <w:shd w:val="clear" w:color="auto" w:fill="9DBDE4"/>
          </w:tcPr>
          <w:p>
            <w:pPr>
              <w:jc w:val="right"/>
              <w:ind w:right="233"/>
              <w:spacing w:after="0"/>
              <w:rPr>
                <w:sz w:val="20"/>
                <w:szCs w:val="20"/>
                <w:color w:val="auto"/>
              </w:rPr>
            </w:pPr>
            <w:r>
              <w:rPr>
                <w:rFonts w:ascii="Arial" w:cs="Arial" w:eastAsia="Arial" w:hAnsi="Arial"/>
                <w:sz w:val="17"/>
                <w:szCs w:val="17"/>
                <w:color w:val="auto"/>
              </w:rPr>
              <w:t>9.52%</w:t>
            </w:r>
          </w:p>
        </w:tc>
      </w:tr>
      <w:tr>
        <w:trPr>
          <w:trHeight w:val="195"/>
        </w:trPr>
        <w:tc>
          <w:tcPr>
            <w:tcW w:w="2520" w:type="dxa"/>
            <w:vAlign w:val="bottom"/>
            <w:tcBorders>
              <w:bottom w:val="single" w:sz="8" w:color="284993"/>
            </w:tcBorders>
          </w:tcPr>
          <w:p>
            <w:pPr>
              <w:ind w:left="100"/>
              <w:spacing w:after="0"/>
              <w:rPr>
                <w:sz w:val="20"/>
                <w:szCs w:val="20"/>
                <w:color w:val="auto"/>
              </w:rPr>
            </w:pPr>
            <w:r>
              <w:rPr>
                <w:rFonts w:ascii="Arial" w:cs="Arial" w:eastAsia="Arial" w:hAnsi="Arial"/>
                <w:sz w:val="17"/>
                <w:szCs w:val="17"/>
                <w:color w:val="auto"/>
              </w:rPr>
              <w:t>Deborah L. Guerra</w:t>
            </w:r>
          </w:p>
        </w:tc>
        <w:tc>
          <w:tcPr>
            <w:tcW w:w="1960" w:type="dxa"/>
            <w:vAlign w:val="bottom"/>
            <w:tcBorders>
              <w:bottom w:val="single" w:sz="8" w:color="284993"/>
            </w:tcBorders>
          </w:tcPr>
          <w:p>
            <w:pPr>
              <w:jc w:val="right"/>
              <w:ind w:right="213"/>
              <w:spacing w:after="0"/>
              <w:rPr>
                <w:sz w:val="20"/>
                <w:szCs w:val="20"/>
                <w:color w:val="auto"/>
              </w:rPr>
            </w:pPr>
            <w:r>
              <w:rPr>
                <w:rFonts w:ascii="Arial" w:cs="Arial" w:eastAsia="Arial" w:hAnsi="Arial"/>
                <w:sz w:val="17"/>
                <w:szCs w:val="17"/>
                <w:color w:val="auto"/>
              </w:rPr>
              <w:t>$383,000</w:t>
            </w:r>
          </w:p>
        </w:tc>
        <w:tc>
          <w:tcPr>
            <w:tcW w:w="2000" w:type="dxa"/>
            <w:vAlign w:val="bottom"/>
            <w:tcBorders>
              <w:bottom w:val="single" w:sz="8" w:color="284993"/>
            </w:tcBorders>
          </w:tcPr>
          <w:p>
            <w:pPr>
              <w:jc w:val="right"/>
              <w:ind w:right="193"/>
              <w:spacing w:after="0"/>
              <w:rPr>
                <w:sz w:val="20"/>
                <w:szCs w:val="20"/>
                <w:color w:val="auto"/>
              </w:rPr>
            </w:pPr>
            <w:r>
              <w:rPr>
                <w:rFonts w:ascii="Arial" w:cs="Arial" w:eastAsia="Arial" w:hAnsi="Arial"/>
                <w:sz w:val="17"/>
                <w:szCs w:val="17"/>
                <w:color w:val="auto"/>
              </w:rPr>
              <w:t>$400,000</w:t>
            </w:r>
          </w:p>
        </w:tc>
        <w:tc>
          <w:tcPr>
            <w:tcW w:w="2300" w:type="dxa"/>
            <w:vAlign w:val="bottom"/>
            <w:tcBorders>
              <w:bottom w:val="single" w:sz="8" w:color="284993"/>
            </w:tcBorders>
          </w:tcPr>
          <w:p>
            <w:pPr>
              <w:jc w:val="right"/>
              <w:ind w:right="233"/>
              <w:spacing w:after="0"/>
              <w:rPr>
                <w:sz w:val="20"/>
                <w:szCs w:val="20"/>
                <w:color w:val="auto"/>
              </w:rPr>
            </w:pPr>
            <w:r>
              <w:rPr>
                <w:rFonts w:ascii="Arial" w:cs="Arial" w:eastAsia="Arial" w:hAnsi="Arial"/>
                <w:sz w:val="17"/>
                <w:szCs w:val="17"/>
                <w:color w:val="auto"/>
              </w:rPr>
              <w:t>4.44%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4323715</wp:posOffset>
            </wp:positionH>
            <wp:positionV relativeFrom="paragraph">
              <wp:posOffset>-882015</wp:posOffset>
            </wp:positionV>
            <wp:extent cx="8255" cy="8826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82650"/>
                    </a:xfrm>
                    <a:prstGeom prst="rect">
                      <a:avLst/>
                    </a:prstGeom>
                    <a:noFill/>
                  </pic:spPr>
                </pic:pic>
              </a:graphicData>
            </a:graphic>
          </wp:anchor>
        </w:drawing>
        <w:drawing>
          <wp:anchor simplePos="0" relativeHeight="251657728" behindDoc="1" locked="0" layoutInCell="0" allowOverlap="1">
            <wp:simplePos x="0" y="0"/>
            <wp:positionH relativeFrom="column">
              <wp:posOffset>3052445</wp:posOffset>
            </wp:positionH>
            <wp:positionV relativeFrom="paragraph">
              <wp:posOffset>-882015</wp:posOffset>
            </wp:positionV>
            <wp:extent cx="8255" cy="8826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82650"/>
                    </a:xfrm>
                    <a:prstGeom prst="rect">
                      <a:avLst/>
                    </a:prstGeom>
                    <a:noFill/>
                  </pic:spPr>
                </pic:pic>
              </a:graphicData>
            </a:graphic>
          </wp:anchor>
        </w:drawing>
        <w:drawing>
          <wp:anchor simplePos="0" relativeHeight="251657728" behindDoc="1" locked="0" layoutInCell="0" allowOverlap="1">
            <wp:simplePos x="0" y="0"/>
            <wp:positionH relativeFrom="column">
              <wp:posOffset>1781810</wp:posOffset>
            </wp:positionH>
            <wp:positionV relativeFrom="paragraph">
              <wp:posOffset>-882015</wp:posOffset>
            </wp:positionV>
            <wp:extent cx="8255" cy="8826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82650"/>
                    </a:xfrm>
                    <a:prstGeom prst="rect">
                      <a:avLst/>
                    </a:prstGeom>
                    <a:noFill/>
                  </pic:spPr>
                </pic:pic>
              </a:graphicData>
            </a:graphic>
          </wp:anchor>
        </w:drawing>
      </w:r>
    </w:p>
    <w:p>
      <w:pPr>
        <w:spacing w:after="0" w:line="40" w:lineRule="exact"/>
        <w:rPr>
          <w:sz w:val="20"/>
          <w:szCs w:val="20"/>
          <w:color w:val="auto"/>
        </w:rPr>
      </w:pPr>
    </w:p>
    <w:p>
      <w:pPr>
        <w:ind w:left="660" w:right="20" w:hanging="186"/>
        <w:spacing w:after="0" w:line="199" w:lineRule="auto"/>
        <w:tabs>
          <w:tab w:leader="none" w:pos="660" w:val="left"/>
        </w:tabs>
        <w:numPr>
          <w:ilvl w:val="0"/>
          <w:numId w:val="31"/>
        </w:numPr>
        <w:rPr>
          <w:rFonts w:ascii="Arial" w:cs="Arial" w:eastAsia="Arial" w:hAnsi="Arial"/>
          <w:sz w:val="18"/>
          <w:szCs w:val="18"/>
          <w:color w:val="auto"/>
          <w:vertAlign w:val="superscript"/>
        </w:rPr>
      </w:pPr>
      <w:r>
        <w:rPr>
          <w:rFonts w:ascii="Arial" w:cs="Arial" w:eastAsia="Arial" w:hAnsi="Arial"/>
          <w:sz w:val="12"/>
          <w:szCs w:val="12"/>
          <w:color w:val="auto"/>
        </w:rPr>
        <w:t>Mr. Warsop III was appointed as President and CEO on June 1, 2023. The 2023 amount in this table reflects his annual base salary rate for service as our full time CEO. The 2023 Summary Compensation Table reflects compensation earned during fiscal 2023 for service both as CEO and as interim CEO prior to his June 1 appointment.</w:t>
      </w:r>
    </w:p>
    <w:p>
      <w:pPr>
        <w:spacing w:after="0" w:line="1" w:lineRule="exact"/>
        <w:rPr>
          <w:rFonts w:ascii="Arial" w:cs="Arial" w:eastAsia="Arial" w:hAnsi="Arial"/>
          <w:sz w:val="18"/>
          <w:szCs w:val="18"/>
          <w:color w:val="auto"/>
          <w:vertAlign w:val="superscript"/>
        </w:rPr>
      </w:pPr>
    </w:p>
    <w:p>
      <w:pPr>
        <w:ind w:left="660" w:right="280" w:hanging="186"/>
        <w:spacing w:after="0" w:line="193" w:lineRule="auto"/>
        <w:tabs>
          <w:tab w:leader="none" w:pos="660" w:val="left"/>
        </w:tabs>
        <w:numPr>
          <w:ilvl w:val="0"/>
          <w:numId w:val="31"/>
        </w:numPr>
        <w:rPr>
          <w:rFonts w:ascii="Arial" w:cs="Arial" w:eastAsia="Arial" w:hAnsi="Arial"/>
          <w:sz w:val="18"/>
          <w:szCs w:val="18"/>
          <w:color w:val="auto"/>
          <w:vertAlign w:val="superscript"/>
        </w:rPr>
      </w:pPr>
      <w:r>
        <w:rPr>
          <w:rFonts w:ascii="Arial" w:cs="Arial" w:eastAsia="Arial" w:hAnsi="Arial"/>
          <w:sz w:val="12"/>
          <w:szCs w:val="12"/>
          <w:color w:val="auto"/>
        </w:rPr>
        <w:t>Mr. Kuruvilla was appointed as Executive Vice President and Chief Technology Officer on October 30, 2023. The 2023 amount in this table reflects his annual base salary rate. The 2023 Summary Compensation Table reflects compensation earned during fiscal 2023 for service from the time he was hired.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Annual Cash Incentive Awards Under the STIP</w:t>
      </w:r>
    </w:p>
    <w:p>
      <w:pPr>
        <w:spacing w:after="0" w:line="108"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Our STIP offers our Named Executive Officers the opportunity to earn short-term cash incentive awards based on our financial and operational performance and their individual performance as measured over a 12-month performance period. In March 2023, the Compensation Committee approved the terms of the 2023 STIP for our executive officers.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Annual Cash Incentive Award Opportunity Targets</w:t>
      </w:r>
    </w:p>
    <w:p>
      <w:pPr>
        <w:spacing w:after="0" w:line="108"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At the beginning of each year, the Compensation Committee assigns each of our Named Executive Officers a target annual cash incentive award opportunity, the amount of which is calculated as a percentage of their annual base salary. These decisions take into account our CEO’s recommendations (except with respect to his incentive award opportunity), as well as the factors described under “Compensation-Setting Process – Factors Considered in Compensation Deliberations” above. Our Compensation Committee reviews the market data and determines any adjustment for our CEO’s target bonus.</w:t>
      </w:r>
    </w:p>
    <w:p>
      <w:pPr>
        <w:spacing w:after="0" w:line="182"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In December 2022 and January 2023, the Compensation Committee reviewed the target annual cash incentive opportunities of our Named Executive Officers and determined not to change the target annual cash incentive compensation as a percentage of base salary for any of our continuing Named Executive Officers from the corresponding 2023 levels, where applicable. Increases in the dollar amount are a result of base salary increases. The decrease for Mr. Silva related to the ending of a legacy</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41</w:t>
      </w:r>
    </w:p>
    <w:p>
      <w:pPr>
        <w:sectPr>
          <w:pgSz w:w="11900" w:h="16838" w:orient="portrait"/>
          <w:cols w:equalWidth="0" w:num="1">
            <w:col w:w="9360"/>
          </w:cols>
          <w:pgMar w:left="1260" w:top="286" w:right="1279"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sales incentive plan that he participated in prior to being promoted to CRO. The target annual cash incentive award opportunities of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Officers for purposes of the 2022 STIP and the 2023 STIP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420" w:type="dxa"/>
            <w:vAlign w:val="bottom"/>
            <w:shd w:val="clear" w:color="auto" w:fill="284993"/>
          </w:tcPr>
          <w:p>
            <w:pPr>
              <w:spacing w:after="0"/>
              <w:rPr>
                <w:sz w:val="16"/>
                <w:szCs w:val="16"/>
                <w:color w:val="auto"/>
              </w:rPr>
            </w:pPr>
          </w:p>
        </w:tc>
        <w:tc>
          <w:tcPr>
            <w:tcW w:w="1320" w:type="dxa"/>
            <w:vAlign w:val="bottom"/>
            <w:vMerge w:val="restart"/>
            <w:shd w:val="clear" w:color="auto" w:fill="284993"/>
          </w:tcPr>
          <w:p>
            <w:pPr>
              <w:jc w:val="center"/>
              <w:spacing w:after="0"/>
              <w:rPr>
                <w:sz w:val="20"/>
                <w:szCs w:val="20"/>
                <w:color w:val="auto"/>
              </w:rPr>
            </w:pPr>
            <w:r>
              <w:rPr>
                <w:rFonts w:ascii="Arial" w:cs="Arial" w:eastAsia="Arial" w:hAnsi="Arial"/>
                <w:sz w:val="16"/>
                <w:szCs w:val="16"/>
                <w:b w:val="1"/>
                <w:bCs w:val="1"/>
                <w:color w:val="FFFFFF"/>
                <w:w w:val="96"/>
              </w:rPr>
              <w:t>2022 Target</w:t>
            </w:r>
          </w:p>
        </w:tc>
        <w:tc>
          <w:tcPr>
            <w:tcW w:w="1400" w:type="dxa"/>
            <w:vAlign w:val="bottom"/>
            <w:shd w:val="clear" w:color="auto" w:fill="284993"/>
          </w:tcPr>
          <w:p>
            <w:pPr>
              <w:spacing w:after="0"/>
              <w:rPr>
                <w:sz w:val="16"/>
                <w:szCs w:val="16"/>
                <w:color w:val="auto"/>
              </w:rPr>
            </w:pPr>
          </w:p>
        </w:tc>
        <w:tc>
          <w:tcPr>
            <w:tcW w:w="1420" w:type="dxa"/>
            <w:vAlign w:val="bottom"/>
            <w:vMerge w:val="restart"/>
            <w:shd w:val="clear" w:color="auto" w:fill="284993"/>
          </w:tcPr>
          <w:p>
            <w:pPr>
              <w:jc w:val="center"/>
              <w:spacing w:after="0"/>
              <w:rPr>
                <w:sz w:val="20"/>
                <w:szCs w:val="20"/>
                <w:color w:val="auto"/>
              </w:rPr>
            </w:pPr>
            <w:r>
              <w:rPr>
                <w:rFonts w:ascii="Arial" w:cs="Arial" w:eastAsia="Arial" w:hAnsi="Arial"/>
                <w:sz w:val="16"/>
                <w:szCs w:val="16"/>
                <w:b w:val="1"/>
                <w:bCs w:val="1"/>
                <w:color w:val="FFFFFF"/>
                <w:w w:val="96"/>
              </w:rPr>
              <w:t>2023 Target</w:t>
            </w:r>
          </w:p>
        </w:tc>
        <w:tc>
          <w:tcPr>
            <w:tcW w:w="1440" w:type="dxa"/>
            <w:vAlign w:val="bottom"/>
            <w:shd w:val="clear" w:color="auto" w:fill="284993"/>
          </w:tcPr>
          <w:p>
            <w:pPr>
              <w:spacing w:after="0"/>
              <w:rPr>
                <w:sz w:val="16"/>
                <w:szCs w:val="16"/>
                <w:color w:val="auto"/>
              </w:rPr>
            </w:pPr>
          </w:p>
        </w:tc>
        <w:tc>
          <w:tcPr>
            <w:tcW w:w="134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7"/>
              </w:rPr>
              <w:t>Percentage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20" w:type="dxa"/>
            <w:vAlign w:val="bottom"/>
            <w:shd w:val="clear" w:color="auto" w:fill="284993"/>
          </w:tcPr>
          <w:p>
            <w:pPr>
              <w:spacing w:after="0"/>
              <w:rPr>
                <w:sz w:val="14"/>
                <w:szCs w:val="14"/>
                <w:color w:val="auto"/>
              </w:rPr>
            </w:pPr>
          </w:p>
        </w:tc>
        <w:tc>
          <w:tcPr>
            <w:tcW w:w="1320" w:type="dxa"/>
            <w:vAlign w:val="bottom"/>
            <w:vMerge w:val="continue"/>
            <w:shd w:val="clear" w:color="auto" w:fill="284993"/>
          </w:tcPr>
          <w:p>
            <w:pPr>
              <w:spacing w:after="0"/>
              <w:rPr>
                <w:sz w:val="14"/>
                <w:szCs w:val="14"/>
                <w:color w:val="auto"/>
              </w:rPr>
            </w:pPr>
          </w:p>
        </w:tc>
        <w:tc>
          <w:tcPr>
            <w:tcW w:w="1400" w:type="dxa"/>
            <w:vAlign w:val="bottom"/>
            <w:shd w:val="clear" w:color="auto" w:fill="284993"/>
          </w:tcPr>
          <w:p>
            <w:pPr>
              <w:spacing w:after="0"/>
              <w:rPr>
                <w:sz w:val="14"/>
                <w:szCs w:val="14"/>
                <w:color w:val="auto"/>
              </w:rPr>
            </w:pPr>
          </w:p>
        </w:tc>
        <w:tc>
          <w:tcPr>
            <w:tcW w:w="1420" w:type="dxa"/>
            <w:vAlign w:val="bottom"/>
            <w:vMerge w:val="continue"/>
            <w:shd w:val="clear" w:color="auto" w:fill="284993"/>
          </w:tcPr>
          <w:p>
            <w:pPr>
              <w:spacing w:after="0"/>
              <w:rPr>
                <w:sz w:val="14"/>
                <w:szCs w:val="14"/>
                <w:color w:val="auto"/>
              </w:rPr>
            </w:pPr>
          </w:p>
        </w:tc>
        <w:tc>
          <w:tcPr>
            <w:tcW w:w="1440" w:type="dxa"/>
            <w:vAlign w:val="bottom"/>
            <w:shd w:val="clear" w:color="auto" w:fill="284993"/>
          </w:tcPr>
          <w:p>
            <w:pPr>
              <w:spacing w:after="0"/>
              <w:rPr>
                <w:sz w:val="14"/>
                <w:szCs w:val="14"/>
                <w:color w:val="auto"/>
              </w:rPr>
            </w:pPr>
          </w:p>
        </w:tc>
        <w:tc>
          <w:tcPr>
            <w:tcW w:w="1340" w:type="dxa"/>
            <w:vAlign w:val="bottom"/>
            <w:shd w:val="clear" w:color="auto" w:fill="284993"/>
          </w:tcPr>
          <w:p>
            <w:pPr>
              <w:jc w:val="center"/>
              <w:spacing w:after="0" w:line="169" w:lineRule="exact"/>
              <w:rPr>
                <w:sz w:val="20"/>
                <w:szCs w:val="20"/>
                <w:color w:val="auto"/>
              </w:rPr>
            </w:pPr>
            <w:r>
              <w:rPr>
                <w:rFonts w:ascii="Arial" w:cs="Arial" w:eastAsia="Arial" w:hAnsi="Arial"/>
                <w:sz w:val="16"/>
                <w:szCs w:val="16"/>
                <w:b w:val="1"/>
                <w:bCs w:val="1"/>
                <w:color w:val="FFFFFF"/>
                <w:w w:val="98"/>
              </w:rPr>
              <w:t>Increase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20" w:type="dxa"/>
            <w:vAlign w:val="bottom"/>
            <w:shd w:val="clear" w:color="auto" w:fill="284993"/>
          </w:tcPr>
          <w:p>
            <w:pPr>
              <w:spacing w:after="0"/>
              <w:rPr>
                <w:sz w:val="15"/>
                <w:szCs w:val="15"/>
                <w:color w:val="auto"/>
              </w:rPr>
            </w:pPr>
          </w:p>
        </w:tc>
        <w:tc>
          <w:tcPr>
            <w:tcW w:w="132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6"/>
              </w:rPr>
              <w:t>Annual Cash</w:t>
            </w:r>
          </w:p>
        </w:tc>
        <w:tc>
          <w:tcPr>
            <w:tcW w:w="140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6"/>
              </w:rPr>
              <w:t>2022 Target</w:t>
            </w:r>
          </w:p>
        </w:tc>
        <w:tc>
          <w:tcPr>
            <w:tcW w:w="142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6"/>
              </w:rPr>
              <w:t>Annual Cash</w:t>
            </w:r>
          </w:p>
        </w:tc>
        <w:tc>
          <w:tcPr>
            <w:tcW w:w="144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6"/>
              </w:rPr>
              <w:t>2023 Target</w:t>
            </w:r>
          </w:p>
        </w:tc>
        <w:tc>
          <w:tcPr>
            <w:tcW w:w="134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7"/>
              </w:rPr>
              <w:t>over 2022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20" w:type="dxa"/>
            <w:vAlign w:val="bottom"/>
            <w:shd w:val="clear" w:color="auto" w:fill="284993"/>
          </w:tcPr>
          <w:p>
            <w:pPr>
              <w:spacing w:after="0"/>
              <w:rPr>
                <w:sz w:val="15"/>
                <w:szCs w:val="15"/>
                <w:color w:val="auto"/>
              </w:rPr>
            </w:pPr>
          </w:p>
        </w:tc>
        <w:tc>
          <w:tcPr>
            <w:tcW w:w="132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7"/>
              </w:rPr>
              <w:t>Incentive</w:t>
            </w:r>
          </w:p>
        </w:tc>
        <w:tc>
          <w:tcPr>
            <w:tcW w:w="140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8"/>
              </w:rPr>
              <w:t>Annual Cash</w:t>
            </w:r>
          </w:p>
        </w:tc>
        <w:tc>
          <w:tcPr>
            <w:tcW w:w="142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7"/>
              </w:rPr>
              <w:t>Incentive</w:t>
            </w:r>
          </w:p>
        </w:tc>
        <w:tc>
          <w:tcPr>
            <w:tcW w:w="144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8"/>
              </w:rPr>
              <w:t>Annual Cash</w:t>
            </w:r>
          </w:p>
        </w:tc>
        <w:tc>
          <w:tcPr>
            <w:tcW w:w="134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5"/>
              </w:rPr>
              <w:t>(calculated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20" w:type="dxa"/>
            <w:vAlign w:val="bottom"/>
            <w:shd w:val="clear" w:color="auto" w:fill="284993"/>
          </w:tcPr>
          <w:p>
            <w:pPr>
              <w:spacing w:after="0"/>
              <w:rPr>
                <w:sz w:val="15"/>
                <w:szCs w:val="15"/>
                <w:color w:val="auto"/>
              </w:rPr>
            </w:pPr>
          </w:p>
        </w:tc>
        <w:tc>
          <w:tcPr>
            <w:tcW w:w="132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3"/>
              </w:rPr>
              <w:t>Award</w:t>
            </w:r>
          </w:p>
        </w:tc>
        <w:tc>
          <w:tcPr>
            <w:tcW w:w="140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7"/>
              </w:rPr>
              <w:t>Incentive</w:t>
            </w:r>
          </w:p>
        </w:tc>
        <w:tc>
          <w:tcPr>
            <w:tcW w:w="142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8"/>
              </w:rPr>
              <w:t>Award</w:t>
            </w:r>
          </w:p>
        </w:tc>
        <w:tc>
          <w:tcPr>
            <w:tcW w:w="144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7"/>
              </w:rPr>
              <w:t>Incentive</w:t>
            </w:r>
          </w:p>
        </w:tc>
        <w:tc>
          <w:tcPr>
            <w:tcW w:w="134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6"/>
              </w:rPr>
              <w:t>based on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20" w:type="dxa"/>
            <w:vAlign w:val="bottom"/>
            <w:shd w:val="clear" w:color="auto" w:fill="284993"/>
          </w:tcPr>
          <w:p>
            <w:pPr>
              <w:spacing w:after="0"/>
              <w:rPr>
                <w:sz w:val="15"/>
                <w:szCs w:val="15"/>
                <w:color w:val="auto"/>
              </w:rPr>
            </w:pPr>
          </w:p>
        </w:tc>
        <w:tc>
          <w:tcPr>
            <w:tcW w:w="132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8"/>
              </w:rPr>
              <w:t>Opportunity</w:t>
            </w:r>
          </w:p>
        </w:tc>
        <w:tc>
          <w:tcPr>
            <w:tcW w:w="140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8"/>
              </w:rPr>
              <w:t>Award</w:t>
            </w:r>
          </w:p>
        </w:tc>
        <w:tc>
          <w:tcPr>
            <w:tcW w:w="142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8"/>
              </w:rPr>
              <w:t>Opportunity</w:t>
            </w:r>
          </w:p>
        </w:tc>
        <w:tc>
          <w:tcPr>
            <w:tcW w:w="144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8"/>
              </w:rPr>
              <w:t>Award</w:t>
            </w:r>
          </w:p>
        </w:tc>
        <w:tc>
          <w:tcPr>
            <w:tcW w:w="134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9"/>
              </w:rPr>
              <w:t>the dollar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20" w:type="dxa"/>
            <w:vAlign w:val="bottom"/>
            <w:shd w:val="clear" w:color="auto" w:fill="284993"/>
          </w:tcPr>
          <w:p>
            <w:pPr>
              <w:spacing w:after="0"/>
              <w:rPr>
                <w:sz w:val="15"/>
                <w:szCs w:val="15"/>
                <w:color w:val="auto"/>
              </w:rPr>
            </w:pPr>
          </w:p>
        </w:tc>
        <w:tc>
          <w:tcPr>
            <w:tcW w:w="132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7"/>
              </w:rPr>
              <w:t>(% of</w:t>
            </w:r>
          </w:p>
        </w:tc>
        <w:tc>
          <w:tcPr>
            <w:tcW w:w="140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6"/>
              </w:rPr>
              <w:t>Opportunity</w:t>
            </w:r>
          </w:p>
        </w:tc>
        <w:tc>
          <w:tcPr>
            <w:tcW w:w="142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7"/>
              </w:rPr>
              <w:t>(% of</w:t>
            </w:r>
          </w:p>
        </w:tc>
        <w:tc>
          <w:tcPr>
            <w:tcW w:w="144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8"/>
              </w:rPr>
              <w:t>Opportunity</w:t>
            </w:r>
          </w:p>
        </w:tc>
        <w:tc>
          <w:tcPr>
            <w:tcW w:w="134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6"/>
              </w:rPr>
              <w:t>amount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20" w:type="dxa"/>
            <w:vAlign w:val="bottom"/>
            <w:shd w:val="clear" w:color="auto" w:fill="284993"/>
          </w:tcPr>
          <w:p>
            <w:pPr>
              <w:spacing w:after="0"/>
              <w:rPr>
                <w:sz w:val="20"/>
                <w:szCs w:val="20"/>
                <w:color w:val="auto"/>
              </w:rPr>
            </w:pPr>
            <w:r>
              <w:rPr>
                <w:rFonts w:ascii="Arial" w:cs="Arial" w:eastAsia="Arial" w:hAnsi="Arial"/>
                <w:sz w:val="16"/>
                <w:szCs w:val="16"/>
                <w:b w:val="1"/>
                <w:bCs w:val="1"/>
                <w:color w:val="FFFFFF"/>
              </w:rPr>
              <w:t>   Named Executive Officer</w:t>
            </w:r>
          </w:p>
        </w:tc>
        <w:tc>
          <w:tcPr>
            <w:tcW w:w="132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7"/>
              </w:rPr>
              <w:t>base salary)</w:t>
            </w:r>
          </w:p>
        </w:tc>
        <w:tc>
          <w:tcPr>
            <w:tcW w:w="140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rPr>
              <w:t>($)</w:t>
            </w:r>
          </w:p>
        </w:tc>
        <w:tc>
          <w:tcPr>
            <w:tcW w:w="142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7"/>
              </w:rPr>
              <w:t>base salary)</w:t>
            </w:r>
          </w:p>
        </w:tc>
        <w:tc>
          <w:tcPr>
            <w:tcW w:w="144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rPr>
              <w:t>($)</w:t>
            </w:r>
          </w:p>
        </w:tc>
        <w:tc>
          <w:tcPr>
            <w:tcW w:w="134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6"/>
              </w:rPr>
              <w:t>increase)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20" w:type="dxa"/>
            <w:vAlign w:val="bottom"/>
          </w:tcPr>
          <w:p>
            <w:pPr>
              <w:ind w:left="100"/>
              <w:spacing w:after="0" w:line="194" w:lineRule="exact"/>
              <w:rPr>
                <w:sz w:val="20"/>
                <w:szCs w:val="20"/>
                <w:color w:val="auto"/>
              </w:rPr>
            </w:pPr>
            <w:r>
              <w:rPr>
                <w:rFonts w:ascii="Arial" w:cs="Arial" w:eastAsia="Arial" w:hAnsi="Arial"/>
                <w:sz w:val="15"/>
                <w:szCs w:val="15"/>
                <w:color w:val="auto"/>
              </w:rPr>
              <w:t>Thomas W. Warsop III</w:t>
            </w:r>
            <w:r>
              <w:rPr>
                <w:rFonts w:ascii="Arial" w:cs="Arial" w:eastAsia="Arial" w:hAnsi="Arial"/>
                <w:sz w:val="22"/>
                <w:szCs w:val="22"/>
                <w:color w:val="auto"/>
                <w:vertAlign w:val="superscript"/>
              </w:rPr>
              <w:t>(1)</w:t>
            </w:r>
          </w:p>
        </w:tc>
        <w:tc>
          <w:tcPr>
            <w:tcW w:w="1320" w:type="dxa"/>
            <w:vAlign w:val="bottom"/>
          </w:tcPr>
          <w:p>
            <w:pPr>
              <w:jc w:val="right"/>
              <w:ind w:right="118"/>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158"/>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58"/>
              <w:spacing w:after="0"/>
              <w:rPr>
                <w:sz w:val="20"/>
                <w:szCs w:val="20"/>
                <w:color w:val="auto"/>
              </w:rPr>
            </w:pPr>
            <w:r>
              <w:rPr>
                <w:rFonts w:ascii="Arial" w:cs="Arial" w:eastAsia="Arial" w:hAnsi="Arial"/>
                <w:sz w:val="17"/>
                <w:szCs w:val="17"/>
                <w:color w:val="auto"/>
              </w:rPr>
              <w:t>100%</w:t>
            </w:r>
          </w:p>
        </w:tc>
        <w:tc>
          <w:tcPr>
            <w:tcW w:w="1440" w:type="dxa"/>
            <w:vAlign w:val="bottom"/>
          </w:tcPr>
          <w:p>
            <w:pPr>
              <w:jc w:val="right"/>
              <w:ind w:right="158"/>
              <w:spacing w:after="0"/>
              <w:rPr>
                <w:sz w:val="20"/>
                <w:szCs w:val="20"/>
                <w:color w:val="auto"/>
              </w:rPr>
            </w:pPr>
            <w:r>
              <w:rPr>
                <w:rFonts w:ascii="Arial" w:cs="Arial" w:eastAsia="Arial" w:hAnsi="Arial"/>
                <w:sz w:val="17"/>
                <w:szCs w:val="17"/>
                <w:color w:val="auto"/>
              </w:rPr>
              <w:t>$750,000</w:t>
            </w:r>
          </w:p>
        </w:tc>
        <w:tc>
          <w:tcPr>
            <w:tcW w:w="1340" w:type="dxa"/>
            <w:vAlign w:val="bottom"/>
          </w:tcPr>
          <w:p>
            <w:pPr>
              <w:jc w:val="right"/>
              <w:ind w:right="17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20" w:type="dxa"/>
            <w:vAlign w:val="bottom"/>
            <w:shd w:val="clear" w:color="auto" w:fill="E9ECF4"/>
          </w:tcPr>
          <w:p>
            <w:pPr>
              <w:ind w:left="100"/>
              <w:spacing w:after="0"/>
              <w:rPr>
                <w:sz w:val="20"/>
                <w:szCs w:val="20"/>
                <w:color w:val="auto"/>
              </w:rPr>
            </w:pPr>
            <w:r>
              <w:rPr>
                <w:rFonts w:ascii="Arial" w:cs="Arial" w:eastAsia="Arial" w:hAnsi="Arial"/>
                <w:sz w:val="17"/>
                <w:szCs w:val="17"/>
                <w:color w:val="auto"/>
              </w:rPr>
              <w:t>Scott W. Behrens</w:t>
            </w:r>
          </w:p>
        </w:tc>
        <w:tc>
          <w:tcPr>
            <w:tcW w:w="1320" w:type="dxa"/>
            <w:vAlign w:val="bottom"/>
            <w:shd w:val="clear" w:color="auto" w:fill="E9ECF4"/>
          </w:tcPr>
          <w:p>
            <w:pPr>
              <w:jc w:val="right"/>
              <w:ind w:right="118"/>
              <w:spacing w:after="0"/>
              <w:rPr>
                <w:sz w:val="20"/>
                <w:szCs w:val="20"/>
                <w:color w:val="auto"/>
              </w:rPr>
            </w:pPr>
            <w:r>
              <w:rPr>
                <w:rFonts w:ascii="Arial" w:cs="Arial" w:eastAsia="Arial" w:hAnsi="Arial"/>
                <w:sz w:val="17"/>
                <w:szCs w:val="17"/>
                <w:color w:val="auto"/>
              </w:rPr>
              <w:t>100%</w:t>
            </w:r>
          </w:p>
        </w:tc>
        <w:tc>
          <w:tcPr>
            <w:tcW w:w="1400" w:type="dxa"/>
            <w:vAlign w:val="bottom"/>
            <w:shd w:val="clear" w:color="auto" w:fill="E9ECF4"/>
          </w:tcPr>
          <w:p>
            <w:pPr>
              <w:jc w:val="right"/>
              <w:ind w:right="158"/>
              <w:spacing w:after="0"/>
              <w:rPr>
                <w:sz w:val="20"/>
                <w:szCs w:val="20"/>
                <w:color w:val="auto"/>
              </w:rPr>
            </w:pPr>
            <w:r>
              <w:rPr>
                <w:rFonts w:ascii="Arial" w:cs="Arial" w:eastAsia="Arial" w:hAnsi="Arial"/>
                <w:sz w:val="17"/>
                <w:szCs w:val="17"/>
                <w:color w:val="auto"/>
              </w:rPr>
              <w:t>$475,000</w:t>
            </w:r>
          </w:p>
        </w:tc>
        <w:tc>
          <w:tcPr>
            <w:tcW w:w="1420" w:type="dxa"/>
            <w:vAlign w:val="bottom"/>
            <w:shd w:val="clear" w:color="auto" w:fill="E9ECF4"/>
          </w:tcPr>
          <w:p>
            <w:pPr>
              <w:jc w:val="right"/>
              <w:ind w:right="158"/>
              <w:spacing w:after="0"/>
              <w:rPr>
                <w:sz w:val="20"/>
                <w:szCs w:val="20"/>
                <w:color w:val="auto"/>
              </w:rPr>
            </w:pPr>
            <w:r>
              <w:rPr>
                <w:rFonts w:ascii="Arial" w:cs="Arial" w:eastAsia="Arial" w:hAnsi="Arial"/>
                <w:sz w:val="17"/>
                <w:szCs w:val="17"/>
                <w:color w:val="auto"/>
              </w:rPr>
              <w:t>100%</w:t>
            </w:r>
          </w:p>
        </w:tc>
        <w:tc>
          <w:tcPr>
            <w:tcW w:w="1440" w:type="dxa"/>
            <w:vAlign w:val="bottom"/>
            <w:shd w:val="clear" w:color="auto" w:fill="E9ECF4"/>
          </w:tcPr>
          <w:p>
            <w:pPr>
              <w:jc w:val="right"/>
              <w:ind w:right="158"/>
              <w:spacing w:after="0"/>
              <w:rPr>
                <w:sz w:val="20"/>
                <w:szCs w:val="20"/>
                <w:color w:val="auto"/>
              </w:rPr>
            </w:pPr>
            <w:r>
              <w:rPr>
                <w:rFonts w:ascii="Arial" w:cs="Arial" w:eastAsia="Arial" w:hAnsi="Arial"/>
                <w:sz w:val="17"/>
                <w:szCs w:val="17"/>
                <w:color w:val="auto"/>
              </w:rPr>
              <w:t>$515,000</w:t>
            </w:r>
          </w:p>
        </w:tc>
        <w:tc>
          <w:tcPr>
            <w:tcW w:w="1340" w:type="dxa"/>
            <w:vAlign w:val="bottom"/>
            <w:shd w:val="clear" w:color="auto" w:fill="E9ECF4"/>
          </w:tcPr>
          <w:p>
            <w:pPr>
              <w:jc w:val="right"/>
              <w:ind w:right="179"/>
              <w:spacing w:after="0"/>
              <w:rPr>
                <w:sz w:val="20"/>
                <w:szCs w:val="20"/>
                <w:color w:val="auto"/>
              </w:rPr>
            </w:pPr>
            <w:r>
              <w:rPr>
                <w:rFonts w:ascii="Arial" w:cs="Arial" w:eastAsia="Arial" w:hAnsi="Arial"/>
                <w:sz w:val="17"/>
                <w:szCs w:val="17"/>
                <w:color w:val="auto"/>
              </w:rPr>
              <w:t>8.42%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20" w:type="dxa"/>
            <w:vAlign w:val="bottom"/>
          </w:tcPr>
          <w:p>
            <w:pPr>
              <w:ind w:left="100"/>
              <w:spacing w:after="0" w:line="194" w:lineRule="exact"/>
              <w:rPr>
                <w:sz w:val="20"/>
                <w:szCs w:val="20"/>
                <w:color w:val="auto"/>
              </w:rPr>
            </w:pPr>
            <w:r>
              <w:rPr>
                <w:rFonts w:ascii="Arial" w:cs="Arial" w:eastAsia="Arial" w:hAnsi="Arial"/>
                <w:sz w:val="15"/>
                <w:szCs w:val="15"/>
                <w:color w:val="auto"/>
              </w:rPr>
              <w:t>Abraham (“Abe”) Kuruvilla</w:t>
            </w:r>
            <w:r>
              <w:rPr>
                <w:rFonts w:ascii="Arial" w:cs="Arial" w:eastAsia="Arial" w:hAnsi="Arial"/>
                <w:sz w:val="22"/>
                <w:szCs w:val="22"/>
                <w:color w:val="auto"/>
                <w:vertAlign w:val="superscript"/>
              </w:rPr>
              <w:t>(2)</w:t>
            </w:r>
          </w:p>
        </w:tc>
        <w:tc>
          <w:tcPr>
            <w:tcW w:w="1320" w:type="dxa"/>
            <w:vAlign w:val="bottom"/>
          </w:tcPr>
          <w:p>
            <w:pPr>
              <w:jc w:val="right"/>
              <w:ind w:right="118"/>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158"/>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58"/>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8"/>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7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20" w:type="dxa"/>
            <w:vAlign w:val="bottom"/>
            <w:shd w:val="clear" w:color="auto" w:fill="E9ECF4"/>
          </w:tcPr>
          <w:p>
            <w:pPr>
              <w:ind w:left="100"/>
              <w:spacing w:after="0" w:line="194" w:lineRule="exact"/>
              <w:rPr>
                <w:sz w:val="20"/>
                <w:szCs w:val="20"/>
                <w:color w:val="auto"/>
              </w:rPr>
            </w:pPr>
            <w:r>
              <w:rPr>
                <w:rFonts w:ascii="Arial" w:cs="Arial" w:eastAsia="Arial" w:hAnsi="Arial"/>
                <w:sz w:val="15"/>
                <w:szCs w:val="15"/>
                <w:color w:val="auto"/>
              </w:rPr>
              <w:t>Alessandro Silva</w:t>
            </w:r>
            <w:r>
              <w:rPr>
                <w:rFonts w:ascii="Arial" w:cs="Arial" w:eastAsia="Arial" w:hAnsi="Arial"/>
                <w:sz w:val="22"/>
                <w:szCs w:val="22"/>
                <w:color w:val="auto"/>
                <w:vertAlign w:val="superscript"/>
              </w:rPr>
              <w:t>(3)</w:t>
            </w:r>
          </w:p>
        </w:tc>
        <w:tc>
          <w:tcPr>
            <w:tcW w:w="1320" w:type="dxa"/>
            <w:vAlign w:val="bottom"/>
            <w:shd w:val="clear" w:color="auto" w:fill="E9ECF4"/>
          </w:tcPr>
          <w:p>
            <w:pPr>
              <w:jc w:val="right"/>
              <w:ind w:right="118"/>
              <w:spacing w:after="0"/>
              <w:rPr>
                <w:sz w:val="20"/>
                <w:szCs w:val="20"/>
                <w:color w:val="auto"/>
              </w:rPr>
            </w:pPr>
            <w:r>
              <w:rPr>
                <w:rFonts w:ascii="Arial" w:cs="Arial" w:eastAsia="Arial" w:hAnsi="Arial"/>
                <w:sz w:val="17"/>
                <w:szCs w:val="17"/>
                <w:color w:val="auto"/>
              </w:rPr>
              <w:t>114%</w:t>
            </w:r>
          </w:p>
        </w:tc>
        <w:tc>
          <w:tcPr>
            <w:tcW w:w="1400" w:type="dxa"/>
            <w:vAlign w:val="bottom"/>
            <w:shd w:val="clear" w:color="auto" w:fill="E9ECF4"/>
          </w:tcPr>
          <w:p>
            <w:pPr>
              <w:jc w:val="right"/>
              <w:ind w:right="158"/>
              <w:spacing w:after="0"/>
              <w:rPr>
                <w:sz w:val="20"/>
                <w:szCs w:val="20"/>
                <w:color w:val="auto"/>
              </w:rPr>
            </w:pPr>
            <w:r>
              <w:rPr>
                <w:rFonts w:ascii="Arial" w:cs="Arial" w:eastAsia="Arial" w:hAnsi="Arial"/>
                <w:sz w:val="17"/>
                <w:szCs w:val="17"/>
                <w:color w:val="auto"/>
              </w:rPr>
              <w:t>$478,750</w:t>
            </w:r>
          </w:p>
        </w:tc>
        <w:tc>
          <w:tcPr>
            <w:tcW w:w="1420" w:type="dxa"/>
            <w:vAlign w:val="bottom"/>
            <w:shd w:val="clear" w:color="auto" w:fill="E9ECF4"/>
          </w:tcPr>
          <w:p>
            <w:pPr>
              <w:jc w:val="right"/>
              <w:ind w:right="158"/>
              <w:spacing w:after="0"/>
              <w:rPr>
                <w:sz w:val="20"/>
                <w:szCs w:val="20"/>
                <w:color w:val="auto"/>
              </w:rPr>
            </w:pPr>
            <w:r>
              <w:rPr>
                <w:rFonts w:ascii="Arial" w:cs="Arial" w:eastAsia="Arial" w:hAnsi="Arial"/>
                <w:sz w:val="17"/>
                <w:szCs w:val="17"/>
                <w:color w:val="auto"/>
              </w:rPr>
              <w:t>100%</w:t>
            </w:r>
          </w:p>
        </w:tc>
        <w:tc>
          <w:tcPr>
            <w:tcW w:w="1440" w:type="dxa"/>
            <w:vAlign w:val="bottom"/>
            <w:shd w:val="clear" w:color="auto" w:fill="E9ECF4"/>
          </w:tcPr>
          <w:p>
            <w:pPr>
              <w:jc w:val="right"/>
              <w:ind w:right="158"/>
              <w:spacing w:after="0"/>
              <w:rPr>
                <w:sz w:val="20"/>
                <w:szCs w:val="20"/>
                <w:color w:val="auto"/>
              </w:rPr>
            </w:pPr>
            <w:r>
              <w:rPr>
                <w:rFonts w:ascii="Arial" w:cs="Arial" w:eastAsia="Arial" w:hAnsi="Arial"/>
                <w:sz w:val="17"/>
                <w:szCs w:val="17"/>
                <w:color w:val="auto"/>
              </w:rPr>
              <w:t>$440,000</w:t>
            </w:r>
          </w:p>
        </w:tc>
        <w:tc>
          <w:tcPr>
            <w:tcW w:w="1340" w:type="dxa"/>
            <w:vAlign w:val="bottom"/>
            <w:shd w:val="clear" w:color="auto" w:fill="E9ECF4"/>
          </w:tcPr>
          <w:p>
            <w:pPr>
              <w:jc w:val="right"/>
              <w:ind w:right="179"/>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20" w:type="dxa"/>
            <w:vAlign w:val="bottom"/>
            <w:tcBorders>
              <w:bottom w:val="single" w:sz="8" w:color="284993"/>
            </w:tcBorders>
          </w:tcPr>
          <w:p>
            <w:pPr>
              <w:ind w:left="100"/>
              <w:spacing w:after="0"/>
              <w:rPr>
                <w:sz w:val="20"/>
                <w:szCs w:val="20"/>
                <w:color w:val="auto"/>
              </w:rPr>
            </w:pPr>
            <w:r>
              <w:rPr>
                <w:rFonts w:ascii="Arial" w:cs="Arial" w:eastAsia="Arial" w:hAnsi="Arial"/>
                <w:sz w:val="17"/>
                <w:szCs w:val="17"/>
                <w:color w:val="auto"/>
              </w:rPr>
              <w:t>Deborah L. Guerra</w:t>
            </w:r>
          </w:p>
        </w:tc>
        <w:tc>
          <w:tcPr>
            <w:tcW w:w="1320" w:type="dxa"/>
            <w:vAlign w:val="bottom"/>
            <w:tcBorders>
              <w:bottom w:val="single" w:sz="8" w:color="284993"/>
            </w:tcBorders>
          </w:tcPr>
          <w:p>
            <w:pPr>
              <w:jc w:val="right"/>
              <w:ind w:right="118"/>
              <w:spacing w:after="0"/>
              <w:rPr>
                <w:sz w:val="20"/>
                <w:szCs w:val="20"/>
                <w:color w:val="auto"/>
              </w:rPr>
            </w:pPr>
            <w:r>
              <w:rPr>
                <w:rFonts w:ascii="Arial" w:cs="Arial" w:eastAsia="Arial" w:hAnsi="Arial"/>
                <w:sz w:val="17"/>
                <w:szCs w:val="17"/>
                <w:color w:val="auto"/>
              </w:rPr>
              <w:t>100%</w:t>
            </w:r>
          </w:p>
        </w:tc>
        <w:tc>
          <w:tcPr>
            <w:tcW w:w="1400" w:type="dxa"/>
            <w:vAlign w:val="bottom"/>
            <w:tcBorders>
              <w:bottom w:val="single" w:sz="8" w:color="284993"/>
            </w:tcBorders>
          </w:tcPr>
          <w:p>
            <w:pPr>
              <w:jc w:val="right"/>
              <w:ind w:right="158"/>
              <w:spacing w:after="0"/>
              <w:rPr>
                <w:sz w:val="20"/>
                <w:szCs w:val="20"/>
                <w:color w:val="auto"/>
              </w:rPr>
            </w:pPr>
            <w:r>
              <w:rPr>
                <w:rFonts w:ascii="Arial" w:cs="Arial" w:eastAsia="Arial" w:hAnsi="Arial"/>
                <w:sz w:val="17"/>
                <w:szCs w:val="17"/>
                <w:color w:val="auto"/>
              </w:rPr>
              <w:t>$305,351</w:t>
            </w:r>
          </w:p>
        </w:tc>
        <w:tc>
          <w:tcPr>
            <w:tcW w:w="1420" w:type="dxa"/>
            <w:vAlign w:val="bottom"/>
            <w:tcBorders>
              <w:bottom w:val="single" w:sz="8" w:color="284993"/>
            </w:tcBorders>
          </w:tcPr>
          <w:p>
            <w:pPr>
              <w:jc w:val="right"/>
              <w:ind w:right="158"/>
              <w:spacing w:after="0"/>
              <w:rPr>
                <w:sz w:val="20"/>
                <w:szCs w:val="20"/>
                <w:color w:val="auto"/>
              </w:rPr>
            </w:pPr>
            <w:r>
              <w:rPr>
                <w:rFonts w:ascii="Arial" w:cs="Arial" w:eastAsia="Arial" w:hAnsi="Arial"/>
                <w:sz w:val="17"/>
                <w:szCs w:val="17"/>
                <w:color w:val="auto"/>
              </w:rPr>
              <w:t>100%</w:t>
            </w:r>
          </w:p>
        </w:tc>
        <w:tc>
          <w:tcPr>
            <w:tcW w:w="1440" w:type="dxa"/>
            <w:vAlign w:val="bottom"/>
            <w:tcBorders>
              <w:bottom w:val="single" w:sz="8" w:color="284993"/>
            </w:tcBorders>
          </w:tcPr>
          <w:p>
            <w:pPr>
              <w:jc w:val="right"/>
              <w:ind w:right="158"/>
              <w:spacing w:after="0"/>
              <w:rPr>
                <w:sz w:val="20"/>
                <w:szCs w:val="20"/>
                <w:color w:val="auto"/>
              </w:rPr>
            </w:pPr>
            <w:r>
              <w:rPr>
                <w:rFonts w:ascii="Arial" w:cs="Arial" w:eastAsia="Arial" w:hAnsi="Arial"/>
                <w:sz w:val="17"/>
                <w:szCs w:val="17"/>
                <w:color w:val="auto"/>
              </w:rPr>
              <w:t>$400,000</w:t>
            </w:r>
          </w:p>
        </w:tc>
        <w:tc>
          <w:tcPr>
            <w:tcW w:w="1340" w:type="dxa"/>
            <w:vAlign w:val="bottom"/>
            <w:tcBorders>
              <w:bottom w:val="single" w:sz="8" w:color="284993"/>
            </w:tcBorders>
          </w:tcPr>
          <w:p>
            <w:pPr>
              <w:jc w:val="right"/>
              <w:ind w:right="179"/>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280" w:right="380" w:hanging="274"/>
        <w:spacing w:after="0" w:line="189" w:lineRule="auto"/>
        <w:tabs>
          <w:tab w:leader="none" w:pos="280" w:val="left"/>
        </w:tabs>
        <w:numPr>
          <w:ilvl w:val="0"/>
          <w:numId w:val="32"/>
        </w:numPr>
        <w:rPr>
          <w:rFonts w:ascii="Arial" w:cs="Arial" w:eastAsia="Arial" w:hAnsi="Arial"/>
          <w:sz w:val="18"/>
          <w:szCs w:val="18"/>
          <w:color w:val="auto"/>
          <w:vertAlign w:val="superscript"/>
        </w:rPr>
      </w:pPr>
      <w:r>
        <w:rPr>
          <w:rFonts w:ascii="Arial" w:cs="Arial" w:eastAsia="Arial" w:hAnsi="Arial"/>
          <w:sz w:val="12"/>
          <w:szCs w:val="12"/>
          <w:color w:val="auto"/>
        </w:rPr>
        <w:t>Mr. Warsop III was appointed as President and CEO on June 1, 2023. The 2023 amount reflects the target incentive opportunity for the CEO role. His actual target opportunity for 2023 was pro-rated based on his period of service in the full time CEO role.</w:t>
      </w:r>
    </w:p>
    <w:p>
      <w:pPr>
        <w:ind w:left="280" w:right="260" w:hanging="274"/>
        <w:spacing w:after="0" w:line="180" w:lineRule="auto"/>
        <w:tabs>
          <w:tab w:leader="none" w:pos="280" w:val="left"/>
        </w:tabs>
        <w:numPr>
          <w:ilvl w:val="0"/>
          <w:numId w:val="32"/>
        </w:numPr>
        <w:rPr>
          <w:rFonts w:ascii="Arial" w:cs="Arial" w:eastAsia="Arial" w:hAnsi="Arial"/>
          <w:sz w:val="18"/>
          <w:szCs w:val="18"/>
          <w:color w:val="auto"/>
          <w:vertAlign w:val="superscript"/>
        </w:rPr>
      </w:pPr>
      <w:r>
        <w:rPr>
          <w:rFonts w:ascii="Arial" w:cs="Arial" w:eastAsia="Arial" w:hAnsi="Arial"/>
          <w:sz w:val="12"/>
          <w:szCs w:val="12"/>
          <w:color w:val="auto"/>
        </w:rPr>
        <w:t>Mr. Kuruvilla was hired in 2023 and did not participate in the 2023 STIP due to the time of his hiring midway through the performance period. He will participate in the 2024 STIP.</w:t>
      </w:r>
    </w:p>
    <w:p>
      <w:pPr>
        <w:spacing w:after="0" w:line="1" w:lineRule="exact"/>
        <w:rPr>
          <w:rFonts w:ascii="Arial" w:cs="Arial" w:eastAsia="Arial" w:hAnsi="Arial"/>
          <w:sz w:val="18"/>
          <w:szCs w:val="18"/>
          <w:color w:val="auto"/>
          <w:vertAlign w:val="superscript"/>
        </w:rPr>
      </w:pPr>
    </w:p>
    <w:p>
      <w:pPr>
        <w:ind w:left="280" w:right="220" w:hanging="274"/>
        <w:spacing w:after="0" w:line="211" w:lineRule="auto"/>
        <w:tabs>
          <w:tab w:leader="none" w:pos="280" w:val="left"/>
        </w:tabs>
        <w:numPr>
          <w:ilvl w:val="0"/>
          <w:numId w:val="32"/>
        </w:numPr>
        <w:rPr>
          <w:rFonts w:ascii="Arial" w:cs="Arial" w:eastAsia="Arial" w:hAnsi="Arial"/>
          <w:sz w:val="18"/>
          <w:szCs w:val="18"/>
          <w:color w:val="auto"/>
          <w:vertAlign w:val="superscript"/>
        </w:rPr>
      </w:pPr>
      <w:r>
        <w:rPr>
          <w:rFonts w:ascii="Arial" w:cs="Arial" w:eastAsia="Arial" w:hAnsi="Arial"/>
          <w:sz w:val="12"/>
          <w:szCs w:val="12"/>
          <w:color w:val="auto"/>
        </w:rPr>
        <w:t>Mr. Silva’s target annual cash incentive opportunity is composed of a combination of participation in our STIP as well as a separate sales incentive plan (as described below). For both 2022 and 2023, Mr. Silva’s target opportunity under the STIP and under the applicable sales incentive plan was 50% of his base salary. Because Mr. Silva’s sales incentive plan target was set at the beginning of the fiscal year, before his base salary increased, his 50% of base salary target sales incentive plan amount is $210,000. In 2022, his sales incentive plan included opportunities related to his performance prior to being promoted to CRO that were honored after his promotion.</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84993"/>
        </w:rPr>
        <w:t>Plan Terms – 2023 Performance Metrics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The 2023 STIP provided for a funding pool based on actual performance for the period beginning on January 1, 2023, and ending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2023, as measured in two categories:</w:t>
      </w:r>
    </w:p>
    <w:p>
      <w:pPr>
        <w:spacing w:after="0" w:line="101" w:lineRule="exact"/>
        <w:rPr>
          <w:sz w:val="20"/>
          <w:szCs w:val="20"/>
          <w:color w:val="auto"/>
        </w:rPr>
      </w:pPr>
    </w:p>
    <w:p>
      <w:pPr>
        <w:ind w:left="360" w:hanging="263"/>
        <w:spacing w:after="0"/>
        <w:tabs>
          <w:tab w:leader="none" w:pos="3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Adjusted EBITDA (40% weighting)</w:t>
      </w:r>
    </w:p>
    <w:p>
      <w:pPr>
        <w:spacing w:after="0" w:line="114" w:lineRule="exact"/>
        <w:rPr>
          <w:rFonts w:ascii="Arial" w:cs="Arial" w:eastAsia="Arial" w:hAnsi="Arial"/>
          <w:sz w:val="16"/>
          <w:szCs w:val="16"/>
          <w:color w:val="auto"/>
        </w:rPr>
      </w:pPr>
    </w:p>
    <w:p>
      <w:pPr>
        <w:ind w:left="360" w:hanging="263"/>
        <w:spacing w:after="0"/>
        <w:tabs>
          <w:tab w:leader="none" w:pos="3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Revenue Net of Interchange Growth (60% weighting)</w:t>
      </w:r>
    </w:p>
    <w:p>
      <w:pPr>
        <w:spacing w:after="0" w:line="206"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For our 2023 plan, we changed our revenue metric from revenue to Revenue Net of Interchange Growth. We made this change to align our performance goal with what we believe is a better measure of our financial performance, especially as our business continues to evolve. While our target for Revenue Net of Interchange Growth is shown as an absolute number rather than a percentage, we have set the threshold performance goal at last year’s actual Revenue Net of Interchange, so any payout is based on actual Revenue Net of Interchange Growth. In addition, we also added a multiplier to the funding pool tied to our reduction of critical incidents during the year, which was a key operational focus during 2023. The multiplier had the potential to increase the funding pool by up to 10% to the extent that we reduced the number of critical incidents by more than 10% as compared to fiscal 2022 levels and to reduce the funding pool by up to 20% if the number of critical incidents were higher than 2022. Final payout determinations for our executive officers could have been increased or decreased by up to 10% based on the CEO’s assessment of their individual performance (for executives other than himself). Payments under the 2023 STIP could have ranged from 0% to 200% of an executive’s target annual cash incentive award, depending on the Company’s and the executive officer’s actual performance for the year. However, the aggregate of all 2023 STIP payments could not have exceeded the aggregate pool funded for payouts for all participants based on corporate performance. The Compensation Committee believes this plan design aligns with our strategy of driving profitable growth, which is critical to shareholders and long-term success.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2023 performance goals for the two financial performance metrics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154940</wp:posOffset>
            </wp:positionV>
            <wp:extent cx="5941060" cy="824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41060" cy="82486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312"/>
        </w:trPr>
        <w:tc>
          <w:tcPr>
            <w:tcW w:w="20" w:type="dxa"/>
            <w:vAlign w:val="bottom"/>
          </w:tcPr>
          <w:p>
            <w:pPr>
              <w:spacing w:after="0"/>
              <w:rPr>
                <w:sz w:val="24"/>
                <w:szCs w:val="24"/>
                <w:color w:val="auto"/>
              </w:rPr>
            </w:pPr>
          </w:p>
        </w:tc>
        <w:tc>
          <w:tcPr>
            <w:tcW w:w="5040" w:type="dxa"/>
            <w:vAlign w:val="bottom"/>
            <w:shd w:val="clear" w:color="auto" w:fill="284993"/>
          </w:tcPr>
          <w:p>
            <w:pPr>
              <w:spacing w:after="0"/>
              <w:rPr>
                <w:sz w:val="20"/>
                <w:szCs w:val="20"/>
                <w:color w:val="auto"/>
              </w:rPr>
            </w:pPr>
            <w:r>
              <w:rPr>
                <w:rFonts w:ascii="Arial" w:cs="Arial" w:eastAsia="Arial" w:hAnsi="Arial"/>
                <w:sz w:val="16"/>
                <w:szCs w:val="16"/>
                <w:b w:val="1"/>
                <w:bCs w:val="1"/>
                <w:color w:val="FFFFFF"/>
              </w:rPr>
              <w:t>  Adjusted EBITDA Performance</w:t>
            </w:r>
            <w:r>
              <w:rPr>
                <w:rFonts w:ascii="Arial" w:cs="Arial" w:eastAsia="Arial" w:hAnsi="Arial"/>
                <w:sz w:val="23"/>
                <w:szCs w:val="23"/>
                <w:b w:val="1"/>
                <w:bCs w:val="1"/>
                <w:color w:val="FFFFFF"/>
                <w:vertAlign w:val="superscript"/>
              </w:rPr>
              <w:t>(1)</w:t>
            </w:r>
          </w:p>
        </w:tc>
        <w:tc>
          <w:tcPr>
            <w:tcW w:w="1700" w:type="dxa"/>
            <w:vAlign w:val="bottom"/>
            <w:shd w:val="clear" w:color="auto" w:fill="284993"/>
          </w:tcPr>
          <w:p>
            <w:pPr>
              <w:ind w:left="180"/>
              <w:spacing w:after="0"/>
              <w:rPr>
                <w:sz w:val="20"/>
                <w:szCs w:val="20"/>
                <w:color w:val="auto"/>
              </w:rPr>
            </w:pPr>
            <w:r>
              <w:rPr>
                <w:rFonts w:ascii="Arial" w:cs="Arial" w:eastAsia="Arial" w:hAnsi="Arial"/>
                <w:sz w:val="16"/>
                <w:szCs w:val="16"/>
                <w:b w:val="1"/>
                <w:bCs w:val="1"/>
                <w:color w:val="FFFFFF"/>
              </w:rPr>
              <w:t xml:space="preserve">Below Threshold    </w:t>
            </w:r>
          </w:p>
        </w:tc>
        <w:tc>
          <w:tcPr>
            <w:tcW w:w="1120" w:type="dxa"/>
            <w:vAlign w:val="bottom"/>
            <w:shd w:val="clear" w:color="auto" w:fill="284993"/>
          </w:tcPr>
          <w:p>
            <w:pPr>
              <w:ind w:left="80"/>
              <w:spacing w:after="0"/>
              <w:rPr>
                <w:sz w:val="20"/>
                <w:szCs w:val="20"/>
                <w:color w:val="auto"/>
              </w:rPr>
            </w:pPr>
            <w:r>
              <w:rPr>
                <w:rFonts w:ascii="Arial" w:cs="Arial" w:eastAsia="Arial" w:hAnsi="Arial"/>
                <w:sz w:val="16"/>
                <w:szCs w:val="16"/>
                <w:b w:val="1"/>
                <w:bCs w:val="1"/>
                <w:color w:val="FFFFFF"/>
              </w:rPr>
              <w:t xml:space="preserve">Threshold    </w:t>
            </w:r>
          </w:p>
        </w:tc>
        <w:tc>
          <w:tcPr>
            <w:tcW w:w="82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rPr>
              <w:t xml:space="preserve">Target    </w:t>
            </w:r>
          </w:p>
        </w:tc>
        <w:tc>
          <w:tcPr>
            <w:tcW w:w="660" w:type="dxa"/>
            <w:vAlign w:val="bottom"/>
            <w:shd w:val="clear" w:color="auto" w:fill="284993"/>
          </w:tcPr>
          <w:p>
            <w:pPr>
              <w:ind w:left="220"/>
              <w:spacing w:after="0"/>
              <w:rPr>
                <w:sz w:val="20"/>
                <w:szCs w:val="20"/>
                <w:color w:val="auto"/>
              </w:rPr>
            </w:pPr>
            <w:r>
              <w:rPr>
                <w:rFonts w:ascii="Arial" w:cs="Arial" w:eastAsia="Arial" w:hAnsi="Arial"/>
                <w:sz w:val="16"/>
                <w:szCs w:val="16"/>
                <w:b w:val="1"/>
                <w:bCs w:val="1"/>
                <w:color w:val="FFFFFF"/>
              </w:rPr>
              <w:t>Max</w:t>
            </w:r>
          </w:p>
        </w:tc>
      </w:tr>
      <w:tr>
        <w:trPr>
          <w:trHeight w:val="277"/>
        </w:trPr>
        <w:tc>
          <w:tcPr>
            <w:tcW w:w="20" w:type="dxa"/>
            <w:vAlign w:val="bottom"/>
          </w:tcPr>
          <w:p>
            <w:pPr>
              <w:spacing w:after="0"/>
              <w:rPr>
                <w:sz w:val="24"/>
                <w:szCs w:val="24"/>
                <w:color w:val="auto"/>
              </w:rPr>
            </w:pPr>
          </w:p>
        </w:tc>
        <w:tc>
          <w:tcPr>
            <w:tcW w:w="5040" w:type="dxa"/>
            <w:vAlign w:val="bottom"/>
          </w:tcPr>
          <w:p>
            <w:pPr>
              <w:ind w:left="60"/>
              <w:spacing w:after="0"/>
              <w:rPr>
                <w:sz w:val="20"/>
                <w:szCs w:val="20"/>
                <w:color w:val="auto"/>
              </w:rPr>
            </w:pPr>
            <w:r>
              <w:rPr>
                <w:rFonts w:ascii="Arial" w:cs="Arial" w:eastAsia="Arial" w:hAnsi="Arial"/>
                <w:sz w:val="17"/>
                <w:szCs w:val="17"/>
                <w:color w:val="auto"/>
              </w:rPr>
              <w:t>Adjusted EBITDA Attainment %</w:t>
            </w:r>
          </w:p>
        </w:tc>
        <w:tc>
          <w:tcPr>
            <w:tcW w:w="1700" w:type="dxa"/>
            <w:vAlign w:val="bottom"/>
          </w:tcPr>
          <w:p>
            <w:pPr>
              <w:jc w:val="center"/>
              <w:spacing w:after="0"/>
              <w:rPr>
                <w:sz w:val="20"/>
                <w:szCs w:val="20"/>
                <w:color w:val="auto"/>
              </w:rPr>
            </w:pPr>
            <w:r>
              <w:rPr>
                <w:rFonts w:ascii="Arial" w:cs="Arial" w:eastAsia="Arial" w:hAnsi="Arial"/>
                <w:sz w:val="17"/>
                <w:szCs w:val="17"/>
                <w:color w:val="auto"/>
              </w:rPr>
              <w:t>&lt;92.1%</w:t>
            </w:r>
          </w:p>
        </w:tc>
        <w:tc>
          <w:tcPr>
            <w:tcW w:w="1120" w:type="dxa"/>
            <w:vAlign w:val="bottom"/>
          </w:tcPr>
          <w:p>
            <w:pPr>
              <w:jc w:val="center"/>
              <w:spacing w:after="0"/>
              <w:rPr>
                <w:sz w:val="20"/>
                <w:szCs w:val="20"/>
                <w:color w:val="auto"/>
              </w:rPr>
            </w:pPr>
            <w:r>
              <w:rPr>
                <w:rFonts w:ascii="Arial" w:cs="Arial" w:eastAsia="Arial" w:hAnsi="Arial"/>
                <w:sz w:val="17"/>
                <w:szCs w:val="17"/>
                <w:color w:val="auto"/>
                <w:w w:val="99"/>
              </w:rPr>
              <w:t>92.1%</w:t>
            </w:r>
          </w:p>
        </w:tc>
        <w:tc>
          <w:tcPr>
            <w:tcW w:w="820" w:type="dxa"/>
            <w:vAlign w:val="bottom"/>
          </w:tcPr>
          <w:p>
            <w:pPr>
              <w:jc w:val="center"/>
              <w:spacing w:after="0"/>
              <w:rPr>
                <w:sz w:val="20"/>
                <w:szCs w:val="20"/>
                <w:color w:val="auto"/>
              </w:rPr>
            </w:pPr>
            <w:r>
              <w:rPr>
                <w:rFonts w:ascii="Arial" w:cs="Arial" w:eastAsia="Arial" w:hAnsi="Arial"/>
                <w:sz w:val="17"/>
                <w:szCs w:val="17"/>
                <w:color w:val="auto"/>
              </w:rPr>
              <w:t>100%</w:t>
            </w:r>
          </w:p>
        </w:tc>
        <w:tc>
          <w:tcPr>
            <w:tcW w:w="660" w:type="dxa"/>
            <w:vAlign w:val="bottom"/>
          </w:tcPr>
          <w:p>
            <w:pPr>
              <w:jc w:val="center"/>
              <w:spacing w:after="0"/>
              <w:rPr>
                <w:sz w:val="20"/>
                <w:szCs w:val="20"/>
                <w:color w:val="auto"/>
              </w:rPr>
            </w:pPr>
            <w:r>
              <w:rPr>
                <w:rFonts w:ascii="Arial" w:cs="Arial" w:eastAsia="Arial" w:hAnsi="Arial"/>
                <w:sz w:val="17"/>
                <w:szCs w:val="17"/>
                <w:color w:val="auto"/>
              </w:rPr>
              <w:t>105.1%</w:t>
            </w:r>
          </w:p>
        </w:tc>
      </w:tr>
      <w:tr>
        <w:trPr>
          <w:trHeight w:val="48"/>
        </w:trPr>
        <w:tc>
          <w:tcPr>
            <w:tcW w:w="20" w:type="dxa"/>
            <w:vAlign w:val="bottom"/>
          </w:tcPr>
          <w:p>
            <w:pPr>
              <w:spacing w:after="0"/>
              <w:rPr>
                <w:sz w:val="4"/>
                <w:szCs w:val="4"/>
                <w:color w:val="auto"/>
              </w:rPr>
            </w:pPr>
          </w:p>
        </w:tc>
        <w:tc>
          <w:tcPr>
            <w:tcW w:w="50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305"/>
        </w:trPr>
        <w:tc>
          <w:tcPr>
            <w:tcW w:w="20" w:type="dxa"/>
            <w:vAlign w:val="bottom"/>
          </w:tcPr>
          <w:p>
            <w:pPr>
              <w:spacing w:after="0"/>
              <w:rPr>
                <w:sz w:val="24"/>
                <w:szCs w:val="24"/>
                <w:color w:val="auto"/>
              </w:rPr>
            </w:pPr>
          </w:p>
        </w:tc>
        <w:tc>
          <w:tcPr>
            <w:tcW w:w="5040" w:type="dxa"/>
            <w:vAlign w:val="bottom"/>
            <w:tcBorders>
              <w:bottom w:val="single" w:sz="8" w:color="9DBDE4"/>
            </w:tcBorders>
            <w:shd w:val="clear" w:color="auto" w:fill="9DBDE4"/>
          </w:tcPr>
          <w:p>
            <w:pPr>
              <w:ind w:left="60"/>
              <w:spacing w:after="0"/>
              <w:rPr>
                <w:sz w:val="20"/>
                <w:szCs w:val="20"/>
                <w:color w:val="auto"/>
              </w:rPr>
            </w:pPr>
            <w:r>
              <w:rPr>
                <w:rFonts w:ascii="Arial" w:cs="Arial" w:eastAsia="Arial" w:hAnsi="Arial"/>
                <w:sz w:val="17"/>
                <w:szCs w:val="17"/>
                <w:color w:val="auto"/>
              </w:rPr>
              <w:t>Adjusted EBITDA Amount $ (millions)</w:t>
            </w:r>
          </w:p>
        </w:tc>
        <w:tc>
          <w:tcPr>
            <w:tcW w:w="1700" w:type="dxa"/>
            <w:vAlign w:val="bottom"/>
            <w:tcBorders>
              <w:bottom w:val="single" w:sz="8" w:color="9DBDE4"/>
            </w:tcBorders>
            <w:shd w:val="clear" w:color="auto" w:fill="9DBDE4"/>
          </w:tcPr>
          <w:p>
            <w:pPr>
              <w:jc w:val="center"/>
              <w:spacing w:after="0"/>
              <w:rPr>
                <w:sz w:val="20"/>
                <w:szCs w:val="20"/>
                <w:color w:val="auto"/>
              </w:rPr>
            </w:pPr>
            <w:r>
              <w:rPr>
                <w:rFonts w:ascii="Arial" w:cs="Arial" w:eastAsia="Arial" w:hAnsi="Arial"/>
                <w:sz w:val="17"/>
                <w:szCs w:val="17"/>
                <w:color w:val="auto"/>
              </w:rPr>
              <w:t>&lt;359.0</w:t>
            </w:r>
          </w:p>
        </w:tc>
        <w:tc>
          <w:tcPr>
            <w:tcW w:w="1120" w:type="dxa"/>
            <w:vAlign w:val="bottom"/>
            <w:tcBorders>
              <w:bottom w:val="single" w:sz="8" w:color="9DBDE4"/>
            </w:tcBorders>
            <w:shd w:val="clear" w:color="auto" w:fill="9DBDE4"/>
          </w:tcPr>
          <w:p>
            <w:pPr>
              <w:jc w:val="center"/>
              <w:spacing w:after="0"/>
              <w:rPr>
                <w:sz w:val="20"/>
                <w:szCs w:val="20"/>
                <w:color w:val="auto"/>
              </w:rPr>
            </w:pPr>
            <w:r>
              <w:rPr>
                <w:rFonts w:ascii="Arial" w:cs="Arial" w:eastAsia="Arial" w:hAnsi="Arial"/>
                <w:sz w:val="17"/>
                <w:szCs w:val="17"/>
                <w:color w:val="auto"/>
              </w:rPr>
              <w:t>359.0</w:t>
            </w:r>
          </w:p>
        </w:tc>
        <w:tc>
          <w:tcPr>
            <w:tcW w:w="820" w:type="dxa"/>
            <w:vAlign w:val="bottom"/>
            <w:tcBorders>
              <w:bottom w:val="single" w:sz="8" w:color="9DBDE4"/>
            </w:tcBorders>
            <w:shd w:val="clear" w:color="auto" w:fill="9DBDE4"/>
          </w:tcPr>
          <w:p>
            <w:pPr>
              <w:jc w:val="center"/>
              <w:spacing w:after="0"/>
              <w:rPr>
                <w:sz w:val="20"/>
                <w:szCs w:val="20"/>
                <w:color w:val="auto"/>
              </w:rPr>
            </w:pPr>
            <w:r>
              <w:rPr>
                <w:rFonts w:ascii="Arial" w:cs="Arial" w:eastAsia="Arial" w:hAnsi="Arial"/>
                <w:sz w:val="17"/>
                <w:szCs w:val="17"/>
                <w:color w:val="auto"/>
              </w:rPr>
              <w:t>390.0</w:t>
            </w:r>
          </w:p>
        </w:tc>
        <w:tc>
          <w:tcPr>
            <w:tcW w:w="660" w:type="dxa"/>
            <w:vAlign w:val="bottom"/>
            <w:tcBorders>
              <w:bottom w:val="single" w:sz="8" w:color="9DBDE4"/>
            </w:tcBorders>
            <w:shd w:val="clear" w:color="auto" w:fill="9DBDE4"/>
          </w:tcPr>
          <w:p>
            <w:pPr>
              <w:jc w:val="center"/>
              <w:spacing w:after="0"/>
              <w:rPr>
                <w:sz w:val="20"/>
                <w:szCs w:val="20"/>
                <w:color w:val="auto"/>
              </w:rPr>
            </w:pPr>
            <w:r>
              <w:rPr>
                <w:rFonts w:ascii="Arial" w:cs="Arial" w:eastAsia="Arial" w:hAnsi="Arial"/>
                <w:sz w:val="17"/>
                <w:szCs w:val="17"/>
                <w:color w:val="auto"/>
                <w:w w:val="98"/>
              </w:rPr>
              <w:t>410</w:t>
            </w:r>
          </w:p>
        </w:tc>
      </w:tr>
      <w:tr>
        <w:trPr>
          <w:trHeight w:val="277"/>
        </w:trPr>
        <w:tc>
          <w:tcPr>
            <w:tcW w:w="20" w:type="dxa"/>
            <w:vAlign w:val="bottom"/>
          </w:tcPr>
          <w:p>
            <w:pPr>
              <w:spacing w:after="0"/>
              <w:rPr>
                <w:sz w:val="24"/>
                <w:szCs w:val="24"/>
                <w:color w:val="auto"/>
              </w:rPr>
            </w:pPr>
          </w:p>
        </w:tc>
        <w:tc>
          <w:tcPr>
            <w:tcW w:w="5040" w:type="dxa"/>
            <w:vAlign w:val="bottom"/>
          </w:tcPr>
          <w:p>
            <w:pPr>
              <w:ind w:left="60"/>
              <w:spacing w:after="0"/>
              <w:rPr>
                <w:sz w:val="20"/>
                <w:szCs w:val="20"/>
                <w:color w:val="auto"/>
              </w:rPr>
            </w:pPr>
            <w:r>
              <w:rPr>
                <w:rFonts w:ascii="Arial" w:cs="Arial" w:eastAsia="Arial" w:hAnsi="Arial"/>
                <w:sz w:val="17"/>
                <w:szCs w:val="17"/>
                <w:color w:val="auto"/>
              </w:rPr>
              <w:t>Adjusted EBITDA Funding</w:t>
            </w:r>
          </w:p>
        </w:tc>
        <w:tc>
          <w:tcPr>
            <w:tcW w:w="1700" w:type="dxa"/>
            <w:vAlign w:val="bottom"/>
          </w:tcPr>
          <w:p>
            <w:pPr>
              <w:jc w:val="center"/>
              <w:spacing w:after="0"/>
              <w:rPr>
                <w:sz w:val="20"/>
                <w:szCs w:val="20"/>
                <w:color w:val="auto"/>
              </w:rPr>
            </w:pPr>
            <w:r>
              <w:rPr>
                <w:rFonts w:ascii="Arial" w:cs="Arial" w:eastAsia="Arial" w:hAnsi="Arial"/>
                <w:sz w:val="17"/>
                <w:szCs w:val="17"/>
                <w:color w:val="auto"/>
                <w:w w:val="97"/>
              </w:rPr>
              <w:t>0%</w:t>
            </w:r>
          </w:p>
        </w:tc>
        <w:tc>
          <w:tcPr>
            <w:tcW w:w="1120" w:type="dxa"/>
            <w:vAlign w:val="bottom"/>
          </w:tcPr>
          <w:p>
            <w:pPr>
              <w:jc w:val="center"/>
              <w:spacing w:after="0"/>
              <w:rPr>
                <w:sz w:val="20"/>
                <w:szCs w:val="20"/>
                <w:color w:val="auto"/>
              </w:rPr>
            </w:pPr>
            <w:r>
              <w:rPr>
                <w:rFonts w:ascii="Arial" w:cs="Arial" w:eastAsia="Arial" w:hAnsi="Arial"/>
                <w:sz w:val="17"/>
                <w:szCs w:val="17"/>
                <w:color w:val="auto"/>
              </w:rPr>
              <w:t>25%</w:t>
            </w:r>
          </w:p>
        </w:tc>
        <w:tc>
          <w:tcPr>
            <w:tcW w:w="820" w:type="dxa"/>
            <w:vAlign w:val="bottom"/>
          </w:tcPr>
          <w:p>
            <w:pPr>
              <w:jc w:val="center"/>
              <w:spacing w:after="0"/>
              <w:rPr>
                <w:sz w:val="20"/>
                <w:szCs w:val="20"/>
                <w:color w:val="auto"/>
              </w:rPr>
            </w:pPr>
            <w:r>
              <w:rPr>
                <w:rFonts w:ascii="Arial" w:cs="Arial" w:eastAsia="Arial" w:hAnsi="Arial"/>
                <w:sz w:val="17"/>
                <w:szCs w:val="17"/>
                <w:color w:val="auto"/>
              </w:rPr>
              <w:t>100%</w:t>
            </w:r>
          </w:p>
        </w:tc>
        <w:tc>
          <w:tcPr>
            <w:tcW w:w="660" w:type="dxa"/>
            <w:vAlign w:val="bottom"/>
          </w:tcPr>
          <w:p>
            <w:pPr>
              <w:jc w:val="center"/>
              <w:spacing w:after="0"/>
              <w:rPr>
                <w:sz w:val="20"/>
                <w:szCs w:val="20"/>
                <w:color w:val="auto"/>
              </w:rPr>
            </w:pPr>
            <w:r>
              <w:rPr>
                <w:rFonts w:ascii="Arial" w:cs="Arial" w:eastAsia="Arial" w:hAnsi="Arial"/>
                <w:sz w:val="17"/>
                <w:szCs w:val="17"/>
                <w:color w:val="auto"/>
              </w:rPr>
              <w:t>200%</w:t>
            </w:r>
          </w:p>
        </w:tc>
      </w:tr>
    </w:tbl>
    <w:p>
      <w:pPr>
        <w:spacing w:after="0" w:line="74" w:lineRule="exact"/>
        <w:rPr>
          <w:sz w:val="20"/>
          <w:szCs w:val="20"/>
          <w:color w:val="auto"/>
        </w:rPr>
      </w:pPr>
    </w:p>
    <w:p>
      <w:pPr>
        <w:ind w:left="280" w:hanging="274"/>
        <w:spacing w:after="0"/>
        <w:tabs>
          <w:tab w:leader="none" w:pos="280" w:val="left"/>
        </w:tabs>
        <w:numPr>
          <w:ilvl w:val="0"/>
          <w:numId w:val="34"/>
        </w:numPr>
        <w:rPr>
          <w:rFonts w:ascii="Arial" w:cs="Arial" w:eastAsia="Arial" w:hAnsi="Arial"/>
          <w:sz w:val="18"/>
          <w:szCs w:val="18"/>
          <w:color w:val="auto"/>
          <w:vertAlign w:val="superscript"/>
        </w:rPr>
      </w:pPr>
      <w:r>
        <w:rPr>
          <w:rFonts w:ascii="Arial" w:cs="Arial" w:eastAsia="Arial" w:hAnsi="Arial"/>
          <w:sz w:val="12"/>
          <w:szCs w:val="12"/>
          <w:color w:val="auto"/>
        </w:rPr>
        <w:t>Performance between points is interpolated linearly for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83185</wp:posOffset>
            </wp:positionV>
            <wp:extent cx="693420" cy="1320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3420" cy="13208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42</w:t>
      </w:r>
    </w:p>
    <w:p>
      <w:pPr>
        <w:sectPr>
          <w:pgSz w:w="11900" w:h="16838" w:orient="portrait"/>
          <w:cols w:equalWidth="0" w:num="1">
            <w:col w:w="9360"/>
          </w:cols>
          <w:pgMar w:left="1260" w:top="296" w:right="12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312"/>
        </w:trPr>
        <w:tc>
          <w:tcPr>
            <w:tcW w:w="20" w:type="dxa"/>
            <w:vAlign w:val="bottom"/>
          </w:tcPr>
          <w:p>
            <w:pPr>
              <w:spacing w:after="0"/>
              <w:rPr>
                <w:sz w:val="24"/>
                <w:szCs w:val="24"/>
                <w:color w:val="auto"/>
              </w:rPr>
            </w:pPr>
          </w:p>
        </w:tc>
        <w:tc>
          <w:tcPr>
            <w:tcW w:w="5420" w:type="dxa"/>
            <w:vAlign w:val="bottom"/>
            <w:shd w:val="clear" w:color="auto" w:fill="284993"/>
          </w:tcPr>
          <w:p>
            <w:pPr>
              <w:spacing w:after="0"/>
              <w:rPr>
                <w:sz w:val="20"/>
                <w:szCs w:val="20"/>
                <w:color w:val="auto"/>
              </w:rPr>
            </w:pPr>
            <w:r>
              <w:rPr>
                <w:rFonts w:ascii="Arial" w:cs="Arial" w:eastAsia="Arial" w:hAnsi="Arial"/>
                <w:sz w:val="16"/>
                <w:szCs w:val="16"/>
                <w:b w:val="1"/>
                <w:bCs w:val="1"/>
                <w:color w:val="FFFFFF"/>
              </w:rPr>
              <w:t>  Revenue Net of Interchange Growth Performance</w:t>
            </w:r>
            <w:r>
              <w:rPr>
                <w:rFonts w:ascii="Arial" w:cs="Arial" w:eastAsia="Arial" w:hAnsi="Arial"/>
                <w:sz w:val="23"/>
                <w:szCs w:val="23"/>
                <w:b w:val="1"/>
                <w:bCs w:val="1"/>
                <w:color w:val="FFFFFF"/>
                <w:vertAlign w:val="superscript"/>
              </w:rPr>
              <w:t>(1)</w:t>
            </w:r>
          </w:p>
        </w:tc>
        <w:tc>
          <w:tcPr>
            <w:tcW w:w="1520" w:type="dxa"/>
            <w:vAlign w:val="bottom"/>
            <w:shd w:val="clear" w:color="auto" w:fill="284993"/>
          </w:tcPr>
          <w:p>
            <w:pPr>
              <w:ind w:left="160"/>
              <w:spacing w:after="0"/>
              <w:rPr>
                <w:sz w:val="20"/>
                <w:szCs w:val="20"/>
                <w:color w:val="auto"/>
              </w:rPr>
            </w:pPr>
            <w:r>
              <w:rPr>
                <w:rFonts w:ascii="Arial" w:cs="Arial" w:eastAsia="Arial" w:hAnsi="Arial"/>
                <w:sz w:val="16"/>
                <w:szCs w:val="16"/>
                <w:b w:val="1"/>
                <w:bCs w:val="1"/>
                <w:color w:val="FFFFFF"/>
              </w:rPr>
              <w:t>Below Threshold</w:t>
            </w:r>
          </w:p>
        </w:tc>
        <w:tc>
          <w:tcPr>
            <w:tcW w:w="940" w:type="dxa"/>
            <w:vAlign w:val="bottom"/>
            <w:shd w:val="clear" w:color="auto" w:fill="284993"/>
          </w:tcPr>
          <w:p>
            <w:pPr>
              <w:ind w:left="100"/>
              <w:spacing w:after="0"/>
              <w:rPr>
                <w:sz w:val="20"/>
                <w:szCs w:val="20"/>
                <w:color w:val="auto"/>
              </w:rPr>
            </w:pPr>
            <w:r>
              <w:rPr>
                <w:rFonts w:ascii="Arial" w:cs="Arial" w:eastAsia="Arial" w:hAnsi="Arial"/>
                <w:sz w:val="16"/>
                <w:szCs w:val="16"/>
                <w:b w:val="1"/>
                <w:bCs w:val="1"/>
                <w:color w:val="FFFFFF"/>
              </w:rPr>
              <w:t>Threshold</w:t>
            </w:r>
          </w:p>
        </w:tc>
        <w:tc>
          <w:tcPr>
            <w:tcW w:w="780" w:type="dxa"/>
            <w:vAlign w:val="bottom"/>
            <w:shd w:val="clear" w:color="auto" w:fill="284993"/>
          </w:tcPr>
          <w:p>
            <w:pPr>
              <w:ind w:left="160"/>
              <w:spacing w:after="0"/>
              <w:rPr>
                <w:sz w:val="20"/>
                <w:szCs w:val="20"/>
                <w:color w:val="auto"/>
              </w:rPr>
            </w:pPr>
            <w:r>
              <w:rPr>
                <w:rFonts w:ascii="Arial" w:cs="Arial" w:eastAsia="Arial" w:hAnsi="Arial"/>
                <w:sz w:val="16"/>
                <w:szCs w:val="16"/>
                <w:b w:val="1"/>
                <w:bCs w:val="1"/>
                <w:color w:val="FFFFFF"/>
              </w:rPr>
              <w:t>Target</w:t>
            </w:r>
          </w:p>
        </w:tc>
        <w:tc>
          <w:tcPr>
            <w:tcW w:w="680" w:type="dxa"/>
            <w:vAlign w:val="bottom"/>
            <w:shd w:val="clear" w:color="auto" w:fill="284993"/>
          </w:tcPr>
          <w:p>
            <w:pPr>
              <w:ind w:left="240"/>
              <w:spacing w:after="0"/>
              <w:rPr>
                <w:sz w:val="20"/>
                <w:szCs w:val="20"/>
                <w:color w:val="auto"/>
              </w:rPr>
            </w:pPr>
            <w:r>
              <w:rPr>
                <w:rFonts w:ascii="Arial" w:cs="Arial" w:eastAsia="Arial" w:hAnsi="Arial"/>
                <w:sz w:val="16"/>
                <w:szCs w:val="16"/>
                <w:b w:val="1"/>
                <w:bCs w:val="1"/>
                <w:color w:val="FFFFFF"/>
              </w:rPr>
              <w:t>Max</w:t>
            </w:r>
          </w:p>
        </w:tc>
      </w:tr>
      <w:tr>
        <w:trPr>
          <w:trHeight w:val="277"/>
        </w:trPr>
        <w:tc>
          <w:tcPr>
            <w:tcW w:w="20" w:type="dxa"/>
            <w:vAlign w:val="bottom"/>
          </w:tcPr>
          <w:p>
            <w:pPr>
              <w:spacing w:after="0"/>
              <w:rPr>
                <w:sz w:val="24"/>
                <w:szCs w:val="24"/>
                <w:color w:val="auto"/>
              </w:rPr>
            </w:pPr>
          </w:p>
        </w:tc>
        <w:tc>
          <w:tcPr>
            <w:tcW w:w="5420" w:type="dxa"/>
            <w:vAlign w:val="bottom"/>
          </w:tcPr>
          <w:p>
            <w:pPr>
              <w:ind w:left="60"/>
              <w:spacing w:after="0"/>
              <w:rPr>
                <w:sz w:val="20"/>
                <w:szCs w:val="20"/>
                <w:color w:val="auto"/>
              </w:rPr>
            </w:pPr>
            <w:r>
              <w:rPr>
                <w:rFonts w:ascii="Arial" w:cs="Arial" w:eastAsia="Arial" w:hAnsi="Arial"/>
                <w:sz w:val="17"/>
                <w:szCs w:val="17"/>
                <w:color w:val="auto"/>
              </w:rPr>
              <w:t>Revenue Net of Interchange Growth Attainment %</w:t>
            </w:r>
          </w:p>
        </w:tc>
        <w:tc>
          <w:tcPr>
            <w:tcW w:w="1520" w:type="dxa"/>
            <w:vAlign w:val="bottom"/>
          </w:tcPr>
          <w:p>
            <w:pPr>
              <w:jc w:val="center"/>
              <w:spacing w:after="0"/>
              <w:rPr>
                <w:sz w:val="20"/>
                <w:szCs w:val="20"/>
                <w:color w:val="auto"/>
              </w:rPr>
            </w:pPr>
            <w:r>
              <w:rPr>
                <w:rFonts w:ascii="Arial" w:cs="Arial" w:eastAsia="Arial" w:hAnsi="Arial"/>
                <w:sz w:val="17"/>
                <w:szCs w:val="17"/>
                <w:color w:val="auto"/>
              </w:rPr>
              <w:t>&lt;94.5%</w:t>
            </w:r>
          </w:p>
        </w:tc>
        <w:tc>
          <w:tcPr>
            <w:tcW w:w="940" w:type="dxa"/>
            <w:vAlign w:val="bottom"/>
          </w:tcPr>
          <w:p>
            <w:pPr>
              <w:jc w:val="center"/>
              <w:spacing w:after="0"/>
              <w:rPr>
                <w:sz w:val="20"/>
                <w:szCs w:val="20"/>
                <w:color w:val="auto"/>
              </w:rPr>
            </w:pPr>
            <w:r>
              <w:rPr>
                <w:rFonts w:ascii="Arial" w:cs="Arial" w:eastAsia="Arial" w:hAnsi="Arial"/>
                <w:sz w:val="17"/>
                <w:szCs w:val="17"/>
                <w:color w:val="auto"/>
              </w:rPr>
              <w:t>94.5%</w:t>
            </w:r>
          </w:p>
        </w:tc>
        <w:tc>
          <w:tcPr>
            <w:tcW w:w="780" w:type="dxa"/>
            <w:vAlign w:val="bottom"/>
          </w:tcPr>
          <w:p>
            <w:pPr>
              <w:jc w:val="center"/>
              <w:spacing w:after="0"/>
              <w:rPr>
                <w:sz w:val="20"/>
                <w:szCs w:val="20"/>
                <w:color w:val="auto"/>
              </w:rPr>
            </w:pPr>
            <w:r>
              <w:rPr>
                <w:rFonts w:ascii="Arial" w:cs="Arial" w:eastAsia="Arial" w:hAnsi="Arial"/>
                <w:sz w:val="17"/>
                <w:szCs w:val="17"/>
                <w:color w:val="auto"/>
              </w:rPr>
              <w:t>100%</w:t>
            </w:r>
          </w:p>
        </w:tc>
        <w:tc>
          <w:tcPr>
            <w:tcW w:w="680" w:type="dxa"/>
            <w:vAlign w:val="bottom"/>
          </w:tcPr>
          <w:p>
            <w:pPr>
              <w:jc w:val="center"/>
              <w:spacing w:after="0"/>
              <w:rPr>
                <w:sz w:val="20"/>
                <w:szCs w:val="20"/>
                <w:color w:val="auto"/>
              </w:rPr>
            </w:pPr>
            <w:r>
              <w:rPr>
                <w:rFonts w:ascii="Arial" w:cs="Arial" w:eastAsia="Arial" w:hAnsi="Arial"/>
                <w:sz w:val="17"/>
                <w:szCs w:val="17"/>
                <w:color w:val="auto"/>
              </w:rPr>
              <w:t>103.1%</w:t>
            </w:r>
          </w:p>
        </w:tc>
      </w:tr>
      <w:tr>
        <w:trPr>
          <w:trHeight w:val="48"/>
        </w:trPr>
        <w:tc>
          <w:tcPr>
            <w:tcW w:w="20" w:type="dxa"/>
            <w:vAlign w:val="bottom"/>
          </w:tcPr>
          <w:p>
            <w:pPr>
              <w:spacing w:after="0"/>
              <w:rPr>
                <w:sz w:val="4"/>
                <w:szCs w:val="4"/>
                <w:color w:val="auto"/>
              </w:rPr>
            </w:pPr>
          </w:p>
        </w:tc>
        <w:tc>
          <w:tcPr>
            <w:tcW w:w="54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5"/>
        </w:trPr>
        <w:tc>
          <w:tcPr>
            <w:tcW w:w="20" w:type="dxa"/>
            <w:vAlign w:val="bottom"/>
          </w:tcPr>
          <w:p>
            <w:pPr>
              <w:spacing w:after="0"/>
              <w:rPr>
                <w:sz w:val="24"/>
                <w:szCs w:val="24"/>
                <w:color w:val="auto"/>
              </w:rPr>
            </w:pPr>
          </w:p>
        </w:tc>
        <w:tc>
          <w:tcPr>
            <w:tcW w:w="5420" w:type="dxa"/>
            <w:vAlign w:val="bottom"/>
            <w:tcBorders>
              <w:bottom w:val="single" w:sz="8" w:color="9DBDE4"/>
            </w:tcBorders>
            <w:shd w:val="clear" w:color="auto" w:fill="9DBDE4"/>
          </w:tcPr>
          <w:p>
            <w:pPr>
              <w:ind w:left="60"/>
              <w:spacing w:after="0"/>
              <w:rPr>
                <w:sz w:val="20"/>
                <w:szCs w:val="20"/>
                <w:color w:val="auto"/>
              </w:rPr>
            </w:pPr>
            <w:r>
              <w:rPr>
                <w:rFonts w:ascii="Arial" w:cs="Arial" w:eastAsia="Arial" w:hAnsi="Arial"/>
                <w:sz w:val="17"/>
                <w:szCs w:val="17"/>
                <w:color w:val="auto"/>
              </w:rPr>
              <w:t>Revenue Net of Interchange Growth Amount $ (millions)</w:t>
            </w:r>
          </w:p>
        </w:tc>
        <w:tc>
          <w:tcPr>
            <w:tcW w:w="1520" w:type="dxa"/>
            <w:vAlign w:val="bottom"/>
            <w:tcBorders>
              <w:bottom w:val="single" w:sz="8" w:color="9DBDE4"/>
            </w:tcBorders>
            <w:shd w:val="clear" w:color="auto" w:fill="9DBDE4"/>
          </w:tcPr>
          <w:p>
            <w:pPr>
              <w:jc w:val="center"/>
              <w:spacing w:after="0"/>
              <w:rPr>
                <w:sz w:val="20"/>
                <w:szCs w:val="20"/>
                <w:color w:val="auto"/>
              </w:rPr>
            </w:pPr>
            <w:r>
              <w:rPr>
                <w:rFonts w:ascii="Arial" w:cs="Arial" w:eastAsia="Arial" w:hAnsi="Arial"/>
                <w:sz w:val="17"/>
                <w:szCs w:val="17"/>
                <w:color w:val="auto"/>
              </w:rPr>
              <w:t>&lt;978.0</w:t>
            </w:r>
          </w:p>
        </w:tc>
        <w:tc>
          <w:tcPr>
            <w:tcW w:w="940" w:type="dxa"/>
            <w:vAlign w:val="bottom"/>
            <w:tcBorders>
              <w:bottom w:val="single" w:sz="8" w:color="9DBDE4"/>
            </w:tcBorders>
            <w:shd w:val="clear" w:color="auto" w:fill="9DBDE4"/>
          </w:tcPr>
          <w:p>
            <w:pPr>
              <w:jc w:val="center"/>
              <w:spacing w:after="0"/>
              <w:rPr>
                <w:sz w:val="20"/>
                <w:szCs w:val="20"/>
                <w:color w:val="auto"/>
              </w:rPr>
            </w:pPr>
            <w:r>
              <w:rPr>
                <w:rFonts w:ascii="Arial" w:cs="Arial" w:eastAsia="Arial" w:hAnsi="Arial"/>
                <w:sz w:val="17"/>
                <w:szCs w:val="17"/>
                <w:color w:val="auto"/>
                <w:w w:val="98"/>
              </w:rPr>
              <w:t>978.0</w:t>
            </w:r>
          </w:p>
        </w:tc>
        <w:tc>
          <w:tcPr>
            <w:tcW w:w="780" w:type="dxa"/>
            <w:vAlign w:val="bottom"/>
            <w:tcBorders>
              <w:bottom w:val="single" w:sz="8" w:color="9DBDE4"/>
            </w:tcBorders>
            <w:shd w:val="clear" w:color="auto" w:fill="9DBDE4"/>
          </w:tcPr>
          <w:p>
            <w:pPr>
              <w:jc w:val="center"/>
              <w:spacing w:after="0"/>
              <w:rPr>
                <w:sz w:val="20"/>
                <w:szCs w:val="20"/>
                <w:color w:val="auto"/>
              </w:rPr>
            </w:pPr>
            <w:r>
              <w:rPr>
                <w:rFonts w:ascii="Arial" w:cs="Arial" w:eastAsia="Arial" w:hAnsi="Arial"/>
                <w:sz w:val="17"/>
                <w:szCs w:val="17"/>
                <w:color w:val="auto"/>
              </w:rPr>
              <w:t>1,035.0</w:t>
            </w:r>
          </w:p>
        </w:tc>
        <w:tc>
          <w:tcPr>
            <w:tcW w:w="680" w:type="dxa"/>
            <w:vAlign w:val="bottom"/>
            <w:tcBorders>
              <w:bottom w:val="single" w:sz="8" w:color="9DBDE4"/>
            </w:tcBorders>
            <w:shd w:val="clear" w:color="auto" w:fill="9DBDE4"/>
          </w:tcPr>
          <w:p>
            <w:pPr>
              <w:jc w:val="center"/>
              <w:ind w:left="16"/>
              <w:spacing w:after="0"/>
              <w:rPr>
                <w:sz w:val="20"/>
                <w:szCs w:val="20"/>
                <w:color w:val="auto"/>
              </w:rPr>
            </w:pPr>
            <w:r>
              <w:rPr>
                <w:rFonts w:ascii="Arial" w:cs="Arial" w:eastAsia="Arial" w:hAnsi="Arial"/>
                <w:sz w:val="17"/>
                <w:szCs w:val="17"/>
                <w:color w:val="auto"/>
              </w:rPr>
              <w:t>1,067.0</w:t>
            </w:r>
          </w:p>
        </w:tc>
      </w:tr>
      <w:tr>
        <w:trPr>
          <w:trHeight w:val="277"/>
        </w:trPr>
        <w:tc>
          <w:tcPr>
            <w:tcW w:w="20" w:type="dxa"/>
            <w:vAlign w:val="bottom"/>
          </w:tcPr>
          <w:p>
            <w:pPr>
              <w:spacing w:after="0"/>
              <w:rPr>
                <w:sz w:val="24"/>
                <w:szCs w:val="24"/>
                <w:color w:val="auto"/>
              </w:rPr>
            </w:pPr>
          </w:p>
        </w:tc>
        <w:tc>
          <w:tcPr>
            <w:tcW w:w="5420" w:type="dxa"/>
            <w:vAlign w:val="bottom"/>
          </w:tcPr>
          <w:p>
            <w:pPr>
              <w:ind w:left="60"/>
              <w:spacing w:after="0"/>
              <w:rPr>
                <w:sz w:val="20"/>
                <w:szCs w:val="20"/>
                <w:color w:val="auto"/>
              </w:rPr>
            </w:pPr>
            <w:r>
              <w:rPr>
                <w:rFonts w:ascii="Arial" w:cs="Arial" w:eastAsia="Arial" w:hAnsi="Arial"/>
                <w:sz w:val="17"/>
                <w:szCs w:val="17"/>
                <w:color w:val="auto"/>
              </w:rPr>
              <w:t>Revenue Net of Interchange Growth Funding</w:t>
            </w:r>
          </w:p>
        </w:tc>
        <w:tc>
          <w:tcPr>
            <w:tcW w:w="1520" w:type="dxa"/>
            <w:vAlign w:val="bottom"/>
          </w:tcPr>
          <w:p>
            <w:pPr>
              <w:jc w:val="center"/>
              <w:spacing w:after="0"/>
              <w:rPr>
                <w:sz w:val="20"/>
                <w:szCs w:val="20"/>
                <w:color w:val="auto"/>
              </w:rPr>
            </w:pPr>
            <w:r>
              <w:rPr>
                <w:rFonts w:ascii="Arial" w:cs="Arial" w:eastAsia="Arial" w:hAnsi="Arial"/>
                <w:sz w:val="17"/>
                <w:szCs w:val="17"/>
                <w:color w:val="auto"/>
                <w:w w:val="97"/>
              </w:rPr>
              <w:t>0%</w:t>
            </w:r>
          </w:p>
        </w:tc>
        <w:tc>
          <w:tcPr>
            <w:tcW w:w="940" w:type="dxa"/>
            <w:vAlign w:val="bottom"/>
          </w:tcPr>
          <w:p>
            <w:pPr>
              <w:jc w:val="center"/>
              <w:spacing w:after="0"/>
              <w:rPr>
                <w:sz w:val="20"/>
                <w:szCs w:val="20"/>
                <w:color w:val="auto"/>
              </w:rPr>
            </w:pPr>
            <w:r>
              <w:rPr>
                <w:rFonts w:ascii="Arial" w:cs="Arial" w:eastAsia="Arial" w:hAnsi="Arial"/>
                <w:sz w:val="17"/>
                <w:szCs w:val="17"/>
                <w:color w:val="auto"/>
                <w:w w:val="99"/>
              </w:rPr>
              <w:t>25%</w:t>
            </w:r>
          </w:p>
        </w:tc>
        <w:tc>
          <w:tcPr>
            <w:tcW w:w="780" w:type="dxa"/>
            <w:vAlign w:val="bottom"/>
          </w:tcPr>
          <w:p>
            <w:pPr>
              <w:jc w:val="center"/>
              <w:spacing w:after="0"/>
              <w:rPr>
                <w:sz w:val="20"/>
                <w:szCs w:val="20"/>
                <w:color w:val="auto"/>
              </w:rPr>
            </w:pPr>
            <w:r>
              <w:rPr>
                <w:rFonts w:ascii="Arial" w:cs="Arial" w:eastAsia="Arial" w:hAnsi="Arial"/>
                <w:sz w:val="17"/>
                <w:szCs w:val="17"/>
                <w:color w:val="auto"/>
              </w:rPr>
              <w:t>100%</w:t>
            </w:r>
          </w:p>
        </w:tc>
        <w:tc>
          <w:tcPr>
            <w:tcW w:w="680" w:type="dxa"/>
            <w:vAlign w:val="bottom"/>
          </w:tcPr>
          <w:p>
            <w:pPr>
              <w:jc w:val="center"/>
              <w:spacing w:after="0"/>
              <w:rPr>
                <w:sz w:val="20"/>
                <w:szCs w:val="20"/>
                <w:color w:val="auto"/>
              </w:rPr>
            </w:pPr>
            <w:r>
              <w:rPr>
                <w:rFonts w:ascii="Arial" w:cs="Arial" w:eastAsia="Arial" w:hAnsi="Arial"/>
                <w:sz w:val="17"/>
                <w:szCs w:val="17"/>
                <w:color w:val="auto"/>
              </w:rPr>
              <w:t>200%</w:t>
            </w:r>
          </w:p>
        </w:tc>
      </w:tr>
    </w:tbl>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9321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9310" cy="932180"/>
                    </a:xfrm>
                    <a:prstGeom prst="rect">
                      <a:avLst/>
                    </a:prstGeom>
                    <a:noFill/>
                  </pic:spPr>
                </pic:pic>
              </a:graphicData>
            </a:graphic>
          </wp:anchor>
        </w:drawing>
      </w:r>
    </w:p>
    <w:p>
      <w:pPr>
        <w:ind w:left="280" w:hanging="274"/>
        <w:spacing w:after="0"/>
        <w:tabs>
          <w:tab w:leader="none" w:pos="280" w:val="left"/>
        </w:tabs>
        <w:numPr>
          <w:ilvl w:val="0"/>
          <w:numId w:val="35"/>
        </w:numPr>
        <w:rPr>
          <w:rFonts w:ascii="Arial" w:cs="Arial" w:eastAsia="Arial" w:hAnsi="Arial"/>
          <w:sz w:val="18"/>
          <w:szCs w:val="18"/>
          <w:color w:val="auto"/>
          <w:vertAlign w:val="superscript"/>
        </w:rPr>
      </w:pPr>
      <w:r>
        <w:rPr>
          <w:rFonts w:ascii="Arial" w:cs="Arial" w:eastAsia="Arial" w:hAnsi="Arial"/>
          <w:sz w:val="12"/>
          <w:szCs w:val="12"/>
          <w:color w:val="auto"/>
        </w:rPr>
        <w:t>Performance between points is interpolated linearly for funding.</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84993"/>
        </w:rPr>
        <w:t>Plan Terms – Individual Performance</w:t>
      </w:r>
    </w:p>
    <w:p>
      <w:pPr>
        <w:spacing w:after="0" w:line="108"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Payouts for a Named Executive Officer under the 2023 STIP could have been adjusted up or down by up to 10% based on the CEO’s subjective evaluation of individual job performance and recommendation to the Compensation Committee.</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84993"/>
        </w:rPr>
        <w:t>Annual Cash Incentive Awards – 2023 Results and Payouts</w:t>
      </w:r>
    </w:p>
    <w:p>
      <w:pPr>
        <w:spacing w:after="0" w:line="108"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In February 2024, the Compensation Committee certified our 2023 performance and determined the amounts to be paid under the 2023 STIP. 2023 Adjusted EBITDA was $396.3 million, which resulted in a formulaic payout percentage to all the Named Executive Officers of 131.7% of their target annual cash incentive awards with respect to such metric. 2023 Revenue Net of Interchange was</w:t>
      </w:r>
    </w:p>
    <w:p>
      <w:pPr>
        <w:spacing w:after="0" w:line="1"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$1,031.1 million, which resulted in a formulaic payout percentage to all of the Named Executive Officers of 94.8% of each of their target annual cash incentive awards with respect to such metric. The combined overall STIP payout percentage for Company performance based on the formula was 109.5% of target. We reduced the number of critical incidents in 2023 by more than 10% as compared to fiscal 2022 levels, which resulted in a multiplier to our corporate results of 10% and a total bonus payout percentage of 120.5%. For 2023, the CEO recommended, and the Compensation Committee approved, a 5% increase in the STIP payout for our CFO to recognize his exceptional performance in managing the action plans required to achieve our results. This resulted in a STIP payout of 126.5% for him. None of the other Named Executive Officers received an individual adjustment to their STIP payouts, so the corporate performance, including the critical incidents modifier of +10%, resulted in a payout of 120.5% of each of their target bonuses to determine their 2023 STIP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144145</wp:posOffset>
            </wp:positionV>
            <wp:extent cx="5206365" cy="27724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06365" cy="2772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43</w:t>
      </w:r>
    </w:p>
    <w:p>
      <w:pPr>
        <w:sectPr>
          <w:pgSz w:w="11900" w:h="16838" w:orient="portrait"/>
          <w:cols w:equalWidth="0" w:num="1">
            <w:col w:w="9360"/>
          </w:cols>
          <w:pgMar w:left="1260" w:top="308" w:right="1279" w:bottom="1440" w:gutter="0" w:footer="0" w:header="0"/>
        </w:sectPr>
      </w:pPr>
    </w:p>
    <w:bookmarkStart w:id="49" w:name="page50"/>
    <w:bookmarkEnd w:id="49"/>
    <w:p>
      <w:pPr>
        <w:ind w:right="260"/>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As noted above, for 2023, our CEO, recommend a 5% increase to the STIP payout for our CFO. None of our other NEOs received a modification based on individual performance. The payouts are shown in the table below.</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300" w:type="dxa"/>
            <w:vAlign w:val="bottom"/>
            <w:shd w:val="clear" w:color="auto" w:fill="284993"/>
          </w:tcPr>
          <w:p>
            <w:pPr>
              <w:spacing w:after="0"/>
              <w:rPr>
                <w:sz w:val="16"/>
                <w:szCs w:val="16"/>
                <w:color w:val="auto"/>
              </w:rPr>
            </w:pPr>
          </w:p>
        </w:tc>
        <w:tc>
          <w:tcPr>
            <w:tcW w:w="520" w:type="dxa"/>
            <w:vAlign w:val="bottom"/>
            <w:shd w:val="clear" w:color="auto" w:fill="284993"/>
          </w:tcPr>
          <w:p>
            <w:pPr>
              <w:spacing w:after="0"/>
              <w:rPr>
                <w:sz w:val="16"/>
                <w:szCs w:val="16"/>
                <w:color w:val="auto"/>
              </w:rPr>
            </w:pPr>
          </w:p>
        </w:tc>
        <w:tc>
          <w:tcPr>
            <w:tcW w:w="1080" w:type="dxa"/>
            <w:vAlign w:val="bottom"/>
            <w:shd w:val="clear" w:color="auto" w:fill="284993"/>
          </w:tcPr>
          <w:p>
            <w:pPr>
              <w:spacing w:after="0"/>
              <w:rPr>
                <w:sz w:val="16"/>
                <w:szCs w:val="16"/>
                <w:color w:val="auto"/>
              </w:rPr>
            </w:pPr>
          </w:p>
        </w:tc>
        <w:tc>
          <w:tcPr>
            <w:tcW w:w="460" w:type="dxa"/>
            <w:vAlign w:val="bottom"/>
            <w:shd w:val="clear" w:color="auto" w:fill="284993"/>
          </w:tcPr>
          <w:p>
            <w:pPr>
              <w:spacing w:after="0"/>
              <w:rPr>
                <w:sz w:val="16"/>
                <w:szCs w:val="16"/>
                <w:color w:val="auto"/>
              </w:rPr>
            </w:pPr>
          </w:p>
        </w:tc>
        <w:tc>
          <w:tcPr>
            <w:tcW w:w="960" w:type="dxa"/>
            <w:vAlign w:val="bottom"/>
            <w:shd w:val="clear" w:color="auto" w:fill="284993"/>
          </w:tcPr>
          <w:p>
            <w:pPr>
              <w:spacing w:after="0"/>
              <w:rPr>
                <w:sz w:val="16"/>
                <w:szCs w:val="16"/>
                <w:color w:val="auto"/>
              </w:rPr>
            </w:pPr>
          </w:p>
        </w:tc>
        <w:tc>
          <w:tcPr>
            <w:tcW w:w="1480" w:type="dxa"/>
            <w:vAlign w:val="bottom"/>
            <w:shd w:val="clear" w:color="auto" w:fill="284993"/>
          </w:tcPr>
          <w:p>
            <w:pPr>
              <w:spacing w:after="0"/>
              <w:rPr>
                <w:sz w:val="16"/>
                <w:szCs w:val="16"/>
                <w:color w:val="auto"/>
              </w:rPr>
            </w:pPr>
          </w:p>
        </w:tc>
        <w:tc>
          <w:tcPr>
            <w:tcW w:w="1060" w:type="dxa"/>
            <w:vAlign w:val="bottom"/>
            <w:shd w:val="clear" w:color="auto" w:fill="284993"/>
          </w:tcPr>
          <w:p>
            <w:pPr>
              <w:spacing w:after="0"/>
              <w:rPr>
                <w:sz w:val="16"/>
                <w:szCs w:val="16"/>
                <w:color w:val="auto"/>
              </w:rPr>
            </w:pPr>
          </w:p>
        </w:tc>
        <w:tc>
          <w:tcPr>
            <w:tcW w:w="1480" w:type="dxa"/>
            <w:vAlign w:val="bottom"/>
            <w:gridSpan w:val="2"/>
            <w:shd w:val="clear" w:color="auto" w:fill="284993"/>
          </w:tcPr>
          <w:p>
            <w:pPr>
              <w:jc w:val="center"/>
              <w:spacing w:after="0"/>
              <w:rPr>
                <w:sz w:val="20"/>
                <w:szCs w:val="20"/>
                <w:color w:val="auto"/>
              </w:rPr>
            </w:pPr>
            <w:r>
              <w:rPr>
                <w:rFonts w:ascii="Arial" w:cs="Arial" w:eastAsia="Arial" w:hAnsi="Arial"/>
                <w:sz w:val="16"/>
                <w:szCs w:val="16"/>
                <w:b w:val="1"/>
                <w:bCs w:val="1"/>
                <w:color w:val="FFFFFF"/>
                <w:w w:val="96"/>
              </w:rPr>
              <w:t>2023 Actual</w:t>
            </w:r>
          </w:p>
        </w:tc>
      </w:tr>
      <w:tr>
        <w:trPr>
          <w:trHeight w:val="182"/>
        </w:trPr>
        <w:tc>
          <w:tcPr>
            <w:tcW w:w="2300" w:type="dxa"/>
            <w:vAlign w:val="bottom"/>
            <w:shd w:val="clear" w:color="auto" w:fill="284993"/>
          </w:tcPr>
          <w:p>
            <w:pPr>
              <w:spacing w:after="0"/>
              <w:rPr>
                <w:sz w:val="15"/>
                <w:szCs w:val="15"/>
                <w:color w:val="auto"/>
              </w:rPr>
            </w:pPr>
          </w:p>
        </w:tc>
        <w:tc>
          <w:tcPr>
            <w:tcW w:w="1600" w:type="dxa"/>
            <w:vAlign w:val="bottom"/>
            <w:gridSpan w:val="2"/>
            <w:shd w:val="clear" w:color="auto" w:fill="284993"/>
          </w:tcPr>
          <w:p>
            <w:pPr>
              <w:jc w:val="center"/>
              <w:ind w:left="102"/>
              <w:spacing w:after="0" w:line="182" w:lineRule="exact"/>
              <w:rPr>
                <w:sz w:val="20"/>
                <w:szCs w:val="20"/>
                <w:color w:val="auto"/>
              </w:rPr>
            </w:pPr>
            <w:r>
              <w:rPr>
                <w:rFonts w:ascii="Arial" w:cs="Arial" w:eastAsia="Arial" w:hAnsi="Arial"/>
                <w:sz w:val="16"/>
                <w:szCs w:val="16"/>
                <w:b w:val="1"/>
                <w:bCs w:val="1"/>
                <w:color w:val="FFFFFF"/>
                <w:w w:val="96"/>
              </w:rPr>
              <w:t>2023 Target</w:t>
            </w:r>
          </w:p>
        </w:tc>
        <w:tc>
          <w:tcPr>
            <w:tcW w:w="460" w:type="dxa"/>
            <w:vAlign w:val="bottom"/>
            <w:shd w:val="clear" w:color="auto" w:fill="284993"/>
          </w:tcPr>
          <w:p>
            <w:pPr>
              <w:spacing w:after="0"/>
              <w:rPr>
                <w:sz w:val="15"/>
                <w:szCs w:val="15"/>
                <w:color w:val="auto"/>
              </w:rPr>
            </w:pPr>
          </w:p>
        </w:tc>
        <w:tc>
          <w:tcPr>
            <w:tcW w:w="960" w:type="dxa"/>
            <w:vAlign w:val="bottom"/>
            <w:shd w:val="clear" w:color="auto" w:fill="284993"/>
          </w:tcPr>
          <w:p>
            <w:pPr>
              <w:spacing w:after="0"/>
              <w:rPr>
                <w:sz w:val="15"/>
                <w:szCs w:val="15"/>
                <w:color w:val="auto"/>
              </w:rPr>
            </w:pPr>
          </w:p>
        </w:tc>
        <w:tc>
          <w:tcPr>
            <w:tcW w:w="1480" w:type="dxa"/>
            <w:vAlign w:val="bottom"/>
            <w:shd w:val="clear" w:color="auto" w:fill="284993"/>
          </w:tcPr>
          <w:p>
            <w:pPr>
              <w:spacing w:after="0"/>
              <w:rPr>
                <w:sz w:val="15"/>
                <w:szCs w:val="15"/>
                <w:color w:val="auto"/>
              </w:rPr>
            </w:pPr>
          </w:p>
        </w:tc>
        <w:tc>
          <w:tcPr>
            <w:tcW w:w="1060" w:type="dxa"/>
            <w:vAlign w:val="bottom"/>
            <w:shd w:val="clear" w:color="auto" w:fill="284993"/>
          </w:tcPr>
          <w:p>
            <w:pPr>
              <w:spacing w:after="0"/>
              <w:rPr>
                <w:sz w:val="15"/>
                <w:szCs w:val="15"/>
                <w:color w:val="auto"/>
              </w:rPr>
            </w:pPr>
          </w:p>
        </w:tc>
        <w:tc>
          <w:tcPr>
            <w:tcW w:w="1480" w:type="dxa"/>
            <w:vAlign w:val="bottom"/>
            <w:gridSpan w:val="2"/>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6"/>
              </w:rPr>
              <w:t>Annual Cash</w:t>
            </w:r>
          </w:p>
        </w:tc>
      </w:tr>
      <w:tr>
        <w:trPr>
          <w:trHeight w:val="182"/>
        </w:trPr>
        <w:tc>
          <w:tcPr>
            <w:tcW w:w="2300" w:type="dxa"/>
            <w:vAlign w:val="bottom"/>
            <w:shd w:val="clear" w:color="auto" w:fill="284993"/>
          </w:tcPr>
          <w:p>
            <w:pPr>
              <w:spacing w:after="0"/>
              <w:rPr>
                <w:sz w:val="15"/>
                <w:szCs w:val="15"/>
                <w:color w:val="auto"/>
              </w:rPr>
            </w:pPr>
          </w:p>
        </w:tc>
        <w:tc>
          <w:tcPr>
            <w:tcW w:w="1600" w:type="dxa"/>
            <w:vAlign w:val="bottom"/>
            <w:gridSpan w:val="2"/>
            <w:shd w:val="clear" w:color="auto" w:fill="284993"/>
          </w:tcPr>
          <w:p>
            <w:pPr>
              <w:ind w:left="420"/>
              <w:spacing w:after="0" w:line="182" w:lineRule="exact"/>
              <w:rPr>
                <w:sz w:val="20"/>
                <w:szCs w:val="20"/>
                <w:color w:val="auto"/>
              </w:rPr>
            </w:pPr>
            <w:r>
              <w:rPr>
                <w:rFonts w:ascii="Arial" w:cs="Arial" w:eastAsia="Arial" w:hAnsi="Arial"/>
                <w:sz w:val="16"/>
                <w:szCs w:val="16"/>
                <w:b w:val="1"/>
                <w:bCs w:val="1"/>
                <w:color w:val="FFFFFF"/>
              </w:rPr>
              <w:t>Annual Cash</w:t>
            </w:r>
          </w:p>
        </w:tc>
        <w:tc>
          <w:tcPr>
            <w:tcW w:w="1420" w:type="dxa"/>
            <w:vAlign w:val="bottom"/>
            <w:gridSpan w:val="2"/>
            <w:shd w:val="clear" w:color="auto" w:fill="284993"/>
          </w:tcPr>
          <w:p>
            <w:pPr>
              <w:ind w:left="240"/>
              <w:spacing w:after="0" w:line="182" w:lineRule="exact"/>
              <w:rPr>
                <w:sz w:val="20"/>
                <w:szCs w:val="20"/>
                <w:color w:val="auto"/>
              </w:rPr>
            </w:pPr>
            <w:r>
              <w:rPr>
                <w:rFonts w:ascii="Arial" w:cs="Arial" w:eastAsia="Arial" w:hAnsi="Arial"/>
                <w:sz w:val="16"/>
                <w:szCs w:val="16"/>
                <w:b w:val="1"/>
                <w:bCs w:val="1"/>
                <w:color w:val="FFFFFF"/>
              </w:rPr>
              <w:t>2023 Annual</w:t>
            </w:r>
          </w:p>
        </w:tc>
        <w:tc>
          <w:tcPr>
            <w:tcW w:w="1480" w:type="dxa"/>
            <w:vAlign w:val="bottom"/>
            <w:shd w:val="clear" w:color="auto" w:fill="284993"/>
          </w:tcPr>
          <w:p>
            <w:pPr>
              <w:spacing w:after="0"/>
              <w:rPr>
                <w:sz w:val="15"/>
                <w:szCs w:val="15"/>
                <w:color w:val="auto"/>
              </w:rPr>
            </w:pPr>
          </w:p>
        </w:tc>
        <w:tc>
          <w:tcPr>
            <w:tcW w:w="1060" w:type="dxa"/>
            <w:vAlign w:val="bottom"/>
            <w:shd w:val="clear" w:color="auto" w:fill="284993"/>
          </w:tcPr>
          <w:p>
            <w:pPr>
              <w:ind w:left="340"/>
              <w:spacing w:after="0" w:line="182" w:lineRule="exact"/>
              <w:rPr>
                <w:sz w:val="20"/>
                <w:szCs w:val="20"/>
                <w:color w:val="auto"/>
              </w:rPr>
            </w:pPr>
            <w:r>
              <w:rPr>
                <w:rFonts w:ascii="Arial" w:cs="Arial" w:eastAsia="Arial" w:hAnsi="Arial"/>
                <w:sz w:val="16"/>
                <w:szCs w:val="16"/>
                <w:b w:val="1"/>
                <w:bCs w:val="1"/>
                <w:color w:val="FFFFFF"/>
              </w:rPr>
              <w:t>Final</w:t>
            </w:r>
          </w:p>
        </w:tc>
        <w:tc>
          <w:tcPr>
            <w:tcW w:w="360" w:type="dxa"/>
            <w:vAlign w:val="bottom"/>
            <w:shd w:val="clear" w:color="auto" w:fill="284993"/>
          </w:tcPr>
          <w:p>
            <w:pPr>
              <w:spacing w:after="0"/>
              <w:rPr>
                <w:sz w:val="15"/>
                <w:szCs w:val="15"/>
                <w:color w:val="auto"/>
              </w:rPr>
            </w:pPr>
          </w:p>
        </w:tc>
        <w:tc>
          <w:tcPr>
            <w:tcW w:w="1120" w:type="dxa"/>
            <w:vAlign w:val="bottom"/>
            <w:shd w:val="clear" w:color="auto" w:fill="284993"/>
          </w:tcPr>
          <w:p>
            <w:pPr>
              <w:jc w:val="center"/>
              <w:ind w:right="302"/>
              <w:spacing w:after="0" w:line="182" w:lineRule="exact"/>
              <w:rPr>
                <w:sz w:val="20"/>
                <w:szCs w:val="20"/>
                <w:color w:val="auto"/>
              </w:rPr>
            </w:pPr>
            <w:r>
              <w:rPr>
                <w:rFonts w:ascii="Arial" w:cs="Arial" w:eastAsia="Arial" w:hAnsi="Arial"/>
                <w:sz w:val="16"/>
                <w:szCs w:val="16"/>
                <w:b w:val="1"/>
                <w:bCs w:val="1"/>
                <w:color w:val="FFFFFF"/>
                <w:w w:val="95"/>
              </w:rPr>
              <w:t>Incentive</w:t>
            </w:r>
          </w:p>
        </w:tc>
      </w:tr>
      <w:tr>
        <w:trPr>
          <w:trHeight w:val="182"/>
        </w:trPr>
        <w:tc>
          <w:tcPr>
            <w:tcW w:w="2300" w:type="dxa"/>
            <w:vAlign w:val="bottom"/>
            <w:shd w:val="clear" w:color="auto" w:fill="284993"/>
          </w:tcPr>
          <w:p>
            <w:pPr>
              <w:spacing w:after="0"/>
              <w:rPr>
                <w:sz w:val="15"/>
                <w:szCs w:val="15"/>
                <w:color w:val="auto"/>
              </w:rPr>
            </w:pPr>
          </w:p>
        </w:tc>
        <w:tc>
          <w:tcPr>
            <w:tcW w:w="520" w:type="dxa"/>
            <w:vAlign w:val="bottom"/>
            <w:shd w:val="clear" w:color="auto" w:fill="284993"/>
          </w:tcPr>
          <w:p>
            <w:pPr>
              <w:spacing w:after="0"/>
              <w:rPr>
                <w:sz w:val="15"/>
                <w:szCs w:val="15"/>
                <w:color w:val="auto"/>
              </w:rPr>
            </w:pPr>
          </w:p>
        </w:tc>
        <w:tc>
          <w:tcPr>
            <w:tcW w:w="1080" w:type="dxa"/>
            <w:vAlign w:val="bottom"/>
            <w:shd w:val="clear" w:color="auto" w:fill="284993"/>
          </w:tcPr>
          <w:p>
            <w:pPr>
              <w:jc w:val="center"/>
              <w:ind w:right="242"/>
              <w:spacing w:after="0" w:line="182" w:lineRule="exact"/>
              <w:rPr>
                <w:sz w:val="20"/>
                <w:szCs w:val="20"/>
                <w:color w:val="auto"/>
              </w:rPr>
            </w:pPr>
            <w:r>
              <w:rPr>
                <w:rFonts w:ascii="Arial" w:cs="Arial" w:eastAsia="Arial" w:hAnsi="Arial"/>
                <w:sz w:val="16"/>
                <w:szCs w:val="16"/>
                <w:b w:val="1"/>
                <w:bCs w:val="1"/>
                <w:color w:val="FFFFFF"/>
                <w:w w:val="97"/>
              </w:rPr>
              <w:t>Incentive</w:t>
            </w:r>
          </w:p>
        </w:tc>
        <w:tc>
          <w:tcPr>
            <w:tcW w:w="1420" w:type="dxa"/>
            <w:vAlign w:val="bottom"/>
            <w:gridSpan w:val="2"/>
            <w:shd w:val="clear" w:color="auto" w:fill="284993"/>
          </w:tcPr>
          <w:p>
            <w:pPr>
              <w:ind w:left="220"/>
              <w:spacing w:after="0" w:line="182" w:lineRule="exact"/>
              <w:rPr>
                <w:sz w:val="20"/>
                <w:szCs w:val="20"/>
                <w:color w:val="auto"/>
              </w:rPr>
            </w:pPr>
            <w:r>
              <w:rPr>
                <w:rFonts w:ascii="Arial" w:cs="Arial" w:eastAsia="Arial" w:hAnsi="Arial"/>
                <w:sz w:val="16"/>
                <w:szCs w:val="16"/>
                <w:b w:val="1"/>
                <w:bCs w:val="1"/>
                <w:color w:val="FFFFFF"/>
              </w:rPr>
              <w:t>Cash Payout</w:t>
            </w:r>
          </w:p>
        </w:tc>
        <w:tc>
          <w:tcPr>
            <w:tcW w:w="1480" w:type="dxa"/>
            <w:vAlign w:val="bottom"/>
            <w:shd w:val="clear" w:color="auto" w:fill="284993"/>
          </w:tcPr>
          <w:p>
            <w:pPr>
              <w:jc w:val="right"/>
              <w:ind w:right="302"/>
              <w:spacing w:after="0" w:line="182" w:lineRule="exact"/>
              <w:rPr>
                <w:sz w:val="20"/>
                <w:szCs w:val="20"/>
                <w:color w:val="auto"/>
              </w:rPr>
            </w:pPr>
            <w:r>
              <w:rPr>
                <w:rFonts w:ascii="Arial" w:cs="Arial" w:eastAsia="Arial" w:hAnsi="Arial"/>
                <w:sz w:val="16"/>
                <w:szCs w:val="16"/>
                <w:b w:val="1"/>
                <w:bCs w:val="1"/>
                <w:color w:val="FFFFFF"/>
              </w:rPr>
              <w:t>Individual</w:t>
            </w:r>
          </w:p>
        </w:tc>
        <w:tc>
          <w:tcPr>
            <w:tcW w:w="1060" w:type="dxa"/>
            <w:vAlign w:val="bottom"/>
            <w:shd w:val="clear" w:color="auto" w:fill="284993"/>
          </w:tcPr>
          <w:p>
            <w:pPr>
              <w:ind w:left="260"/>
              <w:spacing w:after="0" w:line="182" w:lineRule="exact"/>
              <w:rPr>
                <w:sz w:val="20"/>
                <w:szCs w:val="20"/>
                <w:color w:val="auto"/>
              </w:rPr>
            </w:pPr>
            <w:r>
              <w:rPr>
                <w:rFonts w:ascii="Arial" w:cs="Arial" w:eastAsia="Arial" w:hAnsi="Arial"/>
                <w:sz w:val="16"/>
                <w:szCs w:val="16"/>
                <w:b w:val="1"/>
                <w:bCs w:val="1"/>
                <w:color w:val="FFFFFF"/>
              </w:rPr>
              <w:t>Payout</w:t>
            </w:r>
          </w:p>
        </w:tc>
        <w:tc>
          <w:tcPr>
            <w:tcW w:w="360" w:type="dxa"/>
            <w:vAlign w:val="bottom"/>
            <w:shd w:val="clear" w:color="auto" w:fill="284993"/>
          </w:tcPr>
          <w:p>
            <w:pPr>
              <w:spacing w:after="0"/>
              <w:rPr>
                <w:sz w:val="15"/>
                <w:szCs w:val="15"/>
                <w:color w:val="auto"/>
              </w:rPr>
            </w:pPr>
          </w:p>
        </w:tc>
        <w:tc>
          <w:tcPr>
            <w:tcW w:w="1120" w:type="dxa"/>
            <w:vAlign w:val="bottom"/>
            <w:shd w:val="clear" w:color="auto" w:fill="284993"/>
          </w:tcPr>
          <w:p>
            <w:pPr>
              <w:jc w:val="center"/>
              <w:ind w:right="302"/>
              <w:spacing w:after="0" w:line="182" w:lineRule="exact"/>
              <w:rPr>
                <w:sz w:val="20"/>
                <w:szCs w:val="20"/>
                <w:color w:val="auto"/>
              </w:rPr>
            </w:pPr>
            <w:r>
              <w:rPr>
                <w:rFonts w:ascii="Arial" w:cs="Arial" w:eastAsia="Arial" w:hAnsi="Arial"/>
                <w:sz w:val="16"/>
                <w:szCs w:val="16"/>
                <w:b w:val="1"/>
                <w:bCs w:val="1"/>
                <w:color w:val="FFFFFF"/>
                <w:w w:val="93"/>
              </w:rPr>
              <w:t>Award</w:t>
            </w:r>
          </w:p>
        </w:tc>
      </w:tr>
      <w:tr>
        <w:trPr>
          <w:trHeight w:val="182"/>
        </w:trPr>
        <w:tc>
          <w:tcPr>
            <w:tcW w:w="2300" w:type="dxa"/>
            <w:vAlign w:val="bottom"/>
            <w:shd w:val="clear" w:color="auto" w:fill="284993"/>
          </w:tcPr>
          <w:p>
            <w:pPr>
              <w:spacing w:after="0"/>
              <w:rPr>
                <w:sz w:val="15"/>
                <w:szCs w:val="15"/>
                <w:color w:val="auto"/>
              </w:rPr>
            </w:pPr>
          </w:p>
        </w:tc>
        <w:tc>
          <w:tcPr>
            <w:tcW w:w="520" w:type="dxa"/>
            <w:vAlign w:val="bottom"/>
            <w:shd w:val="clear" w:color="auto" w:fill="284993"/>
          </w:tcPr>
          <w:p>
            <w:pPr>
              <w:spacing w:after="0"/>
              <w:rPr>
                <w:sz w:val="15"/>
                <w:szCs w:val="15"/>
                <w:color w:val="auto"/>
              </w:rPr>
            </w:pPr>
          </w:p>
        </w:tc>
        <w:tc>
          <w:tcPr>
            <w:tcW w:w="1080" w:type="dxa"/>
            <w:vAlign w:val="bottom"/>
            <w:shd w:val="clear" w:color="auto" w:fill="284993"/>
          </w:tcPr>
          <w:p>
            <w:pPr>
              <w:jc w:val="center"/>
              <w:ind w:right="242"/>
              <w:spacing w:after="0" w:line="182" w:lineRule="exact"/>
              <w:rPr>
                <w:sz w:val="20"/>
                <w:szCs w:val="20"/>
                <w:color w:val="auto"/>
              </w:rPr>
            </w:pPr>
            <w:r>
              <w:rPr>
                <w:rFonts w:ascii="Arial" w:cs="Arial" w:eastAsia="Arial" w:hAnsi="Arial"/>
                <w:sz w:val="16"/>
                <w:szCs w:val="16"/>
                <w:b w:val="1"/>
                <w:bCs w:val="1"/>
                <w:color w:val="FFFFFF"/>
                <w:w w:val="98"/>
              </w:rPr>
              <w:t>Award</w:t>
            </w:r>
          </w:p>
        </w:tc>
        <w:tc>
          <w:tcPr>
            <w:tcW w:w="1420" w:type="dxa"/>
            <w:vAlign w:val="bottom"/>
            <w:gridSpan w:val="2"/>
            <w:shd w:val="clear" w:color="auto" w:fill="284993"/>
          </w:tcPr>
          <w:p>
            <w:pPr>
              <w:ind w:left="220"/>
              <w:spacing w:after="0" w:line="182" w:lineRule="exact"/>
              <w:rPr>
                <w:sz w:val="20"/>
                <w:szCs w:val="20"/>
                <w:color w:val="auto"/>
              </w:rPr>
            </w:pPr>
            <w:r>
              <w:rPr>
                <w:rFonts w:ascii="Arial" w:cs="Arial" w:eastAsia="Arial" w:hAnsi="Arial"/>
                <w:sz w:val="16"/>
                <w:szCs w:val="16"/>
                <w:b w:val="1"/>
                <w:bCs w:val="1"/>
                <w:color w:val="FFFFFF"/>
              </w:rPr>
              <w:t>for Company</w:t>
            </w:r>
          </w:p>
        </w:tc>
        <w:tc>
          <w:tcPr>
            <w:tcW w:w="1480" w:type="dxa"/>
            <w:vAlign w:val="bottom"/>
            <w:shd w:val="clear" w:color="auto" w:fill="284993"/>
          </w:tcPr>
          <w:p>
            <w:pPr>
              <w:jc w:val="right"/>
              <w:ind w:right="182"/>
              <w:spacing w:after="0" w:line="182" w:lineRule="exact"/>
              <w:rPr>
                <w:sz w:val="20"/>
                <w:szCs w:val="20"/>
                <w:color w:val="auto"/>
              </w:rPr>
            </w:pPr>
            <w:r>
              <w:rPr>
                <w:rFonts w:ascii="Arial" w:cs="Arial" w:eastAsia="Arial" w:hAnsi="Arial"/>
                <w:sz w:val="16"/>
                <w:szCs w:val="16"/>
                <w:b w:val="1"/>
                <w:bCs w:val="1"/>
                <w:color w:val="FFFFFF"/>
              </w:rPr>
              <w:t>Performance</w:t>
            </w:r>
          </w:p>
        </w:tc>
        <w:tc>
          <w:tcPr>
            <w:tcW w:w="1060" w:type="dxa"/>
            <w:vAlign w:val="bottom"/>
            <w:shd w:val="clear" w:color="auto" w:fill="284993"/>
          </w:tcPr>
          <w:p>
            <w:pPr>
              <w:ind w:left="340"/>
              <w:spacing w:after="0" w:line="182" w:lineRule="exact"/>
              <w:rPr>
                <w:sz w:val="20"/>
                <w:szCs w:val="20"/>
                <w:color w:val="auto"/>
              </w:rPr>
            </w:pPr>
            <w:r>
              <w:rPr>
                <w:rFonts w:ascii="Arial" w:cs="Arial" w:eastAsia="Arial" w:hAnsi="Arial"/>
                <w:sz w:val="16"/>
                <w:szCs w:val="16"/>
                <w:b w:val="1"/>
                <w:bCs w:val="1"/>
                <w:color w:val="FFFFFF"/>
              </w:rPr>
              <w:t>(% of</w:t>
            </w:r>
          </w:p>
        </w:tc>
        <w:tc>
          <w:tcPr>
            <w:tcW w:w="360" w:type="dxa"/>
            <w:vAlign w:val="bottom"/>
            <w:shd w:val="clear" w:color="auto" w:fill="284993"/>
          </w:tcPr>
          <w:p>
            <w:pPr>
              <w:spacing w:after="0"/>
              <w:rPr>
                <w:sz w:val="15"/>
                <w:szCs w:val="15"/>
                <w:color w:val="auto"/>
              </w:rPr>
            </w:pPr>
          </w:p>
        </w:tc>
        <w:tc>
          <w:tcPr>
            <w:tcW w:w="1120" w:type="dxa"/>
            <w:vAlign w:val="bottom"/>
            <w:shd w:val="clear" w:color="auto" w:fill="284993"/>
          </w:tcPr>
          <w:p>
            <w:pPr>
              <w:jc w:val="center"/>
              <w:ind w:right="302"/>
              <w:spacing w:after="0" w:line="182" w:lineRule="exact"/>
              <w:rPr>
                <w:sz w:val="20"/>
                <w:szCs w:val="20"/>
                <w:color w:val="auto"/>
              </w:rPr>
            </w:pPr>
            <w:r>
              <w:rPr>
                <w:rFonts w:ascii="Arial" w:cs="Arial" w:eastAsia="Arial" w:hAnsi="Arial"/>
                <w:sz w:val="16"/>
                <w:szCs w:val="16"/>
                <w:b w:val="1"/>
                <w:bCs w:val="1"/>
                <w:color w:val="FFFFFF"/>
                <w:w w:val="97"/>
              </w:rPr>
              <w:t>Payout*</w:t>
            </w:r>
          </w:p>
        </w:tc>
      </w:tr>
      <w:tr>
        <w:trPr>
          <w:trHeight w:val="209"/>
        </w:trPr>
        <w:tc>
          <w:tcPr>
            <w:tcW w:w="2300" w:type="dxa"/>
            <w:vAlign w:val="bottom"/>
            <w:shd w:val="clear" w:color="auto" w:fill="284993"/>
          </w:tcPr>
          <w:p>
            <w:pPr>
              <w:ind w:left="60"/>
              <w:spacing w:after="0"/>
              <w:rPr>
                <w:sz w:val="20"/>
                <w:szCs w:val="20"/>
                <w:color w:val="auto"/>
              </w:rPr>
            </w:pPr>
            <w:r>
              <w:rPr>
                <w:rFonts w:ascii="Arial" w:cs="Arial" w:eastAsia="Arial" w:hAnsi="Arial"/>
                <w:sz w:val="16"/>
                <w:szCs w:val="16"/>
                <w:b w:val="1"/>
                <w:bCs w:val="1"/>
                <w:color w:val="FFFFFF"/>
              </w:rPr>
              <w:t>Named Executive Officer</w:t>
            </w:r>
          </w:p>
        </w:tc>
        <w:tc>
          <w:tcPr>
            <w:tcW w:w="1600" w:type="dxa"/>
            <w:vAlign w:val="bottom"/>
            <w:gridSpan w:val="2"/>
            <w:shd w:val="clear" w:color="auto" w:fill="284993"/>
          </w:tcPr>
          <w:p>
            <w:pPr>
              <w:jc w:val="center"/>
              <w:ind w:left="102"/>
              <w:spacing w:after="0"/>
              <w:rPr>
                <w:sz w:val="20"/>
                <w:szCs w:val="20"/>
                <w:color w:val="auto"/>
              </w:rPr>
            </w:pPr>
            <w:r>
              <w:rPr>
                <w:rFonts w:ascii="Arial" w:cs="Arial" w:eastAsia="Arial" w:hAnsi="Arial"/>
                <w:sz w:val="16"/>
                <w:szCs w:val="16"/>
                <w:b w:val="1"/>
                <w:bCs w:val="1"/>
                <w:color w:val="FFFFFF"/>
                <w:w w:val="98"/>
              </w:rPr>
              <w:t>Opportunity</w:t>
            </w:r>
          </w:p>
        </w:tc>
        <w:tc>
          <w:tcPr>
            <w:tcW w:w="1420" w:type="dxa"/>
            <w:vAlign w:val="bottom"/>
            <w:gridSpan w:val="2"/>
            <w:shd w:val="clear" w:color="auto" w:fill="284993"/>
          </w:tcPr>
          <w:p>
            <w:pPr>
              <w:ind w:left="220"/>
              <w:spacing w:after="0"/>
              <w:rPr>
                <w:sz w:val="20"/>
                <w:szCs w:val="20"/>
                <w:color w:val="auto"/>
              </w:rPr>
            </w:pPr>
            <w:r>
              <w:rPr>
                <w:rFonts w:ascii="Arial" w:cs="Arial" w:eastAsia="Arial" w:hAnsi="Arial"/>
                <w:sz w:val="16"/>
                <w:szCs w:val="16"/>
                <w:b w:val="1"/>
                <w:bCs w:val="1"/>
                <w:color w:val="FFFFFF"/>
              </w:rPr>
              <w:t>Performance</w:t>
            </w:r>
          </w:p>
        </w:tc>
        <w:tc>
          <w:tcPr>
            <w:tcW w:w="1480" w:type="dxa"/>
            <w:vAlign w:val="bottom"/>
            <w:shd w:val="clear" w:color="auto" w:fill="284993"/>
          </w:tcPr>
          <w:p>
            <w:pPr>
              <w:jc w:val="right"/>
              <w:ind w:right="422"/>
              <w:spacing w:after="0"/>
              <w:rPr>
                <w:sz w:val="20"/>
                <w:szCs w:val="20"/>
                <w:color w:val="auto"/>
              </w:rPr>
            </w:pPr>
            <w:r>
              <w:rPr>
                <w:rFonts w:ascii="Arial" w:cs="Arial" w:eastAsia="Arial" w:hAnsi="Arial"/>
                <w:sz w:val="16"/>
                <w:szCs w:val="16"/>
                <w:b w:val="1"/>
                <w:bCs w:val="1"/>
                <w:color w:val="FFFFFF"/>
              </w:rPr>
              <w:t>Factor</w:t>
            </w:r>
          </w:p>
        </w:tc>
        <w:tc>
          <w:tcPr>
            <w:tcW w:w="1060" w:type="dxa"/>
            <w:vAlign w:val="bottom"/>
            <w:shd w:val="clear" w:color="auto" w:fill="284993"/>
          </w:tcPr>
          <w:p>
            <w:pPr>
              <w:ind w:left="240"/>
              <w:spacing w:after="0"/>
              <w:rPr>
                <w:sz w:val="20"/>
                <w:szCs w:val="20"/>
                <w:color w:val="auto"/>
              </w:rPr>
            </w:pPr>
            <w:r>
              <w:rPr>
                <w:rFonts w:ascii="Arial" w:cs="Arial" w:eastAsia="Arial" w:hAnsi="Arial"/>
                <w:sz w:val="16"/>
                <w:szCs w:val="16"/>
                <w:b w:val="1"/>
                <w:bCs w:val="1"/>
                <w:color w:val="FFFFFF"/>
              </w:rPr>
              <w:t>target)*</w:t>
            </w:r>
          </w:p>
        </w:tc>
        <w:tc>
          <w:tcPr>
            <w:tcW w:w="360" w:type="dxa"/>
            <w:vAlign w:val="bottom"/>
            <w:shd w:val="clear" w:color="auto" w:fill="284993"/>
          </w:tcPr>
          <w:p>
            <w:pPr>
              <w:spacing w:after="0"/>
              <w:rPr>
                <w:sz w:val="18"/>
                <w:szCs w:val="18"/>
                <w:color w:val="auto"/>
              </w:rPr>
            </w:pPr>
          </w:p>
        </w:tc>
        <w:tc>
          <w:tcPr>
            <w:tcW w:w="1120" w:type="dxa"/>
            <w:vAlign w:val="bottom"/>
            <w:shd w:val="clear" w:color="auto" w:fill="284993"/>
          </w:tcPr>
          <w:p>
            <w:pPr>
              <w:jc w:val="center"/>
              <w:ind w:right="302"/>
              <w:spacing w:after="0"/>
              <w:rPr>
                <w:sz w:val="20"/>
                <w:szCs w:val="20"/>
                <w:color w:val="auto"/>
              </w:rPr>
            </w:pPr>
            <w:r>
              <w:rPr>
                <w:rFonts w:ascii="Arial" w:cs="Arial" w:eastAsia="Arial" w:hAnsi="Arial"/>
                <w:sz w:val="16"/>
                <w:szCs w:val="16"/>
                <w:b w:val="1"/>
                <w:bCs w:val="1"/>
                <w:color w:val="FFFFFF"/>
                <w:w w:val="91"/>
              </w:rPr>
              <w:t>($)</w:t>
            </w:r>
          </w:p>
        </w:tc>
      </w:tr>
      <w:tr>
        <w:trPr>
          <w:trHeight w:val="182"/>
        </w:trPr>
        <w:tc>
          <w:tcPr>
            <w:tcW w:w="2300" w:type="dxa"/>
            <w:vAlign w:val="bottom"/>
          </w:tcPr>
          <w:p>
            <w:pPr>
              <w:ind w:left="60"/>
              <w:spacing w:after="0" w:line="182" w:lineRule="exact"/>
              <w:rPr>
                <w:sz w:val="20"/>
                <w:szCs w:val="20"/>
                <w:color w:val="auto"/>
              </w:rPr>
            </w:pPr>
            <w:r>
              <w:rPr>
                <w:rFonts w:ascii="Arial" w:cs="Arial" w:eastAsia="Arial" w:hAnsi="Arial"/>
                <w:sz w:val="16"/>
                <w:szCs w:val="16"/>
                <w:color w:val="auto"/>
              </w:rPr>
              <w:t>Thomas W. Warsop III</w:t>
            </w:r>
          </w:p>
        </w:tc>
        <w:tc>
          <w:tcPr>
            <w:tcW w:w="520" w:type="dxa"/>
            <w:vAlign w:val="bottom"/>
          </w:tcPr>
          <w:p>
            <w:pPr>
              <w:ind w:left="420"/>
              <w:spacing w:after="0" w:line="182" w:lineRule="exact"/>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42"/>
              <w:spacing w:after="0" w:line="182" w:lineRule="exact"/>
              <w:rPr>
                <w:sz w:val="20"/>
                <w:szCs w:val="20"/>
                <w:color w:val="auto"/>
              </w:rPr>
            </w:pPr>
            <w:r>
              <w:rPr>
                <w:rFonts w:ascii="Arial" w:cs="Arial" w:eastAsia="Arial" w:hAnsi="Arial"/>
                <w:sz w:val="16"/>
                <w:szCs w:val="16"/>
                <w:color w:val="auto"/>
              </w:rPr>
              <w:t>439,726**</w:t>
            </w:r>
          </w:p>
        </w:tc>
        <w:tc>
          <w:tcPr>
            <w:tcW w:w="460" w:type="dxa"/>
            <w:vAlign w:val="bottom"/>
          </w:tcPr>
          <w:p>
            <w:pPr>
              <w:ind w:left="200"/>
              <w:spacing w:after="0" w:line="182"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162"/>
              <w:spacing w:after="0" w:line="182" w:lineRule="exact"/>
              <w:rPr>
                <w:sz w:val="20"/>
                <w:szCs w:val="20"/>
                <w:color w:val="auto"/>
              </w:rPr>
            </w:pPr>
            <w:r>
              <w:rPr>
                <w:rFonts w:ascii="Arial" w:cs="Arial" w:eastAsia="Arial" w:hAnsi="Arial"/>
                <w:sz w:val="16"/>
                <w:szCs w:val="16"/>
                <w:color w:val="auto"/>
              </w:rPr>
              <w:t>529,870</w:t>
            </w:r>
          </w:p>
        </w:tc>
        <w:tc>
          <w:tcPr>
            <w:tcW w:w="1480" w:type="dxa"/>
            <w:vAlign w:val="bottom"/>
          </w:tcPr>
          <w:p>
            <w:pPr>
              <w:jc w:val="right"/>
              <w:ind w:right="182"/>
              <w:spacing w:after="0" w:line="182" w:lineRule="exact"/>
              <w:rPr>
                <w:sz w:val="20"/>
                <w:szCs w:val="20"/>
                <w:color w:val="auto"/>
              </w:rPr>
            </w:pPr>
            <w:r>
              <w:rPr>
                <w:rFonts w:ascii="Arial" w:cs="Arial" w:eastAsia="Arial" w:hAnsi="Arial"/>
                <w:sz w:val="16"/>
                <w:szCs w:val="16"/>
                <w:color w:val="auto"/>
              </w:rPr>
              <w:t>100%</w:t>
            </w:r>
          </w:p>
        </w:tc>
        <w:tc>
          <w:tcPr>
            <w:tcW w:w="1060" w:type="dxa"/>
            <w:vAlign w:val="bottom"/>
          </w:tcPr>
          <w:p>
            <w:pPr>
              <w:ind w:left="280"/>
              <w:spacing w:after="0" w:line="182" w:lineRule="exact"/>
              <w:rPr>
                <w:sz w:val="20"/>
                <w:szCs w:val="20"/>
                <w:color w:val="auto"/>
              </w:rPr>
            </w:pPr>
            <w:r>
              <w:rPr>
                <w:rFonts w:ascii="Arial" w:cs="Arial" w:eastAsia="Arial" w:hAnsi="Arial"/>
                <w:sz w:val="16"/>
                <w:szCs w:val="16"/>
                <w:color w:val="auto"/>
              </w:rPr>
              <w:t>120.5%</w:t>
            </w:r>
          </w:p>
        </w:tc>
        <w:tc>
          <w:tcPr>
            <w:tcW w:w="36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202"/>
              <w:spacing w:after="0" w:line="182" w:lineRule="exact"/>
              <w:rPr>
                <w:sz w:val="20"/>
                <w:szCs w:val="20"/>
                <w:color w:val="auto"/>
              </w:rPr>
            </w:pPr>
            <w:r>
              <w:rPr>
                <w:rFonts w:ascii="Arial" w:cs="Arial" w:eastAsia="Arial" w:hAnsi="Arial"/>
                <w:sz w:val="16"/>
                <w:szCs w:val="16"/>
                <w:color w:val="auto"/>
              </w:rPr>
              <w:t>529,870</w:t>
            </w:r>
          </w:p>
        </w:tc>
      </w:tr>
      <w:tr>
        <w:trPr>
          <w:trHeight w:val="182"/>
        </w:trPr>
        <w:tc>
          <w:tcPr>
            <w:tcW w:w="2300" w:type="dxa"/>
            <w:vAlign w:val="bottom"/>
            <w:shd w:val="clear" w:color="auto" w:fill="9DBDE4"/>
          </w:tcPr>
          <w:p>
            <w:pPr>
              <w:ind w:left="60"/>
              <w:spacing w:after="0" w:line="182" w:lineRule="exact"/>
              <w:rPr>
                <w:sz w:val="20"/>
                <w:szCs w:val="20"/>
                <w:color w:val="auto"/>
              </w:rPr>
            </w:pPr>
            <w:r>
              <w:rPr>
                <w:rFonts w:ascii="Arial" w:cs="Arial" w:eastAsia="Arial" w:hAnsi="Arial"/>
                <w:sz w:val="16"/>
                <w:szCs w:val="16"/>
                <w:color w:val="auto"/>
              </w:rPr>
              <w:t>Scott W. Behrens</w:t>
            </w:r>
          </w:p>
        </w:tc>
        <w:tc>
          <w:tcPr>
            <w:tcW w:w="520" w:type="dxa"/>
            <w:vAlign w:val="bottom"/>
            <w:shd w:val="clear" w:color="auto" w:fill="9DBDE4"/>
          </w:tcPr>
          <w:p>
            <w:pPr>
              <w:ind w:left="420"/>
              <w:spacing w:after="0" w:line="182" w:lineRule="exact"/>
              <w:rPr>
                <w:sz w:val="20"/>
                <w:szCs w:val="20"/>
                <w:color w:val="auto"/>
              </w:rPr>
            </w:pPr>
            <w:r>
              <w:rPr>
                <w:rFonts w:ascii="Arial" w:cs="Arial" w:eastAsia="Arial" w:hAnsi="Arial"/>
                <w:sz w:val="16"/>
                <w:szCs w:val="16"/>
                <w:color w:val="auto"/>
                <w:w w:val="89"/>
              </w:rPr>
              <w:t>$</w:t>
            </w:r>
          </w:p>
        </w:tc>
        <w:tc>
          <w:tcPr>
            <w:tcW w:w="1080" w:type="dxa"/>
            <w:vAlign w:val="bottom"/>
            <w:shd w:val="clear" w:color="auto" w:fill="9DBDE4"/>
          </w:tcPr>
          <w:p>
            <w:pPr>
              <w:jc w:val="right"/>
              <w:ind w:right="142"/>
              <w:spacing w:after="0" w:line="182" w:lineRule="exact"/>
              <w:rPr>
                <w:sz w:val="20"/>
                <w:szCs w:val="20"/>
                <w:color w:val="auto"/>
              </w:rPr>
            </w:pPr>
            <w:r>
              <w:rPr>
                <w:rFonts w:ascii="Arial" w:cs="Arial" w:eastAsia="Arial" w:hAnsi="Arial"/>
                <w:sz w:val="16"/>
                <w:szCs w:val="16"/>
                <w:color w:val="auto"/>
              </w:rPr>
              <w:t>515,000</w:t>
            </w:r>
          </w:p>
        </w:tc>
        <w:tc>
          <w:tcPr>
            <w:tcW w:w="460" w:type="dxa"/>
            <w:vAlign w:val="bottom"/>
            <w:shd w:val="clear" w:color="auto" w:fill="9DBDE4"/>
          </w:tcPr>
          <w:p>
            <w:pPr>
              <w:ind w:left="200"/>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9DBDE4"/>
          </w:tcPr>
          <w:p>
            <w:pPr>
              <w:jc w:val="right"/>
              <w:ind w:right="162"/>
              <w:spacing w:after="0" w:line="182" w:lineRule="exact"/>
              <w:rPr>
                <w:sz w:val="20"/>
                <w:szCs w:val="20"/>
                <w:color w:val="auto"/>
              </w:rPr>
            </w:pPr>
            <w:r>
              <w:rPr>
                <w:rFonts w:ascii="Arial" w:cs="Arial" w:eastAsia="Arial" w:hAnsi="Arial"/>
                <w:sz w:val="16"/>
                <w:szCs w:val="16"/>
                <w:color w:val="auto"/>
              </w:rPr>
              <w:t>620,575</w:t>
            </w:r>
          </w:p>
        </w:tc>
        <w:tc>
          <w:tcPr>
            <w:tcW w:w="1480" w:type="dxa"/>
            <w:vAlign w:val="bottom"/>
            <w:shd w:val="clear" w:color="auto" w:fill="9DBDE4"/>
          </w:tcPr>
          <w:p>
            <w:pPr>
              <w:jc w:val="right"/>
              <w:ind w:right="182"/>
              <w:spacing w:after="0" w:line="182" w:lineRule="exact"/>
              <w:rPr>
                <w:sz w:val="20"/>
                <w:szCs w:val="20"/>
                <w:color w:val="auto"/>
              </w:rPr>
            </w:pPr>
            <w:r>
              <w:rPr>
                <w:rFonts w:ascii="Arial" w:cs="Arial" w:eastAsia="Arial" w:hAnsi="Arial"/>
                <w:sz w:val="16"/>
                <w:szCs w:val="16"/>
                <w:color w:val="auto"/>
              </w:rPr>
              <w:t>105%</w:t>
            </w:r>
          </w:p>
        </w:tc>
        <w:tc>
          <w:tcPr>
            <w:tcW w:w="1060" w:type="dxa"/>
            <w:vAlign w:val="bottom"/>
            <w:shd w:val="clear" w:color="auto" w:fill="9DBDE4"/>
          </w:tcPr>
          <w:p>
            <w:pPr>
              <w:ind w:left="280"/>
              <w:spacing w:after="0" w:line="182" w:lineRule="exact"/>
              <w:rPr>
                <w:sz w:val="20"/>
                <w:szCs w:val="20"/>
                <w:color w:val="auto"/>
              </w:rPr>
            </w:pPr>
            <w:r>
              <w:rPr>
                <w:rFonts w:ascii="Arial" w:cs="Arial" w:eastAsia="Arial" w:hAnsi="Arial"/>
                <w:sz w:val="16"/>
                <w:szCs w:val="16"/>
                <w:color w:val="auto"/>
              </w:rPr>
              <w:t>126.5%</w:t>
            </w:r>
          </w:p>
        </w:tc>
        <w:tc>
          <w:tcPr>
            <w:tcW w:w="360" w:type="dxa"/>
            <w:vAlign w:val="bottom"/>
            <w:shd w:val="clear" w:color="auto" w:fill="9DBDE4"/>
          </w:tcPr>
          <w:p>
            <w:pPr>
              <w:jc w:val="right"/>
              <w:spacing w:after="0" w:line="182" w:lineRule="exact"/>
              <w:rPr>
                <w:sz w:val="20"/>
                <w:szCs w:val="20"/>
                <w:color w:val="auto"/>
              </w:rPr>
            </w:pPr>
            <w:r>
              <w:rPr>
                <w:rFonts w:ascii="Arial" w:cs="Arial" w:eastAsia="Arial" w:hAnsi="Arial"/>
                <w:sz w:val="16"/>
                <w:szCs w:val="16"/>
                <w:color w:val="auto"/>
              </w:rPr>
              <w:t>$</w:t>
            </w:r>
          </w:p>
        </w:tc>
        <w:tc>
          <w:tcPr>
            <w:tcW w:w="1120" w:type="dxa"/>
            <w:vAlign w:val="bottom"/>
            <w:shd w:val="clear" w:color="auto" w:fill="9DBDE4"/>
          </w:tcPr>
          <w:p>
            <w:pPr>
              <w:jc w:val="right"/>
              <w:ind w:right="202"/>
              <w:spacing w:after="0" w:line="182" w:lineRule="exact"/>
              <w:rPr>
                <w:sz w:val="20"/>
                <w:szCs w:val="20"/>
                <w:color w:val="auto"/>
              </w:rPr>
            </w:pPr>
            <w:r>
              <w:rPr>
                <w:rFonts w:ascii="Arial" w:cs="Arial" w:eastAsia="Arial" w:hAnsi="Arial"/>
                <w:sz w:val="16"/>
                <w:szCs w:val="16"/>
                <w:color w:val="auto"/>
              </w:rPr>
              <w:t>652,000</w:t>
            </w:r>
          </w:p>
        </w:tc>
      </w:tr>
      <w:tr>
        <w:trPr>
          <w:trHeight w:val="182"/>
        </w:trPr>
        <w:tc>
          <w:tcPr>
            <w:tcW w:w="2300" w:type="dxa"/>
            <w:vAlign w:val="bottom"/>
          </w:tcPr>
          <w:p>
            <w:pPr>
              <w:ind w:left="60"/>
              <w:spacing w:after="0" w:line="182" w:lineRule="exact"/>
              <w:rPr>
                <w:sz w:val="20"/>
                <w:szCs w:val="20"/>
                <w:color w:val="auto"/>
              </w:rPr>
            </w:pPr>
            <w:r>
              <w:rPr>
                <w:rFonts w:ascii="Arial" w:cs="Arial" w:eastAsia="Arial" w:hAnsi="Arial"/>
                <w:sz w:val="16"/>
                <w:szCs w:val="16"/>
                <w:color w:val="auto"/>
              </w:rPr>
              <w:t>Abraham (“Abe”) Kuruvilla</w:t>
            </w:r>
          </w:p>
        </w:tc>
        <w:tc>
          <w:tcPr>
            <w:tcW w:w="520" w:type="dxa"/>
            <w:vAlign w:val="bottom"/>
          </w:tcPr>
          <w:p>
            <w:pPr>
              <w:spacing w:after="0"/>
              <w:rPr>
                <w:sz w:val="15"/>
                <w:szCs w:val="15"/>
                <w:color w:val="auto"/>
              </w:rPr>
            </w:pPr>
          </w:p>
        </w:tc>
        <w:tc>
          <w:tcPr>
            <w:tcW w:w="1080" w:type="dxa"/>
            <w:vAlign w:val="bottom"/>
          </w:tcPr>
          <w:p>
            <w:pPr>
              <w:jc w:val="right"/>
              <w:ind w:right="142"/>
              <w:spacing w:after="0" w:line="182" w:lineRule="exact"/>
              <w:rPr>
                <w:sz w:val="20"/>
                <w:szCs w:val="20"/>
                <w:color w:val="auto"/>
              </w:rPr>
            </w:pPr>
            <w:r>
              <w:rPr>
                <w:rFonts w:ascii="Arial" w:cs="Arial" w:eastAsia="Arial" w:hAnsi="Arial"/>
                <w:sz w:val="16"/>
                <w:szCs w:val="16"/>
                <w:color w:val="auto"/>
              </w:rPr>
              <w:t>N/A***</w:t>
            </w:r>
          </w:p>
        </w:tc>
        <w:tc>
          <w:tcPr>
            <w:tcW w:w="460" w:type="dxa"/>
            <w:vAlign w:val="bottom"/>
          </w:tcPr>
          <w:p>
            <w:pPr>
              <w:spacing w:after="0"/>
              <w:rPr>
                <w:sz w:val="15"/>
                <w:szCs w:val="15"/>
                <w:color w:val="auto"/>
              </w:rPr>
            </w:pPr>
          </w:p>
        </w:tc>
        <w:tc>
          <w:tcPr>
            <w:tcW w:w="960" w:type="dxa"/>
            <w:vAlign w:val="bottom"/>
          </w:tcPr>
          <w:p>
            <w:pPr>
              <w:jc w:val="right"/>
              <w:ind w:right="162"/>
              <w:spacing w:after="0" w:line="182" w:lineRule="exact"/>
              <w:rPr>
                <w:sz w:val="20"/>
                <w:szCs w:val="20"/>
                <w:color w:val="auto"/>
              </w:rPr>
            </w:pPr>
            <w:r>
              <w:rPr>
                <w:rFonts w:ascii="Arial" w:cs="Arial" w:eastAsia="Arial" w:hAnsi="Arial"/>
                <w:sz w:val="16"/>
                <w:szCs w:val="16"/>
                <w:color w:val="auto"/>
              </w:rPr>
              <w:t>N/A</w:t>
            </w:r>
          </w:p>
        </w:tc>
        <w:tc>
          <w:tcPr>
            <w:tcW w:w="1480" w:type="dxa"/>
            <w:vAlign w:val="bottom"/>
          </w:tcPr>
          <w:p>
            <w:pPr>
              <w:jc w:val="right"/>
              <w:ind w:right="182"/>
              <w:spacing w:after="0" w:line="182" w:lineRule="exact"/>
              <w:rPr>
                <w:sz w:val="20"/>
                <w:szCs w:val="20"/>
                <w:color w:val="auto"/>
              </w:rPr>
            </w:pPr>
            <w:r>
              <w:rPr>
                <w:rFonts w:ascii="Arial" w:cs="Arial" w:eastAsia="Arial" w:hAnsi="Arial"/>
                <w:sz w:val="16"/>
                <w:szCs w:val="16"/>
                <w:color w:val="auto"/>
              </w:rPr>
              <w:t>N/A</w:t>
            </w:r>
          </w:p>
        </w:tc>
        <w:tc>
          <w:tcPr>
            <w:tcW w:w="1060" w:type="dxa"/>
            <w:vAlign w:val="bottom"/>
          </w:tcPr>
          <w:p>
            <w:pPr>
              <w:ind w:left="560"/>
              <w:spacing w:after="0" w:line="182" w:lineRule="exact"/>
              <w:rPr>
                <w:sz w:val="20"/>
                <w:szCs w:val="20"/>
                <w:color w:val="auto"/>
              </w:rPr>
            </w:pPr>
            <w:r>
              <w:rPr>
                <w:rFonts w:ascii="Arial" w:cs="Arial" w:eastAsia="Arial" w:hAnsi="Arial"/>
                <w:sz w:val="16"/>
                <w:szCs w:val="16"/>
                <w:color w:val="auto"/>
              </w:rPr>
              <w:t>N/A</w:t>
            </w:r>
          </w:p>
        </w:tc>
        <w:tc>
          <w:tcPr>
            <w:tcW w:w="360" w:type="dxa"/>
            <w:vAlign w:val="bottom"/>
          </w:tcPr>
          <w:p>
            <w:pPr>
              <w:spacing w:after="0"/>
              <w:rPr>
                <w:sz w:val="15"/>
                <w:szCs w:val="15"/>
                <w:color w:val="auto"/>
              </w:rPr>
            </w:pPr>
          </w:p>
        </w:tc>
        <w:tc>
          <w:tcPr>
            <w:tcW w:w="1120" w:type="dxa"/>
            <w:vAlign w:val="bottom"/>
          </w:tcPr>
          <w:p>
            <w:pPr>
              <w:jc w:val="right"/>
              <w:ind w:right="202"/>
              <w:spacing w:after="0" w:line="182" w:lineRule="exact"/>
              <w:rPr>
                <w:sz w:val="20"/>
                <w:szCs w:val="20"/>
                <w:color w:val="auto"/>
              </w:rPr>
            </w:pPr>
            <w:r>
              <w:rPr>
                <w:rFonts w:ascii="Arial" w:cs="Arial" w:eastAsia="Arial" w:hAnsi="Arial"/>
                <w:sz w:val="16"/>
                <w:szCs w:val="16"/>
                <w:color w:val="auto"/>
              </w:rPr>
              <w:t>N/A</w:t>
            </w:r>
          </w:p>
        </w:tc>
      </w:tr>
      <w:tr>
        <w:trPr>
          <w:trHeight w:val="182"/>
        </w:trPr>
        <w:tc>
          <w:tcPr>
            <w:tcW w:w="2300" w:type="dxa"/>
            <w:vAlign w:val="bottom"/>
            <w:shd w:val="clear" w:color="auto" w:fill="9DBDE4"/>
          </w:tcPr>
          <w:p>
            <w:pPr>
              <w:ind w:left="60"/>
              <w:spacing w:after="0" w:line="182" w:lineRule="exact"/>
              <w:rPr>
                <w:sz w:val="20"/>
                <w:szCs w:val="20"/>
                <w:color w:val="auto"/>
              </w:rPr>
            </w:pPr>
            <w:r>
              <w:rPr>
                <w:rFonts w:ascii="Arial" w:cs="Arial" w:eastAsia="Arial" w:hAnsi="Arial"/>
                <w:sz w:val="16"/>
                <w:szCs w:val="16"/>
                <w:color w:val="auto"/>
              </w:rPr>
              <w:t>Alessandro Silva</w:t>
            </w:r>
          </w:p>
        </w:tc>
        <w:tc>
          <w:tcPr>
            <w:tcW w:w="520" w:type="dxa"/>
            <w:vAlign w:val="bottom"/>
            <w:shd w:val="clear" w:color="auto" w:fill="9DBDE4"/>
          </w:tcPr>
          <w:p>
            <w:pPr>
              <w:ind w:left="420"/>
              <w:spacing w:after="0" w:line="182" w:lineRule="exact"/>
              <w:rPr>
                <w:sz w:val="20"/>
                <w:szCs w:val="20"/>
                <w:color w:val="auto"/>
              </w:rPr>
            </w:pPr>
            <w:r>
              <w:rPr>
                <w:rFonts w:ascii="Arial" w:cs="Arial" w:eastAsia="Arial" w:hAnsi="Arial"/>
                <w:sz w:val="16"/>
                <w:szCs w:val="16"/>
                <w:color w:val="auto"/>
                <w:w w:val="89"/>
              </w:rPr>
              <w:t>$</w:t>
            </w:r>
          </w:p>
        </w:tc>
        <w:tc>
          <w:tcPr>
            <w:tcW w:w="1080" w:type="dxa"/>
            <w:vAlign w:val="bottom"/>
            <w:shd w:val="clear" w:color="auto" w:fill="9DBDE4"/>
          </w:tcPr>
          <w:p>
            <w:pPr>
              <w:jc w:val="right"/>
              <w:ind w:right="142"/>
              <w:spacing w:after="0" w:line="182" w:lineRule="exact"/>
              <w:rPr>
                <w:sz w:val="20"/>
                <w:szCs w:val="20"/>
                <w:color w:val="auto"/>
              </w:rPr>
            </w:pPr>
            <w:r>
              <w:rPr>
                <w:rFonts w:ascii="Arial" w:cs="Arial" w:eastAsia="Arial" w:hAnsi="Arial"/>
                <w:sz w:val="16"/>
                <w:szCs w:val="16"/>
                <w:color w:val="auto"/>
              </w:rPr>
              <w:t>230,000****</w:t>
            </w:r>
          </w:p>
        </w:tc>
        <w:tc>
          <w:tcPr>
            <w:tcW w:w="460" w:type="dxa"/>
            <w:vAlign w:val="bottom"/>
            <w:shd w:val="clear" w:color="auto" w:fill="9DBDE4"/>
          </w:tcPr>
          <w:p>
            <w:pPr>
              <w:ind w:left="200"/>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9DBDE4"/>
          </w:tcPr>
          <w:p>
            <w:pPr>
              <w:jc w:val="right"/>
              <w:ind w:right="162"/>
              <w:spacing w:after="0" w:line="182" w:lineRule="exact"/>
              <w:rPr>
                <w:sz w:val="20"/>
                <w:szCs w:val="20"/>
                <w:color w:val="auto"/>
              </w:rPr>
            </w:pPr>
            <w:r>
              <w:rPr>
                <w:rFonts w:ascii="Arial" w:cs="Arial" w:eastAsia="Arial" w:hAnsi="Arial"/>
                <w:sz w:val="16"/>
                <w:szCs w:val="16"/>
                <w:color w:val="auto"/>
              </w:rPr>
              <w:t>277,000</w:t>
            </w:r>
          </w:p>
        </w:tc>
        <w:tc>
          <w:tcPr>
            <w:tcW w:w="1480" w:type="dxa"/>
            <w:vAlign w:val="bottom"/>
            <w:shd w:val="clear" w:color="auto" w:fill="9DBDE4"/>
          </w:tcPr>
          <w:p>
            <w:pPr>
              <w:jc w:val="right"/>
              <w:ind w:right="182"/>
              <w:spacing w:after="0" w:line="182" w:lineRule="exact"/>
              <w:rPr>
                <w:sz w:val="20"/>
                <w:szCs w:val="20"/>
                <w:color w:val="auto"/>
              </w:rPr>
            </w:pPr>
            <w:r>
              <w:rPr>
                <w:rFonts w:ascii="Arial" w:cs="Arial" w:eastAsia="Arial" w:hAnsi="Arial"/>
                <w:sz w:val="16"/>
                <w:szCs w:val="16"/>
                <w:color w:val="auto"/>
              </w:rPr>
              <w:t>100%</w:t>
            </w:r>
          </w:p>
        </w:tc>
        <w:tc>
          <w:tcPr>
            <w:tcW w:w="1060" w:type="dxa"/>
            <w:vAlign w:val="bottom"/>
            <w:shd w:val="clear" w:color="auto" w:fill="9DBDE4"/>
          </w:tcPr>
          <w:p>
            <w:pPr>
              <w:ind w:left="280"/>
              <w:spacing w:after="0" w:line="182" w:lineRule="exact"/>
              <w:rPr>
                <w:sz w:val="20"/>
                <w:szCs w:val="20"/>
                <w:color w:val="auto"/>
              </w:rPr>
            </w:pPr>
            <w:r>
              <w:rPr>
                <w:rFonts w:ascii="Arial" w:cs="Arial" w:eastAsia="Arial" w:hAnsi="Arial"/>
                <w:sz w:val="16"/>
                <w:szCs w:val="16"/>
                <w:color w:val="auto"/>
              </w:rPr>
              <w:t>120.5%</w:t>
            </w:r>
          </w:p>
        </w:tc>
        <w:tc>
          <w:tcPr>
            <w:tcW w:w="360" w:type="dxa"/>
            <w:vAlign w:val="bottom"/>
            <w:shd w:val="clear" w:color="auto" w:fill="9DBDE4"/>
          </w:tcPr>
          <w:p>
            <w:pPr>
              <w:jc w:val="right"/>
              <w:spacing w:after="0" w:line="182" w:lineRule="exact"/>
              <w:rPr>
                <w:sz w:val="20"/>
                <w:szCs w:val="20"/>
                <w:color w:val="auto"/>
              </w:rPr>
            </w:pPr>
            <w:r>
              <w:rPr>
                <w:rFonts w:ascii="Arial" w:cs="Arial" w:eastAsia="Arial" w:hAnsi="Arial"/>
                <w:sz w:val="16"/>
                <w:szCs w:val="16"/>
                <w:color w:val="auto"/>
              </w:rPr>
              <w:t>$</w:t>
            </w:r>
          </w:p>
        </w:tc>
        <w:tc>
          <w:tcPr>
            <w:tcW w:w="1120" w:type="dxa"/>
            <w:vAlign w:val="bottom"/>
            <w:shd w:val="clear" w:color="auto" w:fill="9DBDE4"/>
          </w:tcPr>
          <w:p>
            <w:pPr>
              <w:jc w:val="right"/>
              <w:ind w:right="202"/>
              <w:spacing w:after="0" w:line="182" w:lineRule="exact"/>
              <w:rPr>
                <w:sz w:val="20"/>
                <w:szCs w:val="20"/>
                <w:color w:val="auto"/>
              </w:rPr>
            </w:pPr>
            <w:r>
              <w:rPr>
                <w:rFonts w:ascii="Arial" w:cs="Arial" w:eastAsia="Arial" w:hAnsi="Arial"/>
                <w:sz w:val="16"/>
                <w:szCs w:val="16"/>
                <w:color w:val="auto"/>
              </w:rPr>
              <w:t>277,000</w:t>
            </w:r>
          </w:p>
        </w:tc>
      </w:tr>
      <w:tr>
        <w:trPr>
          <w:trHeight w:val="182"/>
        </w:trPr>
        <w:tc>
          <w:tcPr>
            <w:tcW w:w="2300" w:type="dxa"/>
            <w:vAlign w:val="bottom"/>
            <w:tcBorders>
              <w:bottom w:val="single" w:sz="8" w:color="284993"/>
            </w:tcBorders>
          </w:tcPr>
          <w:p>
            <w:pPr>
              <w:ind w:left="60"/>
              <w:spacing w:after="0" w:line="182" w:lineRule="exact"/>
              <w:rPr>
                <w:sz w:val="20"/>
                <w:szCs w:val="20"/>
                <w:color w:val="auto"/>
              </w:rPr>
            </w:pPr>
            <w:r>
              <w:rPr>
                <w:rFonts w:ascii="Arial" w:cs="Arial" w:eastAsia="Arial" w:hAnsi="Arial"/>
                <w:sz w:val="16"/>
                <w:szCs w:val="16"/>
                <w:color w:val="auto"/>
              </w:rPr>
              <w:t>Deborah L. Guerra</w:t>
            </w:r>
          </w:p>
        </w:tc>
        <w:tc>
          <w:tcPr>
            <w:tcW w:w="520" w:type="dxa"/>
            <w:vAlign w:val="bottom"/>
            <w:tcBorders>
              <w:bottom w:val="single" w:sz="8" w:color="284993"/>
            </w:tcBorders>
          </w:tcPr>
          <w:p>
            <w:pPr>
              <w:ind w:left="420"/>
              <w:spacing w:after="0" w:line="182"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284993"/>
            </w:tcBorders>
          </w:tcPr>
          <w:p>
            <w:pPr>
              <w:jc w:val="right"/>
              <w:ind w:right="142"/>
              <w:spacing w:after="0" w:line="182" w:lineRule="exact"/>
              <w:rPr>
                <w:sz w:val="20"/>
                <w:szCs w:val="20"/>
                <w:color w:val="auto"/>
              </w:rPr>
            </w:pPr>
            <w:r>
              <w:rPr>
                <w:rFonts w:ascii="Arial" w:cs="Arial" w:eastAsia="Arial" w:hAnsi="Arial"/>
                <w:sz w:val="16"/>
                <w:szCs w:val="16"/>
                <w:color w:val="auto"/>
              </w:rPr>
              <w:t>400,000</w:t>
            </w:r>
          </w:p>
        </w:tc>
        <w:tc>
          <w:tcPr>
            <w:tcW w:w="460" w:type="dxa"/>
            <w:vAlign w:val="bottom"/>
            <w:tcBorders>
              <w:bottom w:val="single" w:sz="8" w:color="284993"/>
            </w:tcBorders>
          </w:tcPr>
          <w:p>
            <w:pPr>
              <w:ind w:left="200"/>
              <w:spacing w:after="0" w:line="182"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284993"/>
            </w:tcBorders>
          </w:tcPr>
          <w:p>
            <w:pPr>
              <w:jc w:val="right"/>
              <w:ind w:right="162"/>
              <w:spacing w:after="0" w:line="182" w:lineRule="exact"/>
              <w:rPr>
                <w:sz w:val="20"/>
                <w:szCs w:val="20"/>
                <w:color w:val="auto"/>
              </w:rPr>
            </w:pPr>
            <w:r>
              <w:rPr>
                <w:rFonts w:ascii="Arial" w:cs="Arial" w:eastAsia="Arial" w:hAnsi="Arial"/>
                <w:sz w:val="16"/>
                <w:szCs w:val="16"/>
                <w:color w:val="auto"/>
              </w:rPr>
              <w:t>482,000</w:t>
            </w:r>
          </w:p>
        </w:tc>
        <w:tc>
          <w:tcPr>
            <w:tcW w:w="1480" w:type="dxa"/>
            <w:vAlign w:val="bottom"/>
            <w:tcBorders>
              <w:bottom w:val="single" w:sz="8" w:color="284993"/>
            </w:tcBorders>
          </w:tcPr>
          <w:p>
            <w:pPr>
              <w:jc w:val="right"/>
              <w:ind w:right="182"/>
              <w:spacing w:after="0" w:line="182" w:lineRule="exact"/>
              <w:rPr>
                <w:sz w:val="20"/>
                <w:szCs w:val="20"/>
                <w:color w:val="auto"/>
              </w:rPr>
            </w:pPr>
            <w:r>
              <w:rPr>
                <w:rFonts w:ascii="Arial" w:cs="Arial" w:eastAsia="Arial" w:hAnsi="Arial"/>
                <w:sz w:val="16"/>
                <w:szCs w:val="16"/>
                <w:color w:val="auto"/>
              </w:rPr>
              <w:t>100%</w:t>
            </w:r>
          </w:p>
        </w:tc>
        <w:tc>
          <w:tcPr>
            <w:tcW w:w="1060" w:type="dxa"/>
            <w:vAlign w:val="bottom"/>
            <w:tcBorders>
              <w:bottom w:val="single" w:sz="8" w:color="284993"/>
            </w:tcBorders>
          </w:tcPr>
          <w:p>
            <w:pPr>
              <w:ind w:left="280"/>
              <w:spacing w:after="0" w:line="182" w:lineRule="exact"/>
              <w:rPr>
                <w:sz w:val="20"/>
                <w:szCs w:val="20"/>
                <w:color w:val="auto"/>
              </w:rPr>
            </w:pPr>
            <w:r>
              <w:rPr>
                <w:rFonts w:ascii="Arial" w:cs="Arial" w:eastAsia="Arial" w:hAnsi="Arial"/>
                <w:sz w:val="16"/>
                <w:szCs w:val="16"/>
                <w:color w:val="auto"/>
              </w:rPr>
              <w:t>120.5%</w:t>
            </w:r>
          </w:p>
        </w:tc>
        <w:tc>
          <w:tcPr>
            <w:tcW w:w="360" w:type="dxa"/>
            <w:vAlign w:val="bottom"/>
            <w:tcBorders>
              <w:bottom w:val="single" w:sz="8" w:color="284993"/>
            </w:tcBorders>
          </w:tcPr>
          <w:p>
            <w:pPr>
              <w:jc w:val="right"/>
              <w:spacing w:after="0" w:line="182"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284993"/>
            </w:tcBorders>
          </w:tcPr>
          <w:p>
            <w:pPr>
              <w:jc w:val="right"/>
              <w:ind w:right="202"/>
              <w:spacing w:after="0" w:line="182" w:lineRule="exact"/>
              <w:rPr>
                <w:sz w:val="20"/>
                <w:szCs w:val="20"/>
                <w:color w:val="auto"/>
              </w:rPr>
            </w:pPr>
            <w:r>
              <w:rPr>
                <w:rFonts w:ascii="Arial" w:cs="Arial" w:eastAsia="Arial" w:hAnsi="Arial"/>
                <w:sz w:val="16"/>
                <w:szCs w:val="16"/>
                <w:color w:val="auto"/>
              </w:rPr>
              <w:t>482,000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-123190</wp:posOffset>
            </wp:positionV>
            <wp:extent cx="8255" cy="1238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123825"/>
                    </a:xfrm>
                    <a:prstGeom prst="rect">
                      <a:avLst/>
                    </a:prstGeom>
                    <a:noFill/>
                  </pic:spPr>
                </pic:pic>
              </a:graphicData>
            </a:graphic>
          </wp:anchor>
        </w:drawing>
      </w:r>
    </w:p>
    <w:p>
      <w:pPr>
        <w:spacing w:after="0" w:line="40" w:lineRule="exact"/>
        <w:rPr>
          <w:sz w:val="20"/>
          <w:szCs w:val="20"/>
          <w:color w:val="auto"/>
        </w:rPr>
      </w:pPr>
    </w:p>
    <w:p>
      <w:pPr>
        <w:ind w:left="360" w:hanging="354"/>
        <w:spacing w:after="0"/>
        <w:tabs>
          <w:tab w:leader="none" w:pos="3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Percentage payouts for Messer Behrens and Silva are 0.1% different than the numerical calculations due to rounding of their actual payout.</w:t>
      </w:r>
    </w:p>
    <w:p>
      <w:pPr>
        <w:ind w:left="360" w:hanging="354"/>
        <w:spacing w:after="0" w:line="232" w:lineRule="auto"/>
        <w:tabs>
          <w:tab w:leader="none" w:pos="3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Mr. Warsop III’s STIP payout was pro-rated for the time he served as CEO after his appointment to the full time position effective June 1, 2023.</w:t>
      </w:r>
    </w:p>
    <w:p>
      <w:pPr>
        <w:ind w:left="360" w:hanging="354"/>
        <w:spacing w:after="0" w:line="226" w:lineRule="auto"/>
        <w:tabs>
          <w:tab w:leader="none" w:pos="3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Mr. Kuruvilla did not receive a payment under our STIP plan for 2023 because he joined us during 2023. He will participate in the STIP for 2024.</w:t>
      </w:r>
    </w:p>
    <w:p>
      <w:pPr>
        <w:ind w:left="360" w:hanging="354"/>
        <w:spacing w:after="0"/>
        <w:tabs>
          <w:tab w:leader="none" w:pos="3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 addition to participating in our STIP, Mr. Silva is also eligible for an annual incentive payout under a sales incentive plan. See below for details.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Bonus Award – Interim CEO</w:t>
      </w:r>
    </w:p>
    <w:p>
      <w:pPr>
        <w:spacing w:after="0" w:line="108"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As part of his compensation arrangement for service as our interim CEO (for periods prior to June 1, 2023), Mr. Warsop III was entitled to a bonus at the end of his interim service of $325,000, at the discretion of our Board of Directors based on their evaluation of his performance. Our Board of Directors determined that Mr. Warsop III had earned the full $325,000 bonus when he completed his interim service and was appointed our full time CEO.</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Sales Incentive Plan – 2023 Results and Payouts</w:t>
      </w:r>
    </w:p>
    <w:p>
      <w:pPr>
        <w:spacing w:after="0" w:line="108"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For 2023, in addition to an award under the STIP, Mr. Silva was also eligible for awards under a sales incentive plan. His award opportunity was $210,000, which was 50% of his base salary at the beginning of 2023, when the sales incentive plan was set. His sales incentive plan was composed of three metrics: (i) annual recurring revenue; (ii) license revenue from sales and services; and (iii) total revenue. He earned approximately 80% of target, or $169,035, from the sales incentive plan. None of the other Named Executive Officers is eligible for an award under the sales incentive plan.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Long-Term Incentive Compensation</w:t>
      </w:r>
    </w:p>
    <w:p>
      <w:pPr>
        <w:spacing w:after="0" w:line="108"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Our LTIP provides for the grant of equity awards to our NEOs, executive officers and other key employees whose responsibilities and decisions directly impact our long-term business results. We use equity awards to incentivize these individuals and in other circumstances that may arise from time to time, such as promotions and new hire arrangements. Our equity award grant practices are designed to balance four priorities: (1) our desire to motivate and retain executive talent, (2) our belief in the benefits that accrue to ACI when we align the interests of our management team with those of our stockholders, (3) our need to remain competitive in recruiting, and (4) our need to effectively manage the dilution of stockholders’ interests.</w:t>
      </w:r>
    </w:p>
    <w:p>
      <w:pPr>
        <w:spacing w:after="0" w:line="186"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In May 2023, the Compensation Committee granted regular annual long-term incentive awards to our Named Executive Officers, other than our CEO, divided equally between RSUs and PSUs that may be earned, if at all, based on our Revenue Net of Interchange Growth, Net Adjusted EBITDA Margin, and the total shareholder return of our common stock relative to the S&amp;P MidCap 400 Index (rTSR). The Compensation Committee believes this balance of time-based and performance-based equity incentivizes performance and promotes retention. In connection with our CEO’s appointment as our full time CEO in June 2023, the Compensation Committee granted the CEO a 2023 long-term incentive award with a target value of $4 million of which 65% was composed of PSUs and the remaining 35% was composed of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85725</wp:posOffset>
            </wp:positionV>
            <wp:extent cx="693420" cy="1320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3420" cy="13208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44</w:t>
      </w:r>
    </w:p>
    <w:p>
      <w:pPr>
        <w:sectPr>
          <w:pgSz w:w="11900" w:h="16838" w:orient="portrait"/>
          <w:cols w:equalWidth="0" w:num="1">
            <w:col w:w="9360"/>
          </w:cols>
          <w:pgMar w:left="1260" w:top="296" w:right="127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i w:val="1"/>
          <w:i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9310" cy="53975"/>
                    </a:xfrm>
                    <a:prstGeom prst="rect">
                      <a:avLst/>
                    </a:prstGeom>
                    <a:noFill/>
                  </pic:spPr>
                </pic:pic>
              </a:graphicData>
            </a:graphic>
          </wp:anchor>
        </w:drawing>
        <w:drawing>
          <wp:anchor simplePos="0" relativeHeight="251657728" behindDoc="1" locked="0" layoutInCell="0" allowOverlap="1">
            <wp:simplePos x="0" y="0"/>
            <wp:positionH relativeFrom="page">
              <wp:posOffset>3663315</wp:posOffset>
            </wp:positionH>
            <wp:positionV relativeFrom="page">
              <wp:posOffset>196215</wp:posOffset>
            </wp:positionV>
            <wp:extent cx="222885" cy="742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222885" cy="74295"/>
                    </a:xfrm>
                    <a:prstGeom prst="rect">
                      <a:avLst/>
                    </a:prstGeom>
                    <a:noFill/>
                  </pic:spPr>
                </pic:pic>
              </a:graphicData>
            </a:graphic>
          </wp:anchor>
        </w:drawing>
        <w:t>Annual Equity Awards for 2023</w:t>
      </w:r>
    </w:p>
    <w:p>
      <w:pPr>
        <w:spacing w:after="0" w:line="10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Typically, the size and form of the equity awards for our executive officers are determined in the discretion of the Compensation Committee based on the recommendation of our CEO (except with respect to his own equity award). Among other things, the Compensation Committee considers the values that are competitive with current market conditions using our compensation consultant’s analysis of competitive market data, the proportion of our total shares outstanding used for annual employee long-term incentive compensation awards (our “burn rate”) in relation to that of the companies in our compensation peer group, the potential dilution to our stockholders (our “overhang”) in relation to the median practice of the companies in our compensation peer group, and the other factors described under “Compensation-Setting Process – Factors Considered in Compensation Deliberations” above.</w:t>
      </w:r>
    </w:p>
    <w:p>
      <w:pPr>
        <w:spacing w:after="0" w:line="188" w:lineRule="exact"/>
        <w:rPr>
          <w:sz w:val="20"/>
          <w:szCs w:val="20"/>
          <w:color w:val="auto"/>
        </w:rPr>
      </w:pPr>
    </w:p>
    <w:p>
      <w:pPr>
        <w:ind w:right="20"/>
        <w:spacing w:after="0"/>
        <w:rPr>
          <w:sz w:val="20"/>
          <w:szCs w:val="20"/>
          <w:color w:val="auto"/>
        </w:rPr>
      </w:pPr>
      <w:r>
        <w:rPr>
          <w:rFonts w:ascii="Arial" w:cs="Arial" w:eastAsia="Arial" w:hAnsi="Arial"/>
          <w:sz w:val="16"/>
          <w:szCs w:val="16"/>
          <w:color w:val="auto"/>
        </w:rPr>
        <w:t>For 2023, we evolved the design of our PSU awards, which previously were based solely on the total shareholder return of our common stock relative to the S&amp;P 400 MidCap Index, to focus our executives on top-line Revenue Net of Interchange Growth and bottom-line Net Adjusted EBITDA Margin performance, which we consider to be key measures of our financial success that are largely within management’s direct control. We continued to incorporate total shareholder return as a multiplier, which provides strong upside potential in the event of outperformance relative to the competitive market over an approximately three-year performance period and provides a meaningful incentive even in a down market if we achieve strong relative performance. In addition, consideration of rTSR performance provides a direct link between compensation and stockholder return, thereby motivating our executive officers to focus on and strive to achieve both our annual and long-term business objectives. The Compensation Committee selected the S&amp;P 400 MidCap Index as a reference point because it tracks the investment results of similarly sized U.S. public companies and ACI was a constituent at the time of the grant.</w:t>
      </w:r>
    </w:p>
    <w:p>
      <w:pPr>
        <w:spacing w:after="0" w:line="187" w:lineRule="exact"/>
        <w:rPr>
          <w:sz w:val="20"/>
          <w:szCs w:val="20"/>
          <w:color w:val="auto"/>
        </w:rPr>
      </w:pPr>
    </w:p>
    <w:p>
      <w:pPr>
        <w:jc w:val="both"/>
        <w:ind w:right="220"/>
        <w:spacing w:after="0" w:line="293" w:lineRule="auto"/>
        <w:rPr>
          <w:sz w:val="20"/>
          <w:szCs w:val="20"/>
          <w:color w:val="auto"/>
        </w:rPr>
      </w:pPr>
      <w:r>
        <w:rPr>
          <w:rFonts w:ascii="Arial" w:cs="Arial" w:eastAsia="Arial" w:hAnsi="Arial"/>
          <w:sz w:val="14"/>
          <w:szCs w:val="14"/>
          <w:color w:val="auto"/>
        </w:rPr>
        <w:t>The target grant date fair values of the 2023 regular annual equity awards for our participating Named Executive Officers increased marginally as reflected in the table below to align with market practices for similar positions, to reflect the performance of the Named Executive Officers and the Company during the prior year, and to emphasize long-term performance-based compensation for our top executives. Ms. Guerra’s year-over-year increase reflects her increased responsibilities following her promotion in July 2022.</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target value annual equity awards granted to our Named Executive Officers, including the initial award to Messrs Warsop III and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Kuruvilla, in 2023 were as follows: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760" w:type="dxa"/>
            <w:vAlign w:val="bottom"/>
            <w:shd w:val="clear" w:color="auto" w:fill="284993"/>
          </w:tcPr>
          <w:p>
            <w:pPr>
              <w:spacing w:after="0"/>
              <w:rPr>
                <w:sz w:val="16"/>
                <w:szCs w:val="16"/>
                <w:color w:val="auto"/>
              </w:rPr>
            </w:pPr>
          </w:p>
        </w:tc>
        <w:tc>
          <w:tcPr>
            <w:tcW w:w="1820" w:type="dxa"/>
            <w:vAlign w:val="bottom"/>
            <w:shd w:val="clear" w:color="auto" w:fill="284993"/>
          </w:tcPr>
          <w:p>
            <w:pPr>
              <w:jc w:val="center"/>
              <w:ind w:left="342"/>
              <w:spacing w:after="0"/>
              <w:rPr>
                <w:sz w:val="20"/>
                <w:szCs w:val="20"/>
                <w:color w:val="auto"/>
              </w:rPr>
            </w:pPr>
            <w:r>
              <w:rPr>
                <w:rFonts w:ascii="Arial" w:cs="Arial" w:eastAsia="Arial" w:hAnsi="Arial"/>
                <w:sz w:val="16"/>
                <w:szCs w:val="16"/>
                <w:b w:val="1"/>
                <w:bCs w:val="1"/>
                <w:color w:val="FFFFFF"/>
                <w:w w:val="98"/>
              </w:rPr>
              <w:t>Target</w:t>
            </w:r>
          </w:p>
        </w:tc>
        <w:tc>
          <w:tcPr>
            <w:tcW w:w="184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5"/>
              </w:rPr>
              <w:t>Target Value of</w:t>
            </w:r>
          </w:p>
        </w:tc>
        <w:tc>
          <w:tcPr>
            <w:tcW w:w="146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5"/>
              </w:rPr>
              <w:t>Aggregate</w:t>
            </w:r>
          </w:p>
        </w:tc>
        <w:tc>
          <w:tcPr>
            <w:tcW w:w="1460" w:type="dxa"/>
            <w:vAlign w:val="bottom"/>
            <w:shd w:val="clear" w:color="auto" w:fill="284993"/>
          </w:tcPr>
          <w:p>
            <w:pPr>
              <w:jc w:val="right"/>
              <w:ind w:right="242"/>
              <w:spacing w:after="0"/>
              <w:rPr>
                <w:sz w:val="20"/>
                <w:szCs w:val="20"/>
                <w:color w:val="auto"/>
              </w:rPr>
            </w:pPr>
            <w:r>
              <w:rPr>
                <w:rFonts w:ascii="Arial" w:cs="Arial" w:eastAsia="Arial" w:hAnsi="Arial"/>
                <w:sz w:val="16"/>
                <w:szCs w:val="16"/>
                <w:b w:val="1"/>
                <w:bCs w:val="1"/>
                <w:color w:val="FFFFFF"/>
              </w:rPr>
              <w:t>Percentage</w:t>
            </w:r>
          </w:p>
        </w:tc>
      </w:tr>
      <w:tr>
        <w:trPr>
          <w:trHeight w:val="182"/>
        </w:trPr>
        <w:tc>
          <w:tcPr>
            <w:tcW w:w="2760" w:type="dxa"/>
            <w:vAlign w:val="bottom"/>
            <w:shd w:val="clear" w:color="auto" w:fill="284993"/>
          </w:tcPr>
          <w:p>
            <w:pPr>
              <w:spacing w:after="0"/>
              <w:rPr>
                <w:sz w:val="15"/>
                <w:szCs w:val="15"/>
                <w:color w:val="auto"/>
              </w:rPr>
            </w:pPr>
          </w:p>
        </w:tc>
        <w:tc>
          <w:tcPr>
            <w:tcW w:w="1820" w:type="dxa"/>
            <w:vAlign w:val="bottom"/>
            <w:shd w:val="clear" w:color="auto" w:fill="284993"/>
          </w:tcPr>
          <w:p>
            <w:pPr>
              <w:jc w:val="center"/>
              <w:ind w:left="342"/>
              <w:spacing w:after="0" w:line="182" w:lineRule="exact"/>
              <w:rPr>
                <w:sz w:val="20"/>
                <w:szCs w:val="20"/>
                <w:color w:val="auto"/>
              </w:rPr>
            </w:pPr>
            <w:r>
              <w:rPr>
                <w:rFonts w:ascii="Arial" w:cs="Arial" w:eastAsia="Arial" w:hAnsi="Arial"/>
                <w:sz w:val="16"/>
                <w:szCs w:val="16"/>
                <w:b w:val="1"/>
                <w:bCs w:val="1"/>
                <w:color w:val="FFFFFF"/>
                <w:w w:val="96"/>
              </w:rPr>
              <w:t>Value of</w:t>
            </w:r>
          </w:p>
        </w:tc>
        <w:tc>
          <w:tcPr>
            <w:tcW w:w="184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5"/>
              </w:rPr>
              <w:t>Restricted Share</w:t>
            </w:r>
          </w:p>
        </w:tc>
        <w:tc>
          <w:tcPr>
            <w:tcW w:w="146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8"/>
              </w:rPr>
              <w:t>Target</w:t>
            </w:r>
          </w:p>
        </w:tc>
        <w:tc>
          <w:tcPr>
            <w:tcW w:w="1460" w:type="dxa"/>
            <w:vAlign w:val="bottom"/>
            <w:shd w:val="clear" w:color="auto" w:fill="284993"/>
          </w:tcPr>
          <w:p>
            <w:pPr>
              <w:jc w:val="right"/>
              <w:ind w:right="342"/>
              <w:spacing w:after="0" w:line="182" w:lineRule="exact"/>
              <w:rPr>
                <w:sz w:val="20"/>
                <w:szCs w:val="20"/>
                <w:color w:val="auto"/>
              </w:rPr>
            </w:pPr>
            <w:r>
              <w:rPr>
                <w:rFonts w:ascii="Arial" w:cs="Arial" w:eastAsia="Arial" w:hAnsi="Arial"/>
                <w:sz w:val="16"/>
                <w:szCs w:val="16"/>
                <w:b w:val="1"/>
                <w:bCs w:val="1"/>
                <w:color w:val="FFFFFF"/>
              </w:rPr>
              <w:t>Increase</w:t>
            </w:r>
          </w:p>
        </w:tc>
      </w:tr>
      <w:tr>
        <w:trPr>
          <w:trHeight w:val="209"/>
        </w:trPr>
        <w:tc>
          <w:tcPr>
            <w:tcW w:w="2760" w:type="dxa"/>
            <w:vAlign w:val="bottom"/>
            <w:shd w:val="clear" w:color="auto" w:fill="284993"/>
          </w:tcPr>
          <w:p>
            <w:pPr>
              <w:ind w:left="60"/>
              <w:spacing w:after="0"/>
              <w:rPr>
                <w:sz w:val="20"/>
                <w:szCs w:val="20"/>
                <w:color w:val="auto"/>
              </w:rPr>
            </w:pPr>
            <w:r>
              <w:rPr>
                <w:rFonts w:ascii="Arial" w:cs="Arial" w:eastAsia="Arial" w:hAnsi="Arial"/>
                <w:sz w:val="16"/>
                <w:szCs w:val="16"/>
                <w:b w:val="1"/>
                <w:bCs w:val="1"/>
                <w:color w:val="FFFFFF"/>
              </w:rPr>
              <w:t>Named Executive Officer</w:t>
            </w:r>
          </w:p>
        </w:tc>
        <w:tc>
          <w:tcPr>
            <w:tcW w:w="1820" w:type="dxa"/>
            <w:vAlign w:val="bottom"/>
            <w:shd w:val="clear" w:color="auto" w:fill="284993"/>
          </w:tcPr>
          <w:p>
            <w:pPr>
              <w:jc w:val="center"/>
              <w:ind w:left="342"/>
              <w:spacing w:after="0"/>
              <w:rPr>
                <w:sz w:val="20"/>
                <w:szCs w:val="20"/>
                <w:color w:val="auto"/>
              </w:rPr>
            </w:pPr>
            <w:r>
              <w:rPr>
                <w:rFonts w:ascii="Arial" w:cs="Arial" w:eastAsia="Arial" w:hAnsi="Arial"/>
                <w:sz w:val="16"/>
                <w:szCs w:val="16"/>
                <w:b w:val="1"/>
                <w:bCs w:val="1"/>
                <w:color w:val="FFFFFF"/>
                <w:w w:val="95"/>
              </w:rPr>
              <w:t>PSUs</w:t>
            </w:r>
          </w:p>
        </w:tc>
        <w:tc>
          <w:tcPr>
            <w:tcW w:w="184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6"/>
              </w:rPr>
              <w:t>Unit Awards</w:t>
            </w:r>
          </w:p>
        </w:tc>
        <w:tc>
          <w:tcPr>
            <w:tcW w:w="146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3"/>
              </w:rPr>
              <w:t>Value</w:t>
            </w:r>
          </w:p>
        </w:tc>
        <w:tc>
          <w:tcPr>
            <w:tcW w:w="1460" w:type="dxa"/>
            <w:vAlign w:val="bottom"/>
            <w:shd w:val="clear" w:color="auto" w:fill="284993"/>
          </w:tcPr>
          <w:p>
            <w:pPr>
              <w:jc w:val="right"/>
              <w:ind w:right="302"/>
              <w:spacing w:after="0"/>
              <w:rPr>
                <w:sz w:val="20"/>
                <w:szCs w:val="20"/>
                <w:color w:val="auto"/>
              </w:rPr>
            </w:pPr>
            <w:r>
              <w:rPr>
                <w:rFonts w:ascii="Arial" w:cs="Arial" w:eastAsia="Arial" w:hAnsi="Arial"/>
                <w:sz w:val="16"/>
                <w:szCs w:val="16"/>
                <w:b w:val="1"/>
                <w:bCs w:val="1"/>
                <w:color w:val="FFFFFF"/>
              </w:rPr>
              <w:t>over 2022</w:t>
            </w:r>
          </w:p>
        </w:tc>
      </w:tr>
      <w:tr>
        <w:trPr>
          <w:trHeight w:val="182"/>
        </w:trPr>
        <w:tc>
          <w:tcPr>
            <w:tcW w:w="2760" w:type="dxa"/>
            <w:vAlign w:val="bottom"/>
          </w:tcPr>
          <w:p>
            <w:pPr>
              <w:ind w:left="60"/>
              <w:spacing w:after="0" w:line="182" w:lineRule="exact"/>
              <w:rPr>
                <w:sz w:val="20"/>
                <w:szCs w:val="20"/>
                <w:color w:val="auto"/>
              </w:rPr>
            </w:pPr>
            <w:r>
              <w:rPr>
                <w:rFonts w:ascii="Arial" w:cs="Arial" w:eastAsia="Arial" w:hAnsi="Arial"/>
                <w:sz w:val="14"/>
                <w:szCs w:val="14"/>
                <w:color w:val="auto"/>
              </w:rPr>
              <w:t>Thomas W. Warsop III</w:t>
            </w:r>
            <w:r>
              <w:rPr>
                <w:rFonts w:ascii="Arial" w:cs="Arial" w:eastAsia="Arial" w:hAnsi="Arial"/>
                <w:sz w:val="21"/>
                <w:szCs w:val="21"/>
                <w:color w:val="auto"/>
                <w:vertAlign w:val="superscript"/>
              </w:rPr>
              <w:t>(1)</w:t>
            </w:r>
          </w:p>
        </w:tc>
        <w:tc>
          <w:tcPr>
            <w:tcW w:w="1820" w:type="dxa"/>
            <w:vAlign w:val="bottom"/>
          </w:tcPr>
          <w:p>
            <w:pPr>
              <w:jc w:val="right"/>
              <w:ind w:right="202"/>
              <w:spacing w:after="0" w:line="182" w:lineRule="exact"/>
              <w:rPr>
                <w:sz w:val="20"/>
                <w:szCs w:val="20"/>
                <w:color w:val="auto"/>
              </w:rPr>
            </w:pPr>
            <w:r>
              <w:rPr>
                <w:rFonts w:ascii="Arial" w:cs="Arial" w:eastAsia="Arial" w:hAnsi="Arial"/>
                <w:sz w:val="16"/>
                <w:szCs w:val="16"/>
                <w:color w:val="auto"/>
              </w:rPr>
              <w:t>$2,600,000</w:t>
            </w:r>
          </w:p>
        </w:tc>
        <w:tc>
          <w:tcPr>
            <w:tcW w:w="1840" w:type="dxa"/>
            <w:vAlign w:val="bottom"/>
          </w:tcPr>
          <w:p>
            <w:pPr>
              <w:jc w:val="right"/>
              <w:ind w:right="242"/>
              <w:spacing w:after="0" w:line="182" w:lineRule="exact"/>
              <w:rPr>
                <w:sz w:val="20"/>
                <w:szCs w:val="20"/>
                <w:color w:val="auto"/>
              </w:rPr>
            </w:pPr>
            <w:r>
              <w:rPr>
                <w:rFonts w:ascii="Arial" w:cs="Arial" w:eastAsia="Arial" w:hAnsi="Arial"/>
                <w:sz w:val="16"/>
                <w:szCs w:val="16"/>
                <w:color w:val="auto"/>
              </w:rPr>
              <w:t>$1,400,000</w:t>
            </w:r>
          </w:p>
        </w:tc>
        <w:tc>
          <w:tcPr>
            <w:tcW w:w="1460" w:type="dxa"/>
            <w:vAlign w:val="bottom"/>
          </w:tcPr>
          <w:p>
            <w:pPr>
              <w:jc w:val="right"/>
              <w:ind w:right="242"/>
              <w:spacing w:after="0" w:line="182" w:lineRule="exact"/>
              <w:rPr>
                <w:sz w:val="20"/>
                <w:szCs w:val="20"/>
                <w:color w:val="auto"/>
              </w:rPr>
            </w:pPr>
            <w:r>
              <w:rPr>
                <w:rFonts w:ascii="Arial" w:cs="Arial" w:eastAsia="Arial" w:hAnsi="Arial"/>
                <w:sz w:val="16"/>
                <w:szCs w:val="16"/>
                <w:color w:val="auto"/>
              </w:rPr>
              <w:t>$4,000,000</w:t>
            </w:r>
          </w:p>
        </w:tc>
        <w:tc>
          <w:tcPr>
            <w:tcW w:w="1460" w:type="dxa"/>
            <w:vAlign w:val="bottom"/>
          </w:tcPr>
          <w:p>
            <w:pPr>
              <w:jc w:val="right"/>
              <w:ind w:right="222"/>
              <w:spacing w:after="0" w:line="182" w:lineRule="exact"/>
              <w:rPr>
                <w:sz w:val="20"/>
                <w:szCs w:val="20"/>
                <w:color w:val="auto"/>
              </w:rPr>
            </w:pPr>
            <w:r>
              <w:rPr>
                <w:rFonts w:ascii="Arial" w:cs="Arial" w:eastAsia="Arial" w:hAnsi="Arial"/>
                <w:sz w:val="16"/>
                <w:szCs w:val="16"/>
                <w:color w:val="auto"/>
              </w:rPr>
              <w:t>N/A</w:t>
            </w:r>
          </w:p>
        </w:tc>
      </w:tr>
      <w:tr>
        <w:trPr>
          <w:trHeight w:val="182"/>
        </w:trPr>
        <w:tc>
          <w:tcPr>
            <w:tcW w:w="2760" w:type="dxa"/>
            <w:vAlign w:val="bottom"/>
            <w:shd w:val="clear" w:color="auto" w:fill="9DBDE4"/>
          </w:tcPr>
          <w:p>
            <w:pPr>
              <w:ind w:left="60"/>
              <w:spacing w:after="0" w:line="182" w:lineRule="exact"/>
              <w:rPr>
                <w:sz w:val="20"/>
                <w:szCs w:val="20"/>
                <w:color w:val="auto"/>
              </w:rPr>
            </w:pPr>
            <w:r>
              <w:rPr>
                <w:rFonts w:ascii="Arial" w:cs="Arial" w:eastAsia="Arial" w:hAnsi="Arial"/>
                <w:sz w:val="16"/>
                <w:szCs w:val="16"/>
                <w:color w:val="auto"/>
              </w:rPr>
              <w:t>Scott W. Behrens</w:t>
            </w:r>
          </w:p>
        </w:tc>
        <w:tc>
          <w:tcPr>
            <w:tcW w:w="1820" w:type="dxa"/>
            <w:vAlign w:val="bottom"/>
            <w:shd w:val="clear" w:color="auto" w:fill="9DBDE4"/>
          </w:tcPr>
          <w:p>
            <w:pPr>
              <w:jc w:val="right"/>
              <w:ind w:right="202"/>
              <w:spacing w:after="0" w:line="182" w:lineRule="exact"/>
              <w:rPr>
                <w:sz w:val="20"/>
                <w:szCs w:val="20"/>
                <w:color w:val="auto"/>
              </w:rPr>
            </w:pPr>
            <w:r>
              <w:rPr>
                <w:rFonts w:ascii="Arial" w:cs="Arial" w:eastAsia="Arial" w:hAnsi="Arial"/>
                <w:sz w:val="16"/>
                <w:szCs w:val="16"/>
                <w:color w:val="auto"/>
              </w:rPr>
              <w:t>$1,400,000</w:t>
            </w:r>
          </w:p>
        </w:tc>
        <w:tc>
          <w:tcPr>
            <w:tcW w:w="1840" w:type="dxa"/>
            <w:vAlign w:val="bottom"/>
            <w:shd w:val="clear" w:color="auto" w:fill="9DBDE4"/>
          </w:tcPr>
          <w:p>
            <w:pPr>
              <w:jc w:val="right"/>
              <w:ind w:right="242"/>
              <w:spacing w:after="0" w:line="182" w:lineRule="exact"/>
              <w:rPr>
                <w:sz w:val="20"/>
                <w:szCs w:val="20"/>
                <w:color w:val="auto"/>
              </w:rPr>
            </w:pPr>
            <w:r>
              <w:rPr>
                <w:rFonts w:ascii="Arial" w:cs="Arial" w:eastAsia="Arial" w:hAnsi="Arial"/>
                <w:sz w:val="16"/>
                <w:szCs w:val="16"/>
                <w:color w:val="auto"/>
              </w:rPr>
              <w:t>$1,400,000</w:t>
            </w:r>
          </w:p>
        </w:tc>
        <w:tc>
          <w:tcPr>
            <w:tcW w:w="1460" w:type="dxa"/>
            <w:vAlign w:val="bottom"/>
            <w:shd w:val="clear" w:color="auto" w:fill="9DBDE4"/>
          </w:tcPr>
          <w:p>
            <w:pPr>
              <w:jc w:val="right"/>
              <w:ind w:right="242"/>
              <w:spacing w:after="0" w:line="182" w:lineRule="exact"/>
              <w:rPr>
                <w:sz w:val="20"/>
                <w:szCs w:val="20"/>
                <w:color w:val="auto"/>
              </w:rPr>
            </w:pPr>
            <w:r>
              <w:rPr>
                <w:rFonts w:ascii="Arial" w:cs="Arial" w:eastAsia="Arial" w:hAnsi="Arial"/>
                <w:sz w:val="16"/>
                <w:szCs w:val="16"/>
                <w:color w:val="auto"/>
              </w:rPr>
              <w:t>$2,800,000</w:t>
            </w:r>
          </w:p>
        </w:tc>
        <w:tc>
          <w:tcPr>
            <w:tcW w:w="1460" w:type="dxa"/>
            <w:vAlign w:val="bottom"/>
            <w:shd w:val="clear" w:color="auto" w:fill="9DBDE4"/>
          </w:tcPr>
          <w:p>
            <w:pPr>
              <w:jc w:val="right"/>
              <w:ind w:right="222"/>
              <w:spacing w:after="0" w:line="182" w:lineRule="exact"/>
              <w:rPr>
                <w:sz w:val="20"/>
                <w:szCs w:val="20"/>
                <w:color w:val="auto"/>
              </w:rPr>
            </w:pPr>
            <w:r>
              <w:rPr>
                <w:rFonts w:ascii="Arial" w:cs="Arial" w:eastAsia="Arial" w:hAnsi="Arial"/>
                <w:sz w:val="16"/>
                <w:szCs w:val="16"/>
                <w:color w:val="auto"/>
              </w:rPr>
              <w:t>7.7%</w:t>
            </w:r>
          </w:p>
        </w:tc>
      </w:tr>
      <w:tr>
        <w:trPr>
          <w:trHeight w:val="182"/>
        </w:trPr>
        <w:tc>
          <w:tcPr>
            <w:tcW w:w="2760" w:type="dxa"/>
            <w:vAlign w:val="bottom"/>
          </w:tcPr>
          <w:p>
            <w:pPr>
              <w:ind w:left="60"/>
              <w:spacing w:after="0" w:line="182" w:lineRule="exact"/>
              <w:rPr>
                <w:sz w:val="20"/>
                <w:szCs w:val="20"/>
                <w:color w:val="auto"/>
              </w:rPr>
            </w:pPr>
            <w:r>
              <w:rPr>
                <w:rFonts w:ascii="Arial" w:cs="Arial" w:eastAsia="Arial" w:hAnsi="Arial"/>
                <w:sz w:val="14"/>
                <w:szCs w:val="14"/>
                <w:color w:val="auto"/>
              </w:rPr>
              <w:t>Abraham (“Abe”) Kuruvilla</w:t>
            </w:r>
            <w:r>
              <w:rPr>
                <w:rFonts w:ascii="Arial" w:cs="Arial" w:eastAsia="Arial" w:hAnsi="Arial"/>
                <w:sz w:val="21"/>
                <w:szCs w:val="21"/>
                <w:color w:val="auto"/>
                <w:vertAlign w:val="superscript"/>
              </w:rPr>
              <w:t>(2)</w:t>
            </w:r>
          </w:p>
        </w:tc>
        <w:tc>
          <w:tcPr>
            <w:tcW w:w="1820" w:type="dxa"/>
            <w:vAlign w:val="bottom"/>
          </w:tcPr>
          <w:p>
            <w:pPr>
              <w:jc w:val="right"/>
              <w:ind w:right="202"/>
              <w:spacing w:after="0" w:line="182" w:lineRule="exact"/>
              <w:rPr>
                <w:sz w:val="20"/>
                <w:szCs w:val="20"/>
                <w:color w:val="auto"/>
              </w:rPr>
            </w:pPr>
            <w:r>
              <w:rPr>
                <w:rFonts w:ascii="Arial" w:cs="Arial" w:eastAsia="Arial" w:hAnsi="Arial"/>
                <w:sz w:val="16"/>
                <w:szCs w:val="16"/>
                <w:color w:val="auto"/>
              </w:rPr>
              <w:t>$0</w:t>
            </w:r>
          </w:p>
        </w:tc>
        <w:tc>
          <w:tcPr>
            <w:tcW w:w="1840" w:type="dxa"/>
            <w:vAlign w:val="bottom"/>
          </w:tcPr>
          <w:p>
            <w:pPr>
              <w:jc w:val="right"/>
              <w:ind w:right="242"/>
              <w:spacing w:after="0" w:line="182" w:lineRule="exact"/>
              <w:rPr>
                <w:sz w:val="20"/>
                <w:szCs w:val="20"/>
                <w:color w:val="auto"/>
              </w:rPr>
            </w:pPr>
            <w:r>
              <w:rPr>
                <w:rFonts w:ascii="Arial" w:cs="Arial" w:eastAsia="Arial" w:hAnsi="Arial"/>
                <w:sz w:val="16"/>
                <w:szCs w:val="16"/>
                <w:color w:val="auto"/>
              </w:rPr>
              <w:t>$1,600,000</w:t>
            </w:r>
          </w:p>
        </w:tc>
        <w:tc>
          <w:tcPr>
            <w:tcW w:w="1460" w:type="dxa"/>
            <w:vAlign w:val="bottom"/>
          </w:tcPr>
          <w:p>
            <w:pPr>
              <w:jc w:val="right"/>
              <w:ind w:right="242"/>
              <w:spacing w:after="0" w:line="182" w:lineRule="exact"/>
              <w:rPr>
                <w:sz w:val="20"/>
                <w:szCs w:val="20"/>
                <w:color w:val="auto"/>
              </w:rPr>
            </w:pPr>
            <w:r>
              <w:rPr>
                <w:rFonts w:ascii="Arial" w:cs="Arial" w:eastAsia="Arial" w:hAnsi="Arial"/>
                <w:sz w:val="16"/>
                <w:szCs w:val="16"/>
                <w:color w:val="auto"/>
              </w:rPr>
              <w:t>$1,600,000</w:t>
            </w:r>
          </w:p>
        </w:tc>
        <w:tc>
          <w:tcPr>
            <w:tcW w:w="1460" w:type="dxa"/>
            <w:vAlign w:val="bottom"/>
          </w:tcPr>
          <w:p>
            <w:pPr>
              <w:jc w:val="right"/>
              <w:ind w:right="222"/>
              <w:spacing w:after="0" w:line="182" w:lineRule="exact"/>
              <w:rPr>
                <w:sz w:val="20"/>
                <w:szCs w:val="20"/>
                <w:color w:val="auto"/>
              </w:rPr>
            </w:pPr>
            <w:r>
              <w:rPr>
                <w:rFonts w:ascii="Arial" w:cs="Arial" w:eastAsia="Arial" w:hAnsi="Arial"/>
                <w:sz w:val="16"/>
                <w:szCs w:val="16"/>
                <w:color w:val="auto"/>
              </w:rPr>
              <w:t>N/A</w:t>
            </w:r>
          </w:p>
        </w:tc>
      </w:tr>
      <w:tr>
        <w:trPr>
          <w:trHeight w:val="182"/>
        </w:trPr>
        <w:tc>
          <w:tcPr>
            <w:tcW w:w="2760" w:type="dxa"/>
            <w:vAlign w:val="bottom"/>
            <w:shd w:val="clear" w:color="auto" w:fill="9DBDE4"/>
          </w:tcPr>
          <w:p>
            <w:pPr>
              <w:ind w:left="60"/>
              <w:spacing w:after="0" w:line="182" w:lineRule="exact"/>
              <w:rPr>
                <w:sz w:val="20"/>
                <w:szCs w:val="20"/>
                <w:color w:val="auto"/>
              </w:rPr>
            </w:pPr>
            <w:r>
              <w:rPr>
                <w:rFonts w:ascii="Arial" w:cs="Arial" w:eastAsia="Arial" w:hAnsi="Arial"/>
                <w:sz w:val="16"/>
                <w:szCs w:val="16"/>
                <w:color w:val="auto"/>
              </w:rPr>
              <w:t>Alessandro Silva</w:t>
            </w:r>
          </w:p>
        </w:tc>
        <w:tc>
          <w:tcPr>
            <w:tcW w:w="1820" w:type="dxa"/>
            <w:vAlign w:val="bottom"/>
            <w:shd w:val="clear" w:color="auto" w:fill="9DBDE4"/>
          </w:tcPr>
          <w:p>
            <w:pPr>
              <w:jc w:val="right"/>
              <w:ind w:right="202"/>
              <w:spacing w:after="0" w:line="182" w:lineRule="exact"/>
              <w:rPr>
                <w:sz w:val="20"/>
                <w:szCs w:val="20"/>
                <w:color w:val="auto"/>
              </w:rPr>
            </w:pPr>
            <w:r>
              <w:rPr>
                <w:rFonts w:ascii="Arial" w:cs="Arial" w:eastAsia="Arial" w:hAnsi="Arial"/>
                <w:sz w:val="16"/>
                <w:szCs w:val="16"/>
                <w:color w:val="auto"/>
              </w:rPr>
              <w:t>$750,000</w:t>
            </w:r>
          </w:p>
        </w:tc>
        <w:tc>
          <w:tcPr>
            <w:tcW w:w="1840" w:type="dxa"/>
            <w:vAlign w:val="bottom"/>
            <w:shd w:val="clear" w:color="auto" w:fill="9DBDE4"/>
          </w:tcPr>
          <w:p>
            <w:pPr>
              <w:jc w:val="right"/>
              <w:ind w:right="242"/>
              <w:spacing w:after="0" w:line="182" w:lineRule="exact"/>
              <w:rPr>
                <w:sz w:val="20"/>
                <w:szCs w:val="20"/>
                <w:color w:val="auto"/>
              </w:rPr>
            </w:pPr>
            <w:r>
              <w:rPr>
                <w:rFonts w:ascii="Arial" w:cs="Arial" w:eastAsia="Arial" w:hAnsi="Arial"/>
                <w:sz w:val="16"/>
                <w:szCs w:val="16"/>
                <w:color w:val="auto"/>
              </w:rPr>
              <w:t>$750,000</w:t>
            </w:r>
          </w:p>
        </w:tc>
        <w:tc>
          <w:tcPr>
            <w:tcW w:w="1460" w:type="dxa"/>
            <w:vAlign w:val="bottom"/>
            <w:shd w:val="clear" w:color="auto" w:fill="9DBDE4"/>
          </w:tcPr>
          <w:p>
            <w:pPr>
              <w:jc w:val="right"/>
              <w:ind w:right="242"/>
              <w:spacing w:after="0" w:line="182" w:lineRule="exact"/>
              <w:rPr>
                <w:sz w:val="20"/>
                <w:szCs w:val="20"/>
                <w:color w:val="auto"/>
              </w:rPr>
            </w:pPr>
            <w:r>
              <w:rPr>
                <w:rFonts w:ascii="Arial" w:cs="Arial" w:eastAsia="Arial" w:hAnsi="Arial"/>
                <w:sz w:val="16"/>
                <w:szCs w:val="16"/>
                <w:color w:val="auto"/>
              </w:rPr>
              <w:t>$1,500,000</w:t>
            </w:r>
          </w:p>
        </w:tc>
        <w:tc>
          <w:tcPr>
            <w:tcW w:w="1460" w:type="dxa"/>
            <w:vAlign w:val="bottom"/>
            <w:shd w:val="clear" w:color="auto" w:fill="9DBDE4"/>
          </w:tcPr>
          <w:p>
            <w:pPr>
              <w:jc w:val="right"/>
              <w:ind w:right="222"/>
              <w:spacing w:after="0" w:line="182" w:lineRule="exact"/>
              <w:rPr>
                <w:sz w:val="20"/>
                <w:szCs w:val="20"/>
                <w:color w:val="auto"/>
              </w:rPr>
            </w:pPr>
            <w:r>
              <w:rPr>
                <w:rFonts w:ascii="Arial" w:cs="Arial" w:eastAsia="Arial" w:hAnsi="Arial"/>
                <w:sz w:val="16"/>
                <w:szCs w:val="16"/>
                <w:color w:val="auto"/>
              </w:rPr>
              <w:t>11.1%</w:t>
            </w:r>
          </w:p>
        </w:tc>
      </w:tr>
      <w:tr>
        <w:trPr>
          <w:trHeight w:val="182"/>
        </w:trPr>
        <w:tc>
          <w:tcPr>
            <w:tcW w:w="2760" w:type="dxa"/>
            <w:vAlign w:val="bottom"/>
            <w:tcBorders>
              <w:bottom w:val="single" w:sz="8" w:color="284993"/>
            </w:tcBorders>
          </w:tcPr>
          <w:p>
            <w:pPr>
              <w:ind w:left="60"/>
              <w:spacing w:after="0" w:line="182" w:lineRule="exact"/>
              <w:rPr>
                <w:sz w:val="20"/>
                <w:szCs w:val="20"/>
                <w:color w:val="auto"/>
              </w:rPr>
            </w:pPr>
            <w:r>
              <w:rPr>
                <w:rFonts w:ascii="Arial" w:cs="Arial" w:eastAsia="Arial" w:hAnsi="Arial"/>
                <w:sz w:val="16"/>
                <w:szCs w:val="16"/>
                <w:color w:val="auto"/>
              </w:rPr>
              <w:t>Deborah L. Guerra</w:t>
            </w:r>
          </w:p>
        </w:tc>
        <w:tc>
          <w:tcPr>
            <w:tcW w:w="1820" w:type="dxa"/>
            <w:vAlign w:val="bottom"/>
            <w:tcBorders>
              <w:bottom w:val="single" w:sz="8" w:color="284993"/>
            </w:tcBorders>
          </w:tcPr>
          <w:p>
            <w:pPr>
              <w:jc w:val="right"/>
              <w:ind w:right="202"/>
              <w:spacing w:after="0" w:line="182" w:lineRule="exact"/>
              <w:rPr>
                <w:sz w:val="20"/>
                <w:szCs w:val="20"/>
                <w:color w:val="auto"/>
              </w:rPr>
            </w:pPr>
            <w:r>
              <w:rPr>
                <w:rFonts w:ascii="Arial" w:cs="Arial" w:eastAsia="Arial" w:hAnsi="Arial"/>
                <w:sz w:val="16"/>
                <w:szCs w:val="16"/>
                <w:color w:val="auto"/>
              </w:rPr>
              <w:t>$750,000</w:t>
            </w:r>
          </w:p>
        </w:tc>
        <w:tc>
          <w:tcPr>
            <w:tcW w:w="1840" w:type="dxa"/>
            <w:vAlign w:val="bottom"/>
            <w:tcBorders>
              <w:bottom w:val="single" w:sz="8" w:color="284993"/>
            </w:tcBorders>
          </w:tcPr>
          <w:p>
            <w:pPr>
              <w:jc w:val="right"/>
              <w:ind w:right="242"/>
              <w:spacing w:after="0" w:line="182" w:lineRule="exact"/>
              <w:rPr>
                <w:sz w:val="20"/>
                <w:szCs w:val="20"/>
                <w:color w:val="auto"/>
              </w:rPr>
            </w:pPr>
            <w:r>
              <w:rPr>
                <w:rFonts w:ascii="Arial" w:cs="Arial" w:eastAsia="Arial" w:hAnsi="Arial"/>
                <w:sz w:val="16"/>
                <w:szCs w:val="16"/>
                <w:color w:val="auto"/>
              </w:rPr>
              <w:t>$750,000</w:t>
            </w:r>
          </w:p>
        </w:tc>
        <w:tc>
          <w:tcPr>
            <w:tcW w:w="1460" w:type="dxa"/>
            <w:vAlign w:val="bottom"/>
            <w:tcBorders>
              <w:bottom w:val="single" w:sz="8" w:color="284993"/>
            </w:tcBorders>
          </w:tcPr>
          <w:p>
            <w:pPr>
              <w:jc w:val="right"/>
              <w:ind w:right="242"/>
              <w:spacing w:after="0" w:line="182" w:lineRule="exact"/>
              <w:rPr>
                <w:sz w:val="20"/>
                <w:szCs w:val="20"/>
                <w:color w:val="auto"/>
              </w:rPr>
            </w:pPr>
            <w:r>
              <w:rPr>
                <w:rFonts w:ascii="Arial" w:cs="Arial" w:eastAsia="Arial" w:hAnsi="Arial"/>
                <w:sz w:val="16"/>
                <w:szCs w:val="16"/>
                <w:color w:val="auto"/>
              </w:rPr>
              <w:t>$1,500,000</w:t>
            </w:r>
          </w:p>
        </w:tc>
        <w:tc>
          <w:tcPr>
            <w:tcW w:w="1460" w:type="dxa"/>
            <w:vAlign w:val="bottom"/>
            <w:tcBorders>
              <w:bottom w:val="single" w:sz="8" w:color="284993"/>
            </w:tcBorders>
          </w:tcPr>
          <w:p>
            <w:pPr>
              <w:jc w:val="right"/>
              <w:ind w:right="222"/>
              <w:spacing w:after="0" w:line="182" w:lineRule="exact"/>
              <w:rPr>
                <w:sz w:val="20"/>
                <w:szCs w:val="20"/>
                <w:color w:val="auto"/>
              </w:rPr>
            </w:pPr>
            <w:r>
              <w:rPr>
                <w:rFonts w:ascii="Arial" w:cs="Arial" w:eastAsia="Arial" w:hAnsi="Arial"/>
                <w:sz w:val="16"/>
                <w:szCs w:val="16"/>
                <w:color w:val="auto"/>
              </w:rPr>
              <w:t>87.5%</w:t>
            </w:r>
          </w:p>
        </w:tc>
      </w:tr>
    </w:tbl>
    <w:p>
      <w:pPr>
        <w:spacing w:after="0" w:line="60" w:lineRule="exact"/>
        <w:rPr>
          <w:sz w:val="20"/>
          <w:szCs w:val="20"/>
          <w:color w:val="auto"/>
        </w:rPr>
      </w:pPr>
    </w:p>
    <w:p>
      <w:pPr>
        <w:ind w:left="280" w:right="220" w:hanging="274"/>
        <w:spacing w:after="0" w:line="201" w:lineRule="auto"/>
        <w:tabs>
          <w:tab w:leader="none" w:pos="280" w:val="left"/>
        </w:tabs>
        <w:numPr>
          <w:ilvl w:val="0"/>
          <w:numId w:val="40"/>
        </w:numPr>
        <w:rPr>
          <w:rFonts w:ascii="Arial" w:cs="Arial" w:eastAsia="Arial" w:hAnsi="Arial"/>
          <w:sz w:val="18"/>
          <w:szCs w:val="18"/>
          <w:color w:val="auto"/>
          <w:vertAlign w:val="superscript"/>
        </w:rPr>
      </w:pPr>
      <w:r>
        <w:rPr>
          <w:rFonts w:ascii="Arial" w:cs="Arial" w:eastAsia="Arial" w:hAnsi="Arial"/>
          <w:sz w:val="12"/>
          <w:szCs w:val="12"/>
          <w:color w:val="auto"/>
        </w:rPr>
        <w:t>In connection with his transition from interim to our full time CEO June 1, 2023, Mr. Warsop III received an equity award reflecting his mid-year appointment as our full time CEO.</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45</w:t>
      </w:r>
    </w:p>
    <w:p>
      <w:pPr>
        <w:sectPr>
          <w:pgSz w:w="11900" w:h="16838" w:orient="portrait"/>
          <w:cols w:equalWidth="0" w:num="1">
            <w:col w:w="9360"/>
          </w:cols>
          <w:pgMar w:left="1260" w:top="616" w:right="1279" w:bottom="1440" w:gutter="0" w:footer="0" w:header="0"/>
        </w:sectPr>
      </w:pPr>
    </w:p>
    <w:bookmarkStart w:id="51" w:name="page52"/>
    <w:bookmarkEnd w:id="51"/>
    <w:p>
      <w:pPr>
        <w:ind w:left="280" w:hanging="274"/>
        <w:spacing w:after="0" w:line="201" w:lineRule="auto"/>
        <w:tabs>
          <w:tab w:leader="none" w:pos="280" w:val="left"/>
        </w:tabs>
        <w:numPr>
          <w:ilvl w:val="0"/>
          <w:numId w:val="41"/>
        </w:numPr>
        <w:rPr>
          <w:rFonts w:ascii="Arial" w:cs="Arial" w:eastAsia="Arial" w:hAnsi="Arial"/>
          <w:sz w:val="18"/>
          <w:szCs w:val="18"/>
          <w:color w:val="auto"/>
          <w:vertAlign w:val="superscript"/>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Mr. Kuruvilla was granted a service-vesting RSU award in connection with his hiring in 2023. For 2024, he received an annual equity award that was composed equally of RSUs and PSUs.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PSU Awards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284993"/>
        </w:rPr>
        <w:t>Vesting Conditions</w:t>
      </w:r>
    </w:p>
    <w:p>
      <w:pPr>
        <w:spacing w:after="0" w:line="102"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The PSUs granted in 2023 give our executive officers the opportunity to earn shares of our common stock based on our performance over an approximately three-year performance period. Vesting of the PSUs generally is subject to the recipient’s continued employment through the entire performance period, except in the case of death, long-term disability, involuntary terminations without cause, and certain qualifying (double-trigger) terminations in connection with a change in control, as described in the section titled “Post-Termination Benefits Under Incentive Plans.”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284993"/>
        </w:rPr>
        <w:t>Revenue Net of Interchange Growth and Net Adjusted EBITDA Margin Metrics</w:t>
      </w:r>
    </w:p>
    <w:p>
      <w:pPr>
        <w:spacing w:after="0" w:line="102"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We set goals for Revenue Net of Interchange Growth (60% weighting) and Net Adjusted EBITDA Margin (40% weighting) annually for each annual period within the performance period to ensure that the goals are appropriately rigorous and that the results relative to the goals are not disproportionately impacted by unforeseeable market factors outside our executives’ control. This approach provides a performance and retention incentive over the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139065</wp:posOffset>
            </wp:positionV>
            <wp:extent cx="222885" cy="742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22885" cy="7429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One-third of the target PSUs awarded (“Tranche 1”) was tied to 2023 Revenue Net of Interchange Growth and 2023 Net Adjusted EBITDA Margin goals that the Compensation Committee established based on ACI’s annual operating plan. The remaining two-thirds of the target shares awarded will be tied to the Revenue Net of Interchange Growth and Net Adjusted EBITDA Margin goals for 2024 and 2025 fiscal years (“Tranche 2” and “Tranche 3”), which will be set by the Compensation Committee at the beginning of each fiscal year based on ACI’s annual operating plan at the time.</w:t>
      </w:r>
    </w:p>
    <w:p>
      <w:pPr>
        <w:spacing w:after="0" w:line="182"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The actual Revenue Net of Interchange Growth and Net Adjusted EBITDA Margin results will be used to determine the percentage of target shares—ranging from 0% to 200%—credited from each of the three award tranches.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72390</wp:posOffset>
            </wp:positionV>
            <wp:extent cx="701675" cy="1320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1675" cy="13208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46</w:t>
      </w:r>
    </w:p>
    <w:p>
      <w:pPr>
        <w:sectPr>
          <w:pgSz w:w="11900" w:h="16838" w:orient="portrait"/>
          <w:cols w:equalWidth="0" w:num="1">
            <w:col w:w="9340"/>
          </w:cols>
          <w:pgMar w:left="1260" w:top="291" w:right="1299" w:bottom="1440" w:gutter="0" w:footer="0" w:header="0"/>
        </w:sectPr>
      </w:pPr>
    </w:p>
    <w:bookmarkStart w:id="52" w:name="page53"/>
    <w:bookmarkEnd w:id="52"/>
    <w:p>
      <w:pPr>
        <w:ind w:right="100"/>
        <w:spacing w:after="0" w:line="28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At the end of the performance period for Tranche 1, based on our Revenue Net of Interchange Growth and Adjusted EBITDA results, the Tranche 1 shares were notionally earned at 112.2% of target. See table below. The Tranche 1 shares notionally earned based on these results are “banked” for each continuing Named Executive Officer for the remainder of the three-year performance period. When the full performance period ends on December 31, 2025, the sum of the shares credited for each tranche of shares may be modified based on ACI’s rTSR rank for an approximately three-year performance period ending March 1, 2026,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122555</wp:posOffset>
            </wp:positionV>
            <wp:extent cx="198120" cy="1155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8120" cy="11557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284993"/>
        </w:rPr>
        <w:t>rTSR Multiplier</w:t>
      </w:r>
    </w:p>
    <w:p>
      <w:pPr>
        <w:spacing w:after="0" w:line="102"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The rTSR multiplier has the potential to increase or decrease the number of shares each Named Executive Officer ultimately receives by up to 20% based on the total shareholder return of our common stock relative to the S&amp;P 400 MidCap Index over the three-year period from May 11, 2023 through the first twenty trading days of March 2026. If the relative total shareholder return performance of our common stock achieves specified performance levels, then our executive officers’ “banked” share totals will be modified upwards or downwards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3035935</wp:posOffset>
            </wp:positionH>
            <wp:positionV relativeFrom="paragraph">
              <wp:posOffset>139700</wp:posOffset>
            </wp:positionV>
            <wp:extent cx="8255" cy="6108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610870"/>
                    </a:xfrm>
                    <a:prstGeom prst="rect">
                      <a:avLst/>
                    </a:prstGeom>
                    <a:noFill/>
                  </pic:spPr>
                </pic:pic>
              </a:graphicData>
            </a:graphic>
          </wp:anchor>
        </w:drawing>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4620" w:type="dxa"/>
            <w:vAlign w:val="bottom"/>
            <w:shd w:val="clear" w:color="auto" w:fill="284993"/>
          </w:tcPr>
          <w:p>
            <w:pPr>
              <w:ind w:left="1860"/>
              <w:spacing w:after="0"/>
              <w:rPr>
                <w:sz w:val="20"/>
                <w:szCs w:val="20"/>
                <w:color w:val="auto"/>
              </w:rPr>
            </w:pPr>
            <w:r>
              <w:rPr>
                <w:rFonts w:ascii="Arial" w:cs="Arial" w:eastAsia="Arial" w:hAnsi="Arial"/>
                <w:sz w:val="16"/>
                <w:szCs w:val="16"/>
                <w:b w:val="1"/>
                <w:bCs w:val="1"/>
                <w:color w:val="FFFFFF"/>
              </w:rPr>
              <w:t>Performance</w:t>
            </w:r>
          </w:p>
        </w:tc>
        <w:tc>
          <w:tcPr>
            <w:tcW w:w="4160" w:type="dxa"/>
            <w:vAlign w:val="bottom"/>
            <w:shd w:val="clear" w:color="auto" w:fill="284993"/>
          </w:tcPr>
          <w:p>
            <w:pPr>
              <w:spacing w:after="0"/>
              <w:rPr>
                <w:sz w:val="16"/>
                <w:szCs w:val="16"/>
                <w:color w:val="auto"/>
              </w:rPr>
            </w:pPr>
          </w:p>
        </w:tc>
      </w:tr>
      <w:tr>
        <w:trPr>
          <w:trHeight w:val="196"/>
        </w:trPr>
        <w:tc>
          <w:tcPr>
            <w:tcW w:w="462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8"/>
              </w:rPr>
              <w:t>(Percentile Ranking)</w:t>
            </w:r>
          </w:p>
        </w:tc>
        <w:tc>
          <w:tcPr>
            <w:tcW w:w="4160" w:type="dxa"/>
            <w:vAlign w:val="bottom"/>
            <w:shd w:val="clear" w:color="auto" w:fill="284993"/>
          </w:tcPr>
          <w:p>
            <w:pPr>
              <w:ind w:left="820"/>
              <w:spacing w:after="0"/>
              <w:rPr>
                <w:sz w:val="20"/>
                <w:szCs w:val="20"/>
                <w:color w:val="auto"/>
              </w:rPr>
            </w:pPr>
            <w:r>
              <w:rPr>
                <w:rFonts w:ascii="Arial" w:cs="Arial" w:eastAsia="Arial" w:hAnsi="Arial"/>
                <w:sz w:val="16"/>
                <w:szCs w:val="16"/>
                <w:b w:val="1"/>
                <w:bCs w:val="1"/>
                <w:color w:val="FFFFFF"/>
              </w:rPr>
              <w:t>rTSR Multiplier Impact on Payouts</w:t>
            </w:r>
          </w:p>
        </w:tc>
      </w:tr>
      <w:tr>
        <w:trPr>
          <w:trHeight w:val="195"/>
        </w:trPr>
        <w:tc>
          <w:tcPr>
            <w:tcW w:w="4620" w:type="dxa"/>
            <w:vAlign w:val="bottom"/>
          </w:tcPr>
          <w:p>
            <w:pPr>
              <w:jc w:val="center"/>
              <w:spacing w:after="0" w:line="194" w:lineRule="exact"/>
              <w:rPr>
                <w:sz w:val="20"/>
                <w:szCs w:val="20"/>
                <w:color w:val="auto"/>
              </w:rPr>
            </w:pPr>
            <w:r>
              <w:rPr>
                <w:rFonts w:ascii="Arial" w:cs="Arial" w:eastAsia="Arial" w:hAnsi="Arial"/>
                <w:sz w:val="15"/>
                <w:szCs w:val="15"/>
                <w:color w:val="auto"/>
              </w:rPr>
              <w:t>Less than or equal to 25</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w:t>
            </w:r>
          </w:p>
        </w:tc>
        <w:tc>
          <w:tcPr>
            <w:tcW w:w="4160" w:type="dxa"/>
            <w:vAlign w:val="bottom"/>
          </w:tcPr>
          <w:p>
            <w:pPr>
              <w:jc w:val="center"/>
              <w:spacing w:after="0"/>
              <w:rPr>
                <w:sz w:val="20"/>
                <w:szCs w:val="20"/>
                <w:color w:val="auto"/>
              </w:rPr>
            </w:pPr>
            <w:r>
              <w:rPr>
                <w:rFonts w:ascii="Arial" w:cs="Arial" w:eastAsia="Arial" w:hAnsi="Arial"/>
                <w:sz w:val="17"/>
                <w:szCs w:val="17"/>
                <w:color w:val="auto"/>
              </w:rPr>
              <w:t>(20%)</w:t>
            </w:r>
          </w:p>
        </w:tc>
      </w:tr>
      <w:tr>
        <w:trPr>
          <w:trHeight w:val="195"/>
        </w:trPr>
        <w:tc>
          <w:tcPr>
            <w:tcW w:w="4620" w:type="dxa"/>
            <w:vAlign w:val="bottom"/>
            <w:shd w:val="clear" w:color="auto" w:fill="9DBDE4"/>
          </w:tcPr>
          <w:p>
            <w:pPr>
              <w:jc w:val="center"/>
              <w:spacing w:after="0" w:line="194" w:lineRule="exact"/>
              <w:rPr>
                <w:sz w:val="20"/>
                <w:szCs w:val="20"/>
                <w:color w:val="auto"/>
              </w:rPr>
            </w:pPr>
            <w:r>
              <w:rPr>
                <w:rFonts w:ascii="Arial" w:cs="Arial" w:eastAsia="Arial" w:hAnsi="Arial"/>
                <w:sz w:val="15"/>
                <w:szCs w:val="15"/>
                <w:color w:val="auto"/>
              </w:rPr>
              <w:t>50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w:t>
            </w:r>
          </w:p>
        </w:tc>
        <w:tc>
          <w:tcPr>
            <w:tcW w:w="4160" w:type="dxa"/>
            <w:vAlign w:val="bottom"/>
            <w:shd w:val="clear" w:color="auto" w:fill="9DBDE4"/>
          </w:tcPr>
          <w:p>
            <w:pPr>
              <w:jc w:val="center"/>
              <w:spacing w:after="0"/>
              <w:rPr>
                <w:sz w:val="20"/>
                <w:szCs w:val="20"/>
                <w:color w:val="auto"/>
              </w:rPr>
            </w:pPr>
            <w:r>
              <w:rPr>
                <w:rFonts w:ascii="Arial" w:cs="Arial" w:eastAsia="Arial" w:hAnsi="Arial"/>
                <w:sz w:val="17"/>
                <w:szCs w:val="17"/>
                <w:color w:val="auto"/>
                <w:w w:val="97"/>
              </w:rPr>
              <w:t>0%</w:t>
            </w:r>
          </w:p>
        </w:tc>
      </w:tr>
      <w:tr>
        <w:trPr>
          <w:trHeight w:val="195"/>
        </w:trPr>
        <w:tc>
          <w:tcPr>
            <w:tcW w:w="4620" w:type="dxa"/>
            <w:vAlign w:val="bottom"/>
            <w:tcBorders>
              <w:bottom w:val="single" w:sz="8" w:color="284993"/>
            </w:tcBorders>
          </w:tcPr>
          <w:p>
            <w:pPr>
              <w:jc w:val="center"/>
              <w:spacing w:after="0" w:line="194" w:lineRule="exact"/>
              <w:rPr>
                <w:sz w:val="20"/>
                <w:szCs w:val="20"/>
                <w:color w:val="auto"/>
              </w:rPr>
            </w:pPr>
            <w:r>
              <w:rPr>
                <w:rFonts w:ascii="Arial" w:cs="Arial" w:eastAsia="Arial" w:hAnsi="Arial"/>
                <w:sz w:val="15"/>
                <w:szCs w:val="15"/>
                <w:color w:val="auto"/>
              </w:rPr>
              <w:t>Greater than or equal to 75</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w:t>
            </w:r>
          </w:p>
        </w:tc>
        <w:tc>
          <w:tcPr>
            <w:tcW w:w="4160" w:type="dxa"/>
            <w:vAlign w:val="bottom"/>
            <w:tcBorders>
              <w:bottom w:val="single" w:sz="8" w:color="284993"/>
            </w:tcBorders>
          </w:tcPr>
          <w:p>
            <w:pPr>
              <w:jc w:val="center"/>
              <w:spacing w:after="0"/>
              <w:rPr>
                <w:sz w:val="20"/>
                <w:szCs w:val="20"/>
                <w:color w:val="auto"/>
              </w:rPr>
            </w:pPr>
            <w:r>
              <w:rPr>
                <w:rFonts w:ascii="Arial" w:cs="Arial" w:eastAsia="Arial" w:hAnsi="Arial"/>
                <w:sz w:val="17"/>
                <w:szCs w:val="17"/>
                <w:color w:val="auto"/>
                <w:w w:val="99"/>
              </w:rPr>
              <w:t>20%</w:t>
            </w:r>
          </w:p>
        </w:tc>
      </w:tr>
    </w:tbl>
    <w:p>
      <w:pPr>
        <w:spacing w:after="0" w:line="105" w:lineRule="exact"/>
        <w:rPr>
          <w:sz w:val="20"/>
          <w:szCs w:val="20"/>
          <w:color w:val="auto"/>
        </w:rPr>
      </w:pPr>
    </w:p>
    <w:p>
      <w:pPr>
        <w:jc w:val="both"/>
        <w:ind w:left="360" w:right="560" w:hanging="263"/>
        <w:spacing w:after="0" w:line="251" w:lineRule="auto"/>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the relative total shareholder return performance of our common stock is between the specified percentage ranges in the performance matrix, the Compensation Committee will determine the award multiplier percentage earned by mathematical interpolation and rounded to the nearest whole share.</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84993"/>
        </w:rPr>
        <w:t>Restricted Share Units</w:t>
      </w:r>
    </w:p>
    <w:p>
      <w:pPr>
        <w:spacing w:after="0" w:line="108" w:lineRule="exact"/>
        <w:rPr>
          <w:sz w:val="20"/>
          <w:szCs w:val="20"/>
          <w:color w:val="auto"/>
        </w:rPr>
      </w:pPr>
    </w:p>
    <w:p>
      <w:pPr>
        <w:ind w:right="140"/>
        <w:spacing w:after="0" w:line="304" w:lineRule="auto"/>
        <w:rPr>
          <w:sz w:val="20"/>
          <w:szCs w:val="20"/>
          <w:color w:val="auto"/>
        </w:rPr>
      </w:pPr>
      <w:r>
        <w:rPr>
          <w:rFonts w:ascii="Arial" w:cs="Arial" w:eastAsia="Arial" w:hAnsi="Arial"/>
          <w:sz w:val="14"/>
          <w:szCs w:val="14"/>
          <w:color w:val="auto"/>
        </w:rPr>
        <w:t>We provided grants of RSUs in 2023 to increase the long-term retention power of our equity compensation and to align with the competitive market. Since the ultimate value of an RSU is based on our stock price at the time the RSU vests, we believe that there is strong alignment with stockholders’ interests while increasing our retention hold on our key executive and employee talent.</w:t>
      </w:r>
    </w:p>
    <w:p>
      <w:pPr>
        <w:spacing w:after="0" w:line="142" w:lineRule="exact"/>
        <w:rPr>
          <w:sz w:val="20"/>
          <w:szCs w:val="20"/>
          <w:color w:val="auto"/>
        </w:rPr>
      </w:pPr>
    </w:p>
    <w:p>
      <w:pPr>
        <w:ind w:right="620"/>
        <w:spacing w:after="0" w:line="336" w:lineRule="auto"/>
        <w:rPr>
          <w:sz w:val="20"/>
          <w:szCs w:val="20"/>
          <w:color w:val="auto"/>
        </w:rPr>
      </w:pPr>
      <w:r>
        <w:rPr>
          <w:rFonts w:ascii="Arial" w:cs="Arial" w:eastAsia="Arial" w:hAnsi="Arial"/>
          <w:sz w:val="14"/>
          <w:szCs w:val="14"/>
          <w:color w:val="auto"/>
        </w:rPr>
        <w:t>The RSUs granted to our executive officers in 2023 generally will vest in equal quarterly instalments over a three-year period commencing on the first quarter after the date of grant, subject to the grantee’s continued employment as of each vesting date.</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47</w:t>
      </w:r>
    </w:p>
    <w:p>
      <w:pPr>
        <w:sectPr>
          <w:pgSz w:w="11900" w:h="16838" w:orient="portrait"/>
          <w:cols w:equalWidth="0" w:num="1">
            <w:col w:w="9360"/>
          </w:cols>
          <w:pgMar w:left="1260" w:top="296" w:right="1279" w:bottom="1440" w:gutter="0" w:footer="0" w:header="0"/>
        </w:sectPr>
      </w:pPr>
    </w:p>
    <w:bookmarkStart w:id="53" w:name="page54"/>
    <w:bookmarkEnd w:id="53"/>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Performance Results for Prior Equity Awards</w:t>
      </w:r>
    </w:p>
    <w:p>
      <w:pPr>
        <w:spacing w:after="0" w:line="124" w:lineRule="exact"/>
        <w:rPr>
          <w:sz w:val="20"/>
          <w:szCs w:val="20"/>
          <w:color w:val="auto"/>
        </w:rPr>
      </w:pPr>
    </w:p>
    <w:p>
      <w:pPr>
        <w:ind w:right="200"/>
        <w:spacing w:after="0" w:line="246" w:lineRule="auto"/>
        <w:rPr>
          <w:sz w:val="20"/>
          <w:szCs w:val="20"/>
          <w:color w:val="auto"/>
        </w:rPr>
      </w:pPr>
      <w:r>
        <w:rPr>
          <w:rFonts w:ascii="Arial" w:cs="Arial" w:eastAsia="Arial" w:hAnsi="Arial"/>
          <w:sz w:val="16"/>
          <w:szCs w:val="16"/>
          <w:color w:val="auto"/>
        </w:rPr>
        <w:t>In 2021, we granted to our Named Executive Officers PSUs that could be earned based on relative total shareholder return performance (“rTSR awards”). The rTSR awards had a three-year performance period beginning on January 1, 2021, and ending on December 31, 2023. Among the current Named Executive Officers, only Mr. Behrens and Ms. Guerra received these rTSR awards in 2021.</w:t>
      </w:r>
    </w:p>
    <w:p>
      <w:pPr>
        <w:spacing w:after="0" w:line="18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For the rTSR awards, we measured ACI’s total shareholder return relative to the S&amp;P 400 MidCap Index over the three-year performance period described above. Based on performance relative to the S&amp;P 400 MidCap Index, the rTSR awards could have been earned as illustrated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2994660</wp:posOffset>
            </wp:positionH>
            <wp:positionV relativeFrom="paragraph">
              <wp:posOffset>136525</wp:posOffset>
            </wp:positionV>
            <wp:extent cx="8255" cy="7423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742315"/>
                    </a:xfrm>
                    <a:prstGeom prst="rect">
                      <a:avLst/>
                    </a:prstGeom>
                    <a:noFill/>
                  </pic:spPr>
                </pic:pic>
              </a:graphicData>
            </a:graphic>
          </wp:anchor>
        </w:drawing>
      </w:r>
    </w:p>
    <w:p>
      <w:pPr>
        <w:spacing w:after="0" w:line="193" w:lineRule="exact"/>
        <w:rPr>
          <w:sz w:val="20"/>
          <w:szCs w:val="20"/>
          <w:color w:val="auto"/>
        </w:rPr>
      </w:pPr>
    </w:p>
    <w:tbl>
      <w:tblPr>
        <w:tblLayout w:type="fixed"/>
        <w:tblInd w:w="2360" w:type="dxa"/>
        <w:tblCellMar>
          <w:top w:w="0" w:type="dxa"/>
          <w:left w:w="0" w:type="dxa"/>
          <w:bottom w:w="0" w:type="dxa"/>
          <w:right w:w="0" w:type="dxa"/>
        </w:tblCellMar>
      </w:tblPr>
      <w:tr>
        <w:trPr>
          <w:trHeight w:val="184"/>
        </w:trPr>
        <w:tc>
          <w:tcPr>
            <w:tcW w:w="236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7"/>
              </w:rPr>
              <w:t>Percentile Ranking</w:t>
            </w:r>
          </w:p>
        </w:tc>
        <w:tc>
          <w:tcPr>
            <w:tcW w:w="2300" w:type="dxa"/>
            <w:vAlign w:val="bottom"/>
            <w:shd w:val="clear" w:color="auto" w:fill="284993"/>
          </w:tcPr>
          <w:p>
            <w:pPr>
              <w:ind w:left="500"/>
              <w:spacing w:after="0"/>
              <w:rPr>
                <w:sz w:val="20"/>
                <w:szCs w:val="20"/>
                <w:color w:val="auto"/>
              </w:rPr>
            </w:pPr>
            <w:r>
              <w:rPr>
                <w:rFonts w:ascii="Arial" w:cs="Arial" w:eastAsia="Arial" w:hAnsi="Arial"/>
                <w:sz w:val="16"/>
                <w:szCs w:val="16"/>
                <w:b w:val="1"/>
                <w:bCs w:val="1"/>
                <w:color w:val="FFFFFF"/>
              </w:rPr>
              <w:t>Payout Percentage</w:t>
            </w:r>
          </w:p>
        </w:tc>
      </w:tr>
      <w:tr>
        <w:trPr>
          <w:trHeight w:val="195"/>
        </w:trPr>
        <w:tc>
          <w:tcPr>
            <w:tcW w:w="2360" w:type="dxa"/>
            <w:vAlign w:val="bottom"/>
          </w:tcPr>
          <w:p>
            <w:pPr>
              <w:jc w:val="center"/>
              <w:spacing w:after="0" w:line="194" w:lineRule="exact"/>
              <w:rPr>
                <w:sz w:val="20"/>
                <w:szCs w:val="20"/>
                <w:color w:val="auto"/>
              </w:rPr>
            </w:pPr>
            <w:r>
              <w:rPr>
                <w:rFonts w:ascii="Arial" w:cs="Arial" w:eastAsia="Arial" w:hAnsi="Arial"/>
                <w:sz w:val="15"/>
                <w:szCs w:val="15"/>
                <w:color w:val="auto"/>
              </w:rPr>
              <w:t>&lt;25</w:t>
            </w:r>
            <w:r>
              <w:rPr>
                <w:rFonts w:ascii="Arial" w:cs="Arial" w:eastAsia="Arial" w:hAnsi="Arial"/>
                <w:sz w:val="22"/>
                <w:szCs w:val="22"/>
                <w:color w:val="auto"/>
                <w:vertAlign w:val="superscript"/>
              </w:rPr>
              <w:t>th</w:t>
            </w:r>
          </w:p>
        </w:tc>
        <w:tc>
          <w:tcPr>
            <w:tcW w:w="2300" w:type="dxa"/>
            <w:vAlign w:val="bottom"/>
          </w:tcPr>
          <w:p>
            <w:pPr>
              <w:jc w:val="center"/>
              <w:ind w:left="35"/>
              <w:spacing w:after="0"/>
              <w:rPr>
                <w:sz w:val="20"/>
                <w:szCs w:val="20"/>
                <w:color w:val="auto"/>
              </w:rPr>
            </w:pPr>
            <w:r>
              <w:rPr>
                <w:rFonts w:ascii="Arial" w:cs="Arial" w:eastAsia="Arial" w:hAnsi="Arial"/>
                <w:sz w:val="17"/>
                <w:szCs w:val="17"/>
                <w:color w:val="auto"/>
              </w:rPr>
              <w:t>0%</w:t>
            </w:r>
          </w:p>
        </w:tc>
      </w:tr>
      <w:tr>
        <w:trPr>
          <w:trHeight w:val="195"/>
        </w:trPr>
        <w:tc>
          <w:tcPr>
            <w:tcW w:w="2360" w:type="dxa"/>
            <w:vAlign w:val="bottom"/>
            <w:shd w:val="clear" w:color="auto" w:fill="9DBDE4"/>
          </w:tcPr>
          <w:p>
            <w:pPr>
              <w:jc w:val="center"/>
              <w:spacing w:after="0" w:line="194" w:lineRule="exact"/>
              <w:rPr>
                <w:sz w:val="20"/>
                <w:szCs w:val="20"/>
                <w:color w:val="auto"/>
              </w:rPr>
            </w:pPr>
            <w:r>
              <w:rPr>
                <w:rFonts w:ascii="Arial" w:cs="Arial" w:eastAsia="Arial" w:hAnsi="Arial"/>
                <w:sz w:val="22"/>
                <w:szCs w:val="22"/>
                <w:color w:val="auto"/>
                <w:vertAlign w:val="subscript"/>
              </w:rPr>
              <w:t>25</w:t>
            </w:r>
            <w:r>
              <w:rPr>
                <w:rFonts w:ascii="Arial" w:cs="Arial" w:eastAsia="Arial" w:hAnsi="Arial"/>
                <w:sz w:val="10"/>
                <w:szCs w:val="10"/>
                <w:color w:val="auto"/>
              </w:rPr>
              <w:t>th</w:t>
            </w:r>
          </w:p>
        </w:tc>
        <w:tc>
          <w:tcPr>
            <w:tcW w:w="2300" w:type="dxa"/>
            <w:vAlign w:val="bottom"/>
            <w:shd w:val="clear" w:color="auto" w:fill="9DBDE4"/>
          </w:tcPr>
          <w:p>
            <w:pPr>
              <w:jc w:val="center"/>
              <w:ind w:left="35"/>
              <w:spacing w:after="0"/>
              <w:rPr>
                <w:sz w:val="20"/>
                <w:szCs w:val="20"/>
                <w:color w:val="auto"/>
              </w:rPr>
            </w:pPr>
            <w:r>
              <w:rPr>
                <w:rFonts w:ascii="Arial" w:cs="Arial" w:eastAsia="Arial" w:hAnsi="Arial"/>
                <w:sz w:val="17"/>
                <w:szCs w:val="17"/>
                <w:color w:val="auto"/>
                <w:w w:val="99"/>
              </w:rPr>
              <w:t>50%</w:t>
            </w:r>
          </w:p>
        </w:tc>
      </w:tr>
      <w:tr>
        <w:trPr>
          <w:trHeight w:val="195"/>
        </w:trPr>
        <w:tc>
          <w:tcPr>
            <w:tcW w:w="2360" w:type="dxa"/>
            <w:vAlign w:val="bottom"/>
          </w:tcPr>
          <w:p>
            <w:pPr>
              <w:jc w:val="center"/>
              <w:spacing w:after="0" w:line="194" w:lineRule="exact"/>
              <w:rPr>
                <w:sz w:val="20"/>
                <w:szCs w:val="20"/>
                <w:color w:val="auto"/>
              </w:rPr>
            </w:pPr>
            <w:r>
              <w:rPr>
                <w:rFonts w:ascii="Arial" w:cs="Arial" w:eastAsia="Arial" w:hAnsi="Arial"/>
                <w:sz w:val="15"/>
                <w:szCs w:val="15"/>
                <w:color w:val="auto"/>
              </w:rPr>
              <w:t>50</w:t>
            </w:r>
            <w:r>
              <w:rPr>
                <w:rFonts w:ascii="Arial" w:cs="Arial" w:eastAsia="Arial" w:hAnsi="Arial"/>
                <w:sz w:val="22"/>
                <w:szCs w:val="22"/>
                <w:color w:val="auto"/>
                <w:vertAlign w:val="superscript"/>
              </w:rPr>
              <w:t>th</w:t>
            </w:r>
          </w:p>
        </w:tc>
        <w:tc>
          <w:tcPr>
            <w:tcW w:w="2300" w:type="dxa"/>
            <w:vAlign w:val="bottom"/>
          </w:tcPr>
          <w:p>
            <w:pPr>
              <w:jc w:val="center"/>
              <w:ind w:left="35"/>
              <w:spacing w:after="0"/>
              <w:rPr>
                <w:sz w:val="20"/>
                <w:szCs w:val="20"/>
                <w:color w:val="auto"/>
              </w:rPr>
            </w:pPr>
            <w:r>
              <w:rPr>
                <w:rFonts w:ascii="Arial" w:cs="Arial" w:eastAsia="Arial" w:hAnsi="Arial"/>
                <w:sz w:val="17"/>
                <w:szCs w:val="17"/>
                <w:color w:val="auto"/>
                <w:w w:val="99"/>
              </w:rPr>
              <w:t>95%</w:t>
            </w:r>
          </w:p>
        </w:tc>
      </w:tr>
      <w:tr>
        <w:trPr>
          <w:trHeight w:val="195"/>
        </w:trPr>
        <w:tc>
          <w:tcPr>
            <w:tcW w:w="2360" w:type="dxa"/>
            <w:vAlign w:val="bottom"/>
            <w:shd w:val="clear" w:color="auto" w:fill="9DBDE4"/>
          </w:tcPr>
          <w:p>
            <w:pPr>
              <w:jc w:val="center"/>
              <w:spacing w:after="0" w:line="194" w:lineRule="exact"/>
              <w:rPr>
                <w:sz w:val="20"/>
                <w:szCs w:val="20"/>
                <w:color w:val="auto"/>
              </w:rPr>
            </w:pPr>
            <w:r>
              <w:rPr>
                <w:rFonts w:ascii="Arial" w:cs="Arial" w:eastAsia="Arial" w:hAnsi="Arial"/>
                <w:sz w:val="15"/>
                <w:szCs w:val="15"/>
                <w:color w:val="auto"/>
              </w:rPr>
              <w:t>55</w:t>
            </w:r>
            <w:r>
              <w:rPr>
                <w:rFonts w:ascii="Arial" w:cs="Arial" w:eastAsia="Arial" w:hAnsi="Arial"/>
                <w:sz w:val="22"/>
                <w:szCs w:val="22"/>
                <w:color w:val="auto"/>
                <w:vertAlign w:val="superscript"/>
              </w:rPr>
              <w:t>th</w:t>
            </w:r>
          </w:p>
        </w:tc>
        <w:tc>
          <w:tcPr>
            <w:tcW w:w="2300" w:type="dxa"/>
            <w:vAlign w:val="bottom"/>
            <w:shd w:val="clear" w:color="auto" w:fill="9DBDE4"/>
          </w:tcPr>
          <w:p>
            <w:pPr>
              <w:jc w:val="center"/>
              <w:ind w:left="15"/>
              <w:spacing w:after="0"/>
              <w:rPr>
                <w:sz w:val="20"/>
                <w:szCs w:val="20"/>
                <w:color w:val="auto"/>
              </w:rPr>
            </w:pPr>
            <w:r>
              <w:rPr>
                <w:rFonts w:ascii="Arial" w:cs="Arial" w:eastAsia="Arial" w:hAnsi="Arial"/>
                <w:sz w:val="17"/>
                <w:szCs w:val="17"/>
                <w:color w:val="auto"/>
              </w:rPr>
              <w:t>100%</w:t>
            </w:r>
          </w:p>
        </w:tc>
      </w:tr>
      <w:tr>
        <w:trPr>
          <w:trHeight w:val="195"/>
        </w:trPr>
        <w:tc>
          <w:tcPr>
            <w:tcW w:w="2360" w:type="dxa"/>
            <w:vAlign w:val="bottom"/>
            <w:tcBorders>
              <w:bottom w:val="single" w:sz="8" w:color="284993"/>
            </w:tcBorders>
          </w:tcPr>
          <w:p>
            <w:pPr>
              <w:jc w:val="center"/>
              <w:spacing w:after="0" w:line="194" w:lineRule="exact"/>
              <w:rPr>
                <w:sz w:val="20"/>
                <w:szCs w:val="20"/>
                <w:color w:val="auto"/>
              </w:rPr>
            </w:pPr>
            <w:r>
              <w:rPr>
                <w:rFonts w:ascii="Arial" w:cs="Arial" w:eastAsia="Arial" w:hAnsi="Arial"/>
                <w:sz w:val="15"/>
                <w:szCs w:val="15"/>
                <w:color w:val="auto"/>
              </w:rPr>
              <w:t>&gt;=75</w:t>
            </w:r>
            <w:r>
              <w:rPr>
                <w:rFonts w:ascii="Arial" w:cs="Arial" w:eastAsia="Arial" w:hAnsi="Arial"/>
                <w:sz w:val="22"/>
                <w:szCs w:val="22"/>
                <w:color w:val="auto"/>
                <w:vertAlign w:val="superscript"/>
              </w:rPr>
              <w:t>th</w:t>
            </w:r>
          </w:p>
        </w:tc>
        <w:tc>
          <w:tcPr>
            <w:tcW w:w="2300" w:type="dxa"/>
            <w:vAlign w:val="bottom"/>
            <w:tcBorders>
              <w:bottom w:val="single" w:sz="8" w:color="284993"/>
            </w:tcBorders>
          </w:tcPr>
          <w:p>
            <w:pPr>
              <w:jc w:val="center"/>
              <w:ind w:left="15"/>
              <w:spacing w:after="0"/>
              <w:rPr>
                <w:sz w:val="20"/>
                <w:szCs w:val="20"/>
                <w:color w:val="auto"/>
              </w:rPr>
            </w:pPr>
            <w:r>
              <w:rPr>
                <w:rFonts w:ascii="Arial" w:cs="Arial" w:eastAsia="Arial" w:hAnsi="Arial"/>
                <w:sz w:val="17"/>
                <w:szCs w:val="17"/>
                <w:color w:val="auto"/>
              </w:rPr>
              <w:t>200%</w:t>
            </w:r>
          </w:p>
        </w:tc>
      </w:tr>
    </w:tbl>
    <w:p>
      <w:pPr>
        <w:spacing w:after="0" w:line="196" w:lineRule="exact"/>
        <w:rPr>
          <w:sz w:val="20"/>
          <w:szCs w:val="20"/>
          <w:color w:val="auto"/>
        </w:rPr>
      </w:pPr>
    </w:p>
    <w:p>
      <w:pPr>
        <w:ind w:right="100"/>
        <w:spacing w:after="0" w:line="207" w:lineRule="auto"/>
        <w:rPr>
          <w:sz w:val="20"/>
          <w:szCs w:val="20"/>
          <w:color w:val="auto"/>
        </w:rPr>
      </w:pPr>
      <w:r>
        <w:rPr>
          <w:rFonts w:ascii="Arial" w:cs="Arial" w:eastAsia="Arial" w:hAnsi="Arial"/>
          <w:sz w:val="16"/>
          <w:szCs w:val="16"/>
          <w:color w:val="auto"/>
        </w:rPr>
        <w:t>Based on ACI’s TSR of -23% during the period, we ranked at the 18</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 of the S&amp;P 400 MidCap Index, which resulted in a 0% payout under the 2021 rTSR awards.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2024 Annual Equity Awards</w:t>
      </w:r>
    </w:p>
    <w:p>
      <w:pPr>
        <w:spacing w:after="0" w:line="108"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In considering our 2024 annual equity awards, the Compensation Committee continued to refine the design of our performance based awards to enhance the effectiveness of our executive compensation program. For 2024, the performance based awards are based on our revenue growth rate, the goals for which were set at the time of grant. The Compensation Committee determined to use revenue rather than Revenue Net of Interchange to differentiate the performance goal from the STIP and to provide a more balanced approach to our incentive compensation since both gross and Revenue Net of Interchange are important financial metrics for us. The awards continue to be subject to a rTSR modifier at the end of a three year performance period based on our performance against the S&amp;P 600 SmallCap Index. We changed the index to the S&amp;P 600 SmallCap Index to align with the index in which we are currently a constituent.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66040</wp:posOffset>
            </wp:positionV>
            <wp:extent cx="693420" cy="1320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3420" cy="13208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48</w:t>
      </w:r>
    </w:p>
    <w:p>
      <w:pPr>
        <w:sectPr>
          <w:pgSz w:w="11900" w:h="16838" w:orient="portrait"/>
          <w:cols w:equalWidth="0" w:num="1">
            <w:col w:w="9340"/>
          </w:cols>
          <w:pgMar w:left="1260" w:top="286" w:right="1299" w:bottom="1440" w:gutter="0" w:footer="0" w:header="0"/>
        </w:sectPr>
      </w:pPr>
    </w:p>
    <w:bookmarkStart w:id="54" w:name="page55"/>
    <w:bookmarkEnd w:id="54"/>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Compensation-Setting Process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Role of the Compensation Committee</w:t>
      </w:r>
    </w:p>
    <w:p>
      <w:pPr>
        <w:spacing w:after="0" w:line="108"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The Compensation Committee discharges the responsibilities of our Board relating to the compensation of our executive officers, with input from all our independent directors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is responsible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154940</wp:posOffset>
            </wp:positionV>
            <wp:extent cx="4852035" cy="26320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852035" cy="263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We compete for talent in a highly competitive environment, and our future success and our ability to remain competitive depend on our continuing efforts to attract, retain, and motivate highly qualified executives. The Compensation Committee strives to develop and maintain competitive compensation arrangements that balance our need to hire and retain the best possible talent and our desire to maintain a reasonable and responsible cost structure.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Compensation Review Cycle</w:t>
      </w:r>
    </w:p>
    <w:p>
      <w:pPr>
        <w:spacing w:after="0" w:line="108" w:lineRule="exact"/>
        <w:rPr>
          <w:sz w:val="20"/>
          <w:szCs w:val="20"/>
          <w:color w:val="auto"/>
        </w:rPr>
      </w:pPr>
    </w:p>
    <w:p>
      <w:pPr>
        <w:ind w:right="180"/>
        <w:spacing w:after="0" w:line="241" w:lineRule="auto"/>
        <w:rPr>
          <w:sz w:val="20"/>
          <w:szCs w:val="20"/>
          <w:color w:val="auto"/>
        </w:rPr>
      </w:pPr>
      <w:r>
        <w:rPr>
          <w:rFonts w:ascii="Arial" w:cs="Arial" w:eastAsia="Arial" w:hAnsi="Arial"/>
          <w:sz w:val="16"/>
          <w:szCs w:val="16"/>
          <w:color w:val="auto"/>
        </w:rPr>
        <w:t>The Compensation Committee conducts an annual review of our executive compensation program generally and the compensation arrangements for each of our executive officers in particular. During this review, the Compensation Committee evaluates each executive officer’s base salary level, target annual incentive compensation opportunity, target total cash compensation opportunity, long-term incentive compensation opportunity, target total direct compensation, and any other compensation-related items. Generally, base salary adjustments are effective at the beginning of July of each year, with equity grants typically made in March after the announcement of the prior year’s financial results. Each fiscal quarter, the Compensation Committee tracks our financial and operational performance and the corresponding projected payments under the STIP, as well as the then-current performance of the rTSR PSUs previously granted to our executive officers, as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Role of Our CEO and Management Team</w:t>
      </w:r>
    </w:p>
    <w:p>
      <w:pPr>
        <w:spacing w:after="0" w:line="108"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In discharging its responsibilities, the Compensation Committee works with members of our management team, including our CEO. Our CEO evaluates the performance and development of each executive officer (other than himself) and based on these evaluations, provides recommendations to the Compensation Committee for any adjustments for the other executive officers to base salaries, target annual incentive compensation opportunities, long-term incentive compensation opportunities, and other compensation-related matters (such as discretionary cash bonuses and supplemental equity awards). Our management team assists the Compensation Committee by providing information on corporate and individual performance as well as our CEO’s perspective and recommendations on compensation matters. In addition, our management team recommends to the Compensation Committee the performance measures and related target levels for the STIP program, which are typically based on our annual operating plan. The management team also recommends the forms of equity awards for our long-term incentive compensation program.</w:t>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49</w:t>
      </w:r>
    </w:p>
    <w:p>
      <w:pPr>
        <w:sectPr>
          <w:pgSz w:w="11900" w:h="16838" w:orient="portrait"/>
          <w:cols w:equalWidth="0" w:num="1">
            <w:col w:w="9360"/>
          </w:cols>
          <w:pgMar w:left="1260" w:top="286" w:right="1279" w:bottom="1440" w:gutter="0" w:footer="0" w:header="0"/>
        </w:sectPr>
      </w:pPr>
    </w:p>
    <w:bookmarkStart w:id="55" w:name="page56"/>
    <w:bookmarkEnd w:id="55"/>
    <w:p>
      <w:pPr>
        <w:ind w:right="60"/>
        <w:spacing w:after="0" w:line="25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The Compensation Committee first reviews and discusses the CEO’s recommendations, and then considers a range of other factors (as described below) before approving compensation for our Named Executive Officers. Our CEO is not present for any Compensation Committee discussions about and does not make any recommendations regarding his own compensation.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Factors Considered in Compensation Deliberation</w:t>
      </w:r>
    </w:p>
    <w:p>
      <w:pPr>
        <w:spacing w:after="0" w:line="108"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The Compensation Committee considers and discusses changes to our Named Executive Officer compensation based largely on the factors listed below, which are the same factors that the CEO uses in making recommendations to the Compensation Committee . The Compensation Committee does not use a single method or measure in approving the target total direct compensation opportunities or individual compensation elements for our executive officers and does not assign specific weightings to any of the factors it considers. These factors simply provide a framework for the Compensation Committee’s decision-making.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139700</wp:posOffset>
            </wp:positionV>
            <wp:extent cx="5503545" cy="26320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03545" cy="263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Role of the Compensation Consultant</w:t>
      </w:r>
    </w:p>
    <w:p>
      <w:pPr>
        <w:spacing w:after="0" w:line="108" w:lineRule="exact"/>
        <w:rPr>
          <w:sz w:val="20"/>
          <w:szCs w:val="20"/>
          <w:color w:val="auto"/>
        </w:rPr>
      </w:pPr>
    </w:p>
    <w:p>
      <w:pPr>
        <w:ind w:right="300"/>
        <w:spacing w:after="0" w:line="246" w:lineRule="auto"/>
        <w:rPr>
          <w:sz w:val="20"/>
          <w:szCs w:val="20"/>
          <w:color w:val="auto"/>
        </w:rPr>
      </w:pPr>
      <w:r>
        <w:rPr>
          <w:rFonts w:ascii="Arial" w:cs="Arial" w:eastAsia="Arial" w:hAnsi="Arial"/>
          <w:sz w:val="16"/>
          <w:szCs w:val="16"/>
          <w:color w:val="auto"/>
        </w:rPr>
        <w:t>As permitted under its charter, the Compensation Committee engages an external compensation consultant to assist it by providing information, analysis and other advice relating to our executive compensation program and the decisions resulting from its annual executive compensation review. The Compensation Committee directly engages the compensation consultant, which serves at the discretion of the Compensation Committee, and reviews the terms of the engagement annually.</w:t>
      </w:r>
    </w:p>
    <w:p>
      <w:pPr>
        <w:spacing w:after="0" w:line="181"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For 2023, the Compensation Committee continued to retain Compensia, Inc., a national independent compensation consulting firm, to serve as its compensation consultant. Compensia reported directly, and was directly accountable, to the Compensation Committee, and the Compensation Committee retained the sole authority to retain, terminate and obtain the advice of its compensation consultant at the Company’s expense.</w:t>
      </w:r>
    </w:p>
    <w:p>
      <w:pPr>
        <w:spacing w:after="0" w:line="181" w:lineRule="exact"/>
        <w:rPr>
          <w:sz w:val="20"/>
          <w:szCs w:val="20"/>
          <w:color w:val="auto"/>
        </w:rPr>
      </w:pPr>
    </w:p>
    <w:p>
      <w:pPr>
        <w:jc w:val="both"/>
        <w:ind w:right="80"/>
        <w:spacing w:after="0" w:line="246" w:lineRule="auto"/>
        <w:rPr>
          <w:sz w:val="20"/>
          <w:szCs w:val="20"/>
          <w:color w:val="auto"/>
        </w:rPr>
      </w:pPr>
      <w:r>
        <w:rPr>
          <w:rFonts w:ascii="Arial" w:cs="Arial" w:eastAsia="Arial" w:hAnsi="Arial"/>
          <w:sz w:val="16"/>
          <w:szCs w:val="16"/>
          <w:color w:val="auto"/>
        </w:rPr>
        <w:t>The Compensation Committee selected Compensia as its compensation consultant because of Compensia’s expertise and reputation and the fact that Compensia provided no other services to the Company at the time of selection, had no ties to our management team that could jeopardize their independent status, and had strong internal governance policies that help ensure the firm would maintain its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81280</wp:posOffset>
            </wp:positionV>
            <wp:extent cx="693420" cy="1403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3420" cy="14033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50</w:t>
      </w:r>
    </w:p>
    <w:p>
      <w:pPr>
        <w:sectPr>
          <w:pgSz w:w="11900" w:h="16838" w:orient="portrait"/>
          <w:cols w:equalWidth="0" w:num="1">
            <w:col w:w="9340"/>
          </w:cols>
          <w:pgMar w:left="1260" w:top="296" w:right="1299" w:bottom="1440" w:gutter="0" w:footer="0" w:header="0"/>
        </w:sectPr>
      </w:pPr>
    </w:p>
    <w:bookmarkStart w:id="56" w:name="page57"/>
    <w:bookmarkEnd w:id="56"/>
    <w:p>
      <w:pPr>
        <w:ind w:right="280"/>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During 2023, representatives of Compensia regularly attended the meetings of the Compensation Committee (both with and without management present) and provided the following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130175</wp:posOffset>
            </wp:positionV>
            <wp:extent cx="5742940" cy="45053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42940" cy="4505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In 2023, Compensia did not provide any services to us except those listed above. The Compensation Committee regularly reviews the objectivity and independence of the advice provided by its compensation consultant. With respect to 2023, the Compensation Committee considered the six specific independence factors adopted by the SEC and the NASDAQ Stock Market and determined that Compensia was independent and that their work did not raise any conflicts of interest. The Compensation Committee will continue to monitor the independence of its compensation consultant on an annual basis.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Market Data</w:t>
      </w:r>
    </w:p>
    <w:p>
      <w:pPr>
        <w:spacing w:after="0" w:line="108"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Each year, the Compensation Committee identifies a group of peer companies for purposes of comparing and analyzing our executive compensation levels, policies, and practices against the competitive market. The companies in the compensation peer group for 2023 were selected in June 2022 based on their similarity to us, as determined using the following criteria:</w:t>
      </w:r>
    </w:p>
    <w:p>
      <w:pPr>
        <w:spacing w:after="0" w:line="85" w:lineRule="exact"/>
        <w:rPr>
          <w:sz w:val="20"/>
          <w:szCs w:val="20"/>
          <w:color w:val="auto"/>
        </w:rPr>
      </w:pPr>
    </w:p>
    <w:p>
      <w:pPr>
        <w:ind w:left="180" w:hanging="174"/>
        <w:spacing w:after="0"/>
        <w:tabs>
          <w:tab w:leader="none" w:pos="1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Companies in the software or information technology services industries;</w:t>
      </w:r>
    </w:p>
    <w:p>
      <w:pPr>
        <w:spacing w:after="0" w:line="114" w:lineRule="exact"/>
        <w:rPr>
          <w:rFonts w:ascii="Arial" w:cs="Arial" w:eastAsia="Arial" w:hAnsi="Arial"/>
          <w:sz w:val="16"/>
          <w:szCs w:val="16"/>
          <w:color w:val="auto"/>
        </w:rPr>
      </w:pPr>
    </w:p>
    <w:p>
      <w:pPr>
        <w:ind w:left="180" w:right="480" w:hanging="174"/>
        <w:spacing w:after="0" w:line="264" w:lineRule="auto"/>
        <w:tabs>
          <w:tab w:leader="none" w:pos="1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Companies with a similar focus in terms of products or customers that would likely compete against us for financial capital and employees;</w:t>
      </w:r>
    </w:p>
    <w:p>
      <w:pPr>
        <w:spacing w:after="0" w:line="76" w:lineRule="exact"/>
        <w:rPr>
          <w:rFonts w:ascii="Arial" w:cs="Arial" w:eastAsia="Arial" w:hAnsi="Arial"/>
          <w:sz w:val="16"/>
          <w:szCs w:val="16"/>
          <w:color w:val="auto"/>
        </w:rPr>
      </w:pPr>
    </w:p>
    <w:p>
      <w:pPr>
        <w:ind w:left="180" w:hanging="174"/>
        <w:spacing w:after="0"/>
        <w:tabs>
          <w:tab w:leader="none" w:pos="1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Companies with revenue ranging between 50% and 200% of our trailing twelve months’ revenue,</w:t>
      </w:r>
    </w:p>
    <w:p>
      <w:pPr>
        <w:spacing w:after="0" w:line="114" w:lineRule="exact"/>
        <w:rPr>
          <w:rFonts w:ascii="Arial" w:cs="Arial" w:eastAsia="Arial" w:hAnsi="Arial"/>
          <w:sz w:val="16"/>
          <w:szCs w:val="16"/>
          <w:color w:val="auto"/>
        </w:rPr>
      </w:pPr>
    </w:p>
    <w:p>
      <w:pPr>
        <w:ind w:left="180" w:hanging="174"/>
        <w:spacing w:after="0"/>
        <w:tabs>
          <w:tab w:leader="none" w:pos="1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and a market capitalization ranging between 25% and 400% of our then-current market capitalization; and</w:t>
      </w:r>
    </w:p>
    <w:p>
      <w:pPr>
        <w:spacing w:after="0" w:line="114" w:lineRule="exact"/>
        <w:rPr>
          <w:rFonts w:ascii="Arial" w:cs="Arial" w:eastAsia="Arial" w:hAnsi="Arial"/>
          <w:sz w:val="16"/>
          <w:szCs w:val="16"/>
          <w:color w:val="auto"/>
        </w:rPr>
      </w:pPr>
    </w:p>
    <w:p>
      <w:pPr>
        <w:ind w:left="180" w:hanging="174"/>
        <w:spacing w:after="0"/>
        <w:tabs>
          <w:tab w:leader="none" w:pos="1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Independent publicly traded companies headquartered in the U.S.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51</w:t>
      </w:r>
    </w:p>
    <w:p>
      <w:pPr>
        <w:sectPr>
          <w:pgSz w:w="11900" w:h="16838" w:orient="portrait"/>
          <w:cols w:equalWidth="0" w:num="1">
            <w:col w:w="9360"/>
          </w:cols>
          <w:pgMar w:left="1260" w:top="296" w:right="1279" w:bottom="1440" w:gutter="0" w:footer="0" w:header="0"/>
        </w:sectPr>
      </w:pPr>
    </w:p>
    <w:bookmarkStart w:id="57" w:name="page58"/>
    <w:bookmarkEnd w:id="57"/>
    <w:p>
      <w:pPr>
        <w:spacing w:after="0" w:line="24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The Compensation Committee reviews our compensation peer group at least annually and adjusts its composition, considering changes in our business and the businesses of the peer companies. After consultation with its compensation consultant, the Compensation Committee made adjustments to our peer group as appropriate taking into consideration our selection criteria and merger and acquisition activity over the past year and approved the compensation peer group set forth below for use with respect to 2023 executive compensation decisions. To analyze the compensation practices of the companies in our compensation peer group, the compensation consultant gathered data from public filings (primarily proxy statements) and from a custom cut of companies that participate in the Radford Global Technology Survey. The Compensation Committee used this market data as a reference to assess our compensation levels during its deliberations on compensation forms and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141605</wp:posOffset>
            </wp:positionV>
            <wp:extent cx="5487035" cy="3308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487035"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52</w:t>
      </w:r>
    </w:p>
    <w:p>
      <w:pPr>
        <w:sectPr>
          <w:pgSz w:w="11900" w:h="16838" w:orient="portrait"/>
          <w:cols w:equalWidth="0" w:num="1">
            <w:col w:w="9340"/>
          </w:cols>
          <w:pgMar w:left="1260" w:top="296" w:right="1299" w:bottom="1440" w:gutter="0" w:footer="0" w:header="0"/>
        </w:sectPr>
      </w:pPr>
    </w:p>
    <w:bookmarkStart w:id="58" w:name="page59"/>
    <w:bookmarkEnd w:id="58"/>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Employee Benefit Plans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Overview</w:t>
      </w:r>
    </w:p>
    <w:p>
      <w:pPr>
        <w:spacing w:after="0" w:line="108" w:lineRule="exact"/>
        <w:rPr>
          <w:sz w:val="20"/>
          <w:szCs w:val="20"/>
          <w:color w:val="auto"/>
        </w:rPr>
      </w:pPr>
    </w:p>
    <w:p>
      <w:pPr>
        <w:ind w:right="440"/>
        <w:spacing w:after="0" w:line="251" w:lineRule="auto"/>
        <w:rPr>
          <w:sz w:val="20"/>
          <w:szCs w:val="20"/>
          <w:color w:val="auto"/>
        </w:rPr>
      </w:pPr>
      <w:r>
        <w:rPr>
          <w:rFonts w:ascii="Arial" w:cs="Arial" w:eastAsia="Arial" w:hAnsi="Arial"/>
          <w:sz w:val="16"/>
          <w:szCs w:val="16"/>
          <w:color w:val="auto"/>
        </w:rPr>
        <w:t>We seek to provide our executive officers, including our Named Executive Officers, with health, retirement, and other benefits at a reasonable cost consistent with the health, retirement and other benefits provided at the companies with which we compete for executive talent.</w:t>
      </w:r>
    </w:p>
    <w:p>
      <w:pPr>
        <w:spacing w:after="0" w:line="176"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We maintain a tax-qualified Section 401(k) retirement plan that provides for broad-based employee participation. For 2023, we matched contributions made to the plan by our employees, including our Named Executive Officers, beginning on the first anniversary of a participant’s date of hire, up to 6% of the participant’s base salary, with an annual match limit of $5,000 per participant. All employer and employee contributions are 100% vested immediately. We intend for the plan to qualify under Section 401(a) of the Internal Revenue Code of 1986, as amended (the “Internal Revenue Code”) so that contributions by participants to the plan, and income earned on plan contributions, are not taxable to participants until withdrawn from the plan.</w:t>
      </w:r>
    </w:p>
    <w:p>
      <w:pPr>
        <w:spacing w:after="0" w:line="186"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We also offer substantially all our employees, including our Named Executive Officers, the opportunity to purchase shares of our common stock at a discount under our employee stock purchase plan. Under this plan, participants may contribute up to 10% of their base salary (subject to certain Internal Revenue Service limits) to purchase shares of our common stock at the end of each participation period. Participation periods are the three months ending on April 30, July 31, October 31, and January 31 of each year. Shares are purchased at a price equal to 85% of the fair market value of our common stock on the last day of a participation period.</w:t>
      </w:r>
    </w:p>
    <w:p>
      <w:pPr>
        <w:spacing w:after="0" w:line="15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provide other benefits to our Named Executive Officers on the same basis as all of our full-time employees, including medical, dental and vision insurance; medical and dependent care flexible spending accounts; health savings account; short-term and long-term disability insurance; accidental death and dismemberment insurance; and basic life insurance coverage.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Non-Qualified Deferred Compensation Plan</w:t>
      </w:r>
    </w:p>
    <w:p>
      <w:pPr>
        <w:spacing w:after="0" w:line="108" w:lineRule="exact"/>
        <w:rPr>
          <w:sz w:val="20"/>
          <w:szCs w:val="20"/>
          <w:color w:val="auto"/>
        </w:rPr>
      </w:pPr>
    </w:p>
    <w:p>
      <w:pPr>
        <w:ind w:right="260"/>
        <w:spacing w:after="0" w:line="336" w:lineRule="auto"/>
        <w:rPr>
          <w:sz w:val="20"/>
          <w:szCs w:val="20"/>
          <w:color w:val="auto"/>
        </w:rPr>
      </w:pPr>
      <w:r>
        <w:rPr>
          <w:rFonts w:ascii="Arial" w:cs="Arial" w:eastAsia="Arial" w:hAnsi="Arial"/>
          <w:sz w:val="14"/>
          <w:szCs w:val="14"/>
          <w:color w:val="auto"/>
        </w:rPr>
        <w:t>We maintain a non-qualified deferred compensation plan in which a select group of executive officers and other highly compensated employees, including our Named Executive Officers, may elect to participate as part of our market-competitive benefit programs.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Perquisites and Other Personal Benefits</w:t>
      </w:r>
    </w:p>
    <w:p>
      <w:pPr>
        <w:spacing w:after="0" w:line="108"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We do not provide any significant perquisites to our executive officers, including our Named Executive Officers, except in situations where we believe it is appropriate to assist an individual in the performance of his or her duties, to make our executive officers more efficient and effective, and for recruitment and retention purposes. Currently, we do not view perquisites or other personal benefits as a significant component of our executive compensation program, and we do not expect that they will be in the future.</w:t>
      </w:r>
    </w:p>
    <w:p>
      <w:pPr>
        <w:spacing w:after="0" w:line="181"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Beginning January 1, 2022, we introduced an annual health check-up for our executive officers, including our Named Executive Officers, through the Mayo Clinic Executive Health Program. All future practices with respect to perquisites or other personal benefits will be approved and subject to periodic review by the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Post-Employment Compensation Arrangements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Severance and Change in Control Arrangements</w:t>
      </w:r>
    </w:p>
    <w:p>
      <w:pPr>
        <w:spacing w:after="0" w:line="108" w:lineRule="exact"/>
        <w:rPr>
          <w:sz w:val="20"/>
          <w:szCs w:val="20"/>
          <w:color w:val="auto"/>
        </w:rPr>
      </w:pPr>
    </w:p>
    <w:p>
      <w:pPr>
        <w:ind w:right="360"/>
        <w:spacing w:after="0" w:line="246" w:lineRule="auto"/>
        <w:rPr>
          <w:sz w:val="20"/>
          <w:szCs w:val="20"/>
          <w:color w:val="auto"/>
        </w:rPr>
      </w:pPr>
      <w:r>
        <w:rPr>
          <w:rFonts w:ascii="Arial" w:cs="Arial" w:eastAsia="Arial" w:hAnsi="Arial"/>
          <w:sz w:val="16"/>
          <w:szCs w:val="16"/>
          <w:color w:val="auto"/>
        </w:rPr>
        <w:t>We seek to provide our executive officers with post-employment compensation arrangements that are consistent with the post-employment payments and benefits provided at the companies with which we compete for executive talent. We believe that having reasonable and competitive post-employment compensation arrangements is essential to attracting and retaining highly qualified executive officers.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Our post-employment compensation arrangements are designed to provide reasonable compensation to executive officers who leave us under certain circumstances and to keep executive officers working to achieve our goals despite a possible</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53</w:t>
      </w:r>
    </w:p>
    <w:p>
      <w:pPr>
        <w:sectPr>
          <w:pgSz w:w="11900" w:h="16838" w:orient="portrait"/>
          <w:cols w:equalWidth="0" w:num="1">
            <w:col w:w="9360"/>
          </w:cols>
          <w:pgMar w:left="1260" w:top="286" w:right="1279" w:bottom="1440" w:gutter="0" w:footer="0" w:header="0"/>
        </w:sectPr>
      </w:pPr>
    </w:p>
    <w:bookmarkStart w:id="59" w:name="page60"/>
    <w:bookmarkEnd w:id="59"/>
    <w:p>
      <w:pPr>
        <w:spacing w:after="0" w:line="2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change in control of the Company. In particular, our change in control arrangements are intended to keep our most senior executive officers focused on pursuing corporate transactions that are in the best interests of our stockholders, regardless of whether those transactions may result in their own job loss. Further, we seek to mitigate any potential employer liability and avoid future disputes or litigation by requiring a departing executive officer to sign a separation and release agreement acceptable to us as a condition to receiving post-employment compensation payments or benefits. We believe that these arrangements appropriately align the interests of management and of our stockholders when considering our long-term future.</w:t>
      </w:r>
    </w:p>
    <w:p>
      <w:pPr>
        <w:spacing w:after="0" w:line="186"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We provide policy-based severance for top executives in the event of involuntary termination of employment without cause other than pursuant to a change in control. We are also party to an individual severance agreement with our CEO. We also have entered into change in control agreements with each of our Named Executive Officers that enable participating executives to receive certain post-employment payments and benefits in the event of a termination of employment under certain circumstances in connection with a change in control of the Company. Each of these agreements was approved by the Compensation Committee or, in certain instances, by our Board. The terms of these arrangements are described below under “Potential Payments Upon Termination or Change in Control.” That section also includes an estimate of the potential and actual payments and benefits payable under these arrangements as of the end of 2023.</w:t>
      </w:r>
    </w:p>
    <w:p>
      <w:pPr>
        <w:spacing w:after="0" w:line="185" w:lineRule="exact"/>
        <w:rPr>
          <w:sz w:val="20"/>
          <w:szCs w:val="20"/>
          <w:color w:val="auto"/>
        </w:rPr>
      </w:pPr>
    </w:p>
    <w:p>
      <w:pPr>
        <w:ind w:right="20"/>
        <w:spacing w:after="0"/>
        <w:rPr>
          <w:sz w:val="20"/>
          <w:szCs w:val="20"/>
          <w:color w:val="auto"/>
        </w:rPr>
      </w:pPr>
      <w:r>
        <w:rPr>
          <w:rFonts w:ascii="Arial" w:cs="Arial" w:eastAsia="Arial" w:hAnsi="Arial"/>
          <w:sz w:val="16"/>
          <w:szCs w:val="16"/>
          <w:color w:val="auto"/>
        </w:rPr>
        <w:t>In determining payment and benefit levels under the various circumstances that might trigger the post-employment compensation provisions of our change in control agreements, the Compensation Committee has drawn a distinction between (i) terminations of employment by us for cause and voluntary terminations of employment without good reason and (ii) terminations of employment by us without cause or by a participating Named Executive Officer with good reason in connection with a change in control of the Company. The Compensation Committee considers it appropriate to offer payment in the event of a termination by us without cause or by a participating Named Executive Officer with good reason in connection with a change in control of the Company in light of the benefits to ACI described above, as well as the likelihood that the executive’s departure is due, at least in part, to circumstances not within his or her control. In contrast, we believe that payments are not appropriate following a termination of employment for cause or a voluntary resignation without good reason because such events often reflect either inadequate performance or a decision by an executive to end his or her relationship with ACI.</w:t>
      </w:r>
    </w:p>
    <w:p>
      <w:pPr>
        <w:spacing w:after="0" w:line="187"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Payments and benefits in the event of a change in control of the Company are generally payable only if a participating Named Executive Officer experiences a qualifying loss of employment (commonly referred to as a “double trigger” arrangement). Double-trigger arrangements prevent unvested equity from losing its retention value following a change in control of the Company, and also prevent windfalls—both of which could occur if vesting of either equity or cash-based awards accelerated automatically as a result of the transaction.</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Compensation-Related Policies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Stock Ownership Guidelines</w:t>
      </w:r>
    </w:p>
    <w:p>
      <w:pPr>
        <w:spacing w:after="0" w:line="108"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We maintain stock ownership guidelines for our executive officers and our directors to align their financial interests with the interests of our stockholders. These guidelines require our executive officers to hold specific beneficial ownership positions in our common stock, expressed as a multiple of base salary. Specifically, the CEO is generally expected to own shares of our common stock with a value equal to at least six times his base salary, and our other executive officers are expected to own shares of our common stock with a value equal to at least three times their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139700</wp:posOffset>
            </wp:positionV>
            <wp:extent cx="4422775" cy="11963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422775" cy="119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54</w:t>
      </w:r>
    </w:p>
    <w:p>
      <w:pPr>
        <w:sectPr>
          <w:pgSz w:w="11900" w:h="16838" w:orient="portrait"/>
          <w:cols w:equalWidth="0" w:num="1">
            <w:col w:w="9340"/>
          </w:cols>
          <w:pgMar w:left="1260" w:top="296" w:right="1299" w:bottom="1440" w:gutter="0" w:footer="0" w:header="0"/>
        </w:sectPr>
      </w:pPr>
    </w:p>
    <w:bookmarkStart w:id="60" w:name="page61"/>
    <w:bookmarkEnd w:id="60"/>
    <w:p>
      <w:pPr>
        <w:ind w:right="180"/>
        <w:spacing w:after="0" w:line="24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Shares of our common stock used to calculate compliance with the guidelines include direct share purchases on the open market, shares acquired through any employee benefit plan, and common stock obtained upon the vesting of RSUs and PSUs. Unearned PSUs, the vested “in-the-money” portion of any option to purchase shares of our common stock, unvested PSUs and unvested RSUs are not counted.</w:t>
      </w:r>
    </w:p>
    <w:p>
      <w:pPr>
        <w:spacing w:after="0" w:line="181"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Each executive officer has five years from the date of his or her appointment to an executive officer position to achieve the prescribed ownership level. An executive officer who is promoted into a role with a different ownership level has an additional two years to reach the prescribed ownership level. An executive officer who fails to meet the ownership guidelines within the five-year period may not be eligible for further equity awards and must retain 50% of the “after-tax” shares he or she receives from the exercise of options to purchase shares of our common stock, the vesting of stock appreciation rights for shares of our common stock, and the vesting of any other equity awards granted under our equity compensation plans until he or she achieves the applicable ownership level. Currently, all of our continuing Named Executive Officers either meet the ownership requirements of our guidelines or are still within the five-year period to meet the guidelines.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Compensation Recovery (“Clawback”) Policy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During 2023 we adopted a compensation recovery policy consistent with NASDAQ listing requirements that, in the event of an accounting restatement, generally requires us to recover from current or former Section 16 officers erroneously awarded incentive-based compensation received by them, regardless of any fault or misconduct by the officer. The compensation to be recovered (absent limited exceptions prescribed in the policy) is the incentive-based compensation received by an officer minus the amount the officer would have received had such compensation been determined based on the restated financial statements, calculated on a pre-tax basis. This policy applies to incentive-based compensation received by the Section 16 officer on or after October 2, 2023 and during the three fiscal years preceding the year for which the Company determines that it is required to restate its financial statements, and that is granted, earned or vested based wholly or in part on the achievement of any financial reporting measure or based on the Company’s stock price or total shareholder return.</w:t>
      </w:r>
    </w:p>
    <w:p>
      <w:pPr>
        <w:spacing w:after="0" w:line="189"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 xml:space="preserve">We also have a legacy recoupment policy that applies to incentive compensation received before October 2, 2023, and to all award recipients, including Named Executive Officers. The legacy policy provides that if the Company is required to restate its consolidated financial statements because of material noncompliance due to irregularities with the federal securities laws, which restatement is due, in whole or in part, to the misconduct of an employee, or if it is determined that an employee has otherwise engaged in misconduct (whether or not such misconduct is discovered while the individual is an employee), then the Company has the right to (a) cause the forfeiture or cancellation of any unvested and vested portion of an option, any unvested restricted shares or RSUs, or any unearned PSUs; (b) cause the transfer of ownership back to the Company of any vested shares not subject to transfer restrictions, common shares issued as payment for earned PSUs or RSUs, or cash received as payment for earned PSUs or RSUs; (c) recoup any proceeds from (i) the exercise or vesting of an option, (ii) the vesting of restricted shares, (iii) the sale of shares of our common stock issued pursuant to the exercise of an option or as payment for earned PSUs or RSUs, and (iv) the sale of any unrestricted shares; (d) recoup any annual incentive cash-based payouts; or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take any other action the Company determines is necessary or appropriate and in the best interest of the Company and its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Prohibition on Hedging and Pledging</w:t>
      </w:r>
    </w:p>
    <w:p>
      <w:pPr>
        <w:spacing w:after="0" w:line="108" w:lineRule="exact"/>
        <w:rPr>
          <w:sz w:val="20"/>
          <w:szCs w:val="20"/>
          <w:color w:val="auto"/>
        </w:rPr>
      </w:pPr>
    </w:p>
    <w:p>
      <w:pPr>
        <w:jc w:val="both"/>
        <w:ind w:right="160"/>
        <w:spacing w:after="0" w:line="251" w:lineRule="auto"/>
        <w:rPr>
          <w:sz w:val="20"/>
          <w:szCs w:val="20"/>
          <w:color w:val="auto"/>
        </w:rPr>
      </w:pPr>
      <w:r>
        <w:rPr>
          <w:rFonts w:ascii="Arial" w:cs="Arial" w:eastAsia="Arial" w:hAnsi="Arial"/>
          <w:sz w:val="16"/>
          <w:szCs w:val="16"/>
          <w:color w:val="auto"/>
        </w:rPr>
        <w:t>We have a policy that prohibits “short” sales and the use of derivatives by employees and directors. In addition, we prohibit any equity awards from being sold, exchanged, assigned, transferred, pledged, encumbered, or otherwise disposed of by the recipient until they become vested.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Equity Grant Policy</w:t>
      </w:r>
    </w:p>
    <w:p>
      <w:pPr>
        <w:spacing w:after="0" w:line="108"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Our Compensation Committee grants all equity awards to management, including our CEO and other executive officers. Our Board grants equity awards to independent directors based upon the recommendation of our Corporate Governance Committee. Annual awards to executives are granted based on a specified dollar amount. The number of RSUs, restricted stock award shares, and PSUs (as applicable) is based upon the closing market price of our stock on the grant date.</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55</w:t>
      </w:r>
    </w:p>
    <w:p>
      <w:pPr>
        <w:sectPr>
          <w:pgSz w:w="11900" w:h="16838" w:orient="portrait"/>
          <w:cols w:equalWidth="0" w:num="1">
            <w:col w:w="9360"/>
          </w:cols>
          <w:pgMar w:left="1260" w:top="296" w:right="1279" w:bottom="1440" w:gutter="0" w:footer="0" w:header="0"/>
        </w:sectPr>
      </w:pPr>
    </w:p>
    <w:bookmarkStart w:id="61" w:name="page62"/>
    <w:bookmarkEnd w:id="61"/>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Tax and Accounting Matters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Deductibility of Executive Compensation</w:t>
      </w:r>
    </w:p>
    <w:p>
      <w:pPr>
        <w:spacing w:after="0" w:line="108"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Generally, Section 162(m) of the Internal Revenue Code disallows a federal income tax deduction for public corporations for compensation in excess of $1 million paid in any fiscal year to certain current and former executive officers. In establishing the cash and equity incentive compensation plans and arrangements for our executive officers, our Compensation Committee considers a variety of relevant factors, including the potential impact of the Section 162(m) deduction limit. However, to maintain flexibility to compensate our executive officers in a manner designed to promote our short-term and long-term corporate goals and objectives, our Compensation Committee has not adopted a policy that all compensation must be deductible. Our Compensation Committee believes it is important to maintain cash and equity incentive compensation at the requisite level to attract and retain the individuals essential to our financial success, even if all or part of that compensation may not be deductible.</w:t>
      </w:r>
    </w:p>
    <w:p>
      <w:pPr>
        <w:spacing w:after="0" w:line="185"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The deductibility of some types of compensation depends upon the timing of an executive officer’s vesting or exercise of previously granted rights. Further, interpretations of and changes in the tax laws, and other factors beyond our Compensation Committee’s control, also affect the deductibility of compensation. Our Compensation Committee will consider various alternatives to preserving the deductibility of compensation payments and benefits to the extent consistent with our compensation objectives.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Accounting for Stock-Based Compensation</w:t>
      </w:r>
    </w:p>
    <w:p>
      <w:pPr>
        <w:spacing w:after="0" w:line="10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 xml:space="preserve">We follow FASB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for our stock-based compensation awards. FASB ASC Topic 718 requires us to measure the compensation expense for all share-based payments made to our employees and the members of our Board, including options to purchase shares of our common stock and other stock-based awards, based on the grant date fair value of these awards. This calculation is performed for financial accounting purposes and reported in the compensation tables below, even though recipients may never realize any value from their awards. FASB ASC Topic 718 also requires us to recognize the compensation cost of our share-based compensation awards in our income statements over the period that a recipient is required to render services in exchange for the option or other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85725</wp:posOffset>
            </wp:positionV>
            <wp:extent cx="693420" cy="1320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3420" cy="13208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56</w:t>
      </w:r>
    </w:p>
    <w:p>
      <w:pPr>
        <w:sectPr>
          <w:pgSz w:w="11900" w:h="16838" w:orient="portrait"/>
          <w:cols w:equalWidth="0" w:num="1">
            <w:col w:w="9360"/>
          </w:cols>
          <w:pgMar w:left="1260" w:top="286" w:right="1279" w:bottom="1440" w:gutter="0" w:footer="0" w:header="0"/>
        </w:sectPr>
      </w:pPr>
    </w:p>
    <w:bookmarkStart w:id="62" w:name="page63"/>
    <w:bookmarkEnd w:id="62"/>
    <w:p>
      <w:pPr>
        <w:jc w:val="center"/>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257175</wp:posOffset>
            </wp:positionV>
            <wp:extent cx="59410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both"/>
        <w:ind w:right="440"/>
        <w:spacing w:after="0" w:line="251" w:lineRule="auto"/>
        <w:rPr>
          <w:sz w:val="20"/>
          <w:szCs w:val="20"/>
          <w:color w:val="auto"/>
        </w:rPr>
      </w:pPr>
      <w:r>
        <w:rPr>
          <w:rFonts w:ascii="Arial" w:cs="Arial" w:eastAsia="Arial" w:hAnsi="Arial"/>
          <w:sz w:val="16"/>
          <w:szCs w:val="16"/>
          <w:color w:val="auto"/>
        </w:rPr>
        <w:t>The Compensation Committee has reviewed and discussed the “Compensation Discussion and Analysis” contained in this Proxy Statement with management. Based on our review and discussions, we have recommended to the Board that the “Compensation Discussion and Analysis” be included in this Proxy Statement and in our Annual Report.</w:t>
      </w:r>
    </w:p>
    <w:p>
      <w:pPr>
        <w:spacing w:after="0" w:line="202" w:lineRule="exact"/>
        <w:rPr>
          <w:sz w:val="20"/>
          <w:szCs w:val="20"/>
          <w:color w:val="auto"/>
        </w:rPr>
      </w:pPr>
    </w:p>
    <w:p>
      <w:pPr>
        <w:jc w:val="center"/>
        <w:ind w:left="4860"/>
        <w:spacing w:after="0"/>
        <w:rPr>
          <w:sz w:val="20"/>
          <w:szCs w:val="20"/>
          <w:color w:val="auto"/>
        </w:rPr>
      </w:pPr>
      <w:r>
        <w:rPr>
          <w:rFonts w:ascii="Arial" w:cs="Arial" w:eastAsia="Arial" w:hAnsi="Arial"/>
          <w:sz w:val="16"/>
          <w:szCs w:val="16"/>
          <w:color w:val="auto"/>
        </w:rPr>
        <w:t>Members of the Compensation Committee</w:t>
      </w:r>
    </w:p>
    <w:p>
      <w:pPr>
        <w:spacing w:after="0" w:line="232" w:lineRule="exact"/>
        <w:rPr>
          <w:sz w:val="20"/>
          <w:szCs w:val="20"/>
          <w:color w:val="auto"/>
        </w:rPr>
      </w:pPr>
    </w:p>
    <w:p>
      <w:pPr>
        <w:jc w:val="center"/>
        <w:ind w:left="4860"/>
        <w:spacing w:after="0"/>
        <w:rPr>
          <w:sz w:val="20"/>
          <w:szCs w:val="20"/>
          <w:color w:val="auto"/>
        </w:rPr>
      </w:pPr>
      <w:r>
        <w:rPr>
          <w:rFonts w:ascii="Arial" w:cs="Arial" w:eastAsia="Arial" w:hAnsi="Arial"/>
          <w:sz w:val="16"/>
          <w:szCs w:val="16"/>
          <w:color w:val="auto"/>
        </w:rPr>
        <w:t>Samir Zabaneh, Chair</w:t>
      </w:r>
    </w:p>
    <w:p>
      <w:pPr>
        <w:spacing w:after="0" w:line="10" w:lineRule="exact"/>
        <w:rPr>
          <w:sz w:val="20"/>
          <w:szCs w:val="20"/>
          <w:color w:val="auto"/>
        </w:rPr>
      </w:pPr>
    </w:p>
    <w:p>
      <w:pPr>
        <w:jc w:val="center"/>
        <w:ind w:left="4860"/>
        <w:spacing w:after="0"/>
        <w:rPr>
          <w:sz w:val="20"/>
          <w:szCs w:val="20"/>
          <w:color w:val="auto"/>
        </w:rPr>
      </w:pPr>
      <w:r>
        <w:rPr>
          <w:rFonts w:ascii="Arial" w:cs="Arial" w:eastAsia="Arial" w:hAnsi="Arial"/>
          <w:sz w:val="16"/>
          <w:szCs w:val="16"/>
          <w:color w:val="auto"/>
        </w:rPr>
        <w:t>James C. Hale III</w:t>
      </w:r>
    </w:p>
    <w:p>
      <w:pPr>
        <w:jc w:val="center"/>
        <w:ind w:left="4860"/>
        <w:spacing w:after="0"/>
        <w:rPr>
          <w:sz w:val="20"/>
          <w:szCs w:val="20"/>
          <w:color w:val="auto"/>
        </w:rPr>
      </w:pPr>
      <w:r>
        <w:rPr>
          <w:rFonts w:ascii="Arial" w:cs="Arial" w:eastAsia="Arial" w:hAnsi="Arial"/>
          <w:sz w:val="16"/>
          <w:szCs w:val="16"/>
          <w:color w:val="auto"/>
        </w:rPr>
        <w:t>Mary P. Harman</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57</w:t>
      </w:r>
    </w:p>
    <w:p>
      <w:pPr>
        <w:sectPr>
          <w:pgSz w:w="11900" w:h="16838" w:orient="portrait"/>
          <w:cols w:equalWidth="0" w:num="1">
            <w:col w:w="9360"/>
          </w:cols>
          <w:pgMar w:left="1260" w:top="254" w:right="1279" w:bottom="1440" w:gutter="0" w:footer="0" w:header="0"/>
        </w:sectPr>
      </w:pPr>
    </w:p>
    <w:bookmarkStart w:id="63" w:name="page64"/>
    <w:bookmarkEnd w:id="63"/>
    <w:p>
      <w:pPr>
        <w:jc w:val="center"/>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257175</wp:posOffset>
            </wp:positionV>
            <wp:extent cx="59410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2023 Summary Compensation Table</w:t>
      </w:r>
    </w:p>
    <w:p>
      <w:pPr>
        <w:spacing w:after="0" w:line="124"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The following table sets forth the compensation paid to, earned by or awarded to our Principal Executive Officer, our Principal Financial Officer, and the next three most highly compensated executive officers who were serving in such capacity as of December 31, 2023. We refer to the executive officers included in the “summary compensation table” below collectively as our “Named Executive Officers.” No disclosures are provided for Mr. Warsop, Mrs. Guerra, and Mr. Silva for 2021 or Mr. Kuruvilla for 2022 and 2021 as they were not Named Executive Officers for such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139700</wp:posOffset>
            </wp:positionV>
            <wp:extent cx="5941060" cy="544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41060" cy="54483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shd w:val="clear" w:color="auto" w:fill="284993"/>
          </w:tcPr>
          <w:p>
            <w:pPr>
              <w:spacing w:after="0"/>
              <w:rPr>
                <w:sz w:val="14"/>
                <w:szCs w:val="14"/>
                <w:color w:val="auto"/>
              </w:rPr>
            </w:pPr>
          </w:p>
        </w:tc>
        <w:tc>
          <w:tcPr>
            <w:tcW w:w="560" w:type="dxa"/>
            <w:vAlign w:val="bottom"/>
            <w:shd w:val="clear" w:color="auto" w:fill="284993"/>
          </w:tcPr>
          <w:p>
            <w:pPr>
              <w:spacing w:after="0"/>
              <w:rPr>
                <w:sz w:val="14"/>
                <w:szCs w:val="14"/>
                <w:color w:val="auto"/>
              </w:rPr>
            </w:pPr>
          </w:p>
        </w:tc>
        <w:tc>
          <w:tcPr>
            <w:tcW w:w="900" w:type="dxa"/>
            <w:vAlign w:val="bottom"/>
            <w:shd w:val="clear" w:color="auto" w:fill="284993"/>
          </w:tcPr>
          <w:p>
            <w:pPr>
              <w:spacing w:after="0"/>
              <w:rPr>
                <w:sz w:val="14"/>
                <w:szCs w:val="14"/>
                <w:color w:val="auto"/>
              </w:rPr>
            </w:pPr>
          </w:p>
        </w:tc>
        <w:tc>
          <w:tcPr>
            <w:tcW w:w="760" w:type="dxa"/>
            <w:vAlign w:val="bottom"/>
            <w:shd w:val="clear" w:color="auto" w:fill="284993"/>
          </w:tcPr>
          <w:p>
            <w:pPr>
              <w:spacing w:after="0"/>
              <w:rPr>
                <w:sz w:val="14"/>
                <w:szCs w:val="14"/>
                <w:color w:val="auto"/>
              </w:rPr>
            </w:pPr>
          </w:p>
        </w:tc>
        <w:tc>
          <w:tcPr>
            <w:tcW w:w="860" w:type="dxa"/>
            <w:vAlign w:val="bottom"/>
            <w:shd w:val="clear" w:color="auto" w:fill="284993"/>
          </w:tcPr>
          <w:p>
            <w:pPr>
              <w:spacing w:after="0"/>
              <w:rPr>
                <w:sz w:val="14"/>
                <w:szCs w:val="14"/>
                <w:color w:val="auto"/>
              </w:rPr>
            </w:pPr>
          </w:p>
        </w:tc>
        <w:tc>
          <w:tcPr>
            <w:tcW w:w="112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w w:val="99"/>
              </w:rPr>
              <w:t>Non-Equity</w:t>
            </w:r>
          </w:p>
        </w:tc>
        <w:tc>
          <w:tcPr>
            <w:tcW w:w="1140" w:type="dxa"/>
            <w:vAlign w:val="bottom"/>
            <w:shd w:val="clear" w:color="auto" w:fill="284993"/>
          </w:tcPr>
          <w:p>
            <w:pPr>
              <w:spacing w:after="0"/>
              <w:rPr>
                <w:sz w:val="14"/>
                <w:szCs w:val="14"/>
                <w:color w:val="auto"/>
              </w:rPr>
            </w:pPr>
          </w:p>
        </w:tc>
        <w:tc>
          <w:tcPr>
            <w:tcW w:w="880" w:type="dxa"/>
            <w:vAlign w:val="bottom"/>
            <w:shd w:val="clear" w:color="auto" w:fill="28499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20" w:type="dxa"/>
            <w:vAlign w:val="bottom"/>
            <w:shd w:val="clear" w:color="auto" w:fill="284993"/>
          </w:tcPr>
          <w:p>
            <w:pPr>
              <w:spacing w:after="0"/>
              <w:rPr>
                <w:sz w:val="13"/>
                <w:szCs w:val="13"/>
                <w:color w:val="auto"/>
              </w:rPr>
            </w:pPr>
          </w:p>
        </w:tc>
        <w:tc>
          <w:tcPr>
            <w:tcW w:w="560" w:type="dxa"/>
            <w:vAlign w:val="bottom"/>
            <w:shd w:val="clear" w:color="auto" w:fill="284993"/>
          </w:tcPr>
          <w:p>
            <w:pPr>
              <w:spacing w:after="0"/>
              <w:rPr>
                <w:sz w:val="13"/>
                <w:szCs w:val="13"/>
                <w:color w:val="auto"/>
              </w:rPr>
            </w:pPr>
          </w:p>
        </w:tc>
        <w:tc>
          <w:tcPr>
            <w:tcW w:w="900" w:type="dxa"/>
            <w:vAlign w:val="bottom"/>
            <w:shd w:val="clear" w:color="auto" w:fill="284993"/>
          </w:tcPr>
          <w:p>
            <w:pPr>
              <w:spacing w:after="0"/>
              <w:rPr>
                <w:sz w:val="13"/>
                <w:szCs w:val="13"/>
                <w:color w:val="auto"/>
              </w:rPr>
            </w:pPr>
          </w:p>
        </w:tc>
        <w:tc>
          <w:tcPr>
            <w:tcW w:w="760" w:type="dxa"/>
            <w:vAlign w:val="bottom"/>
            <w:shd w:val="clear" w:color="auto" w:fill="284993"/>
          </w:tcPr>
          <w:p>
            <w:pPr>
              <w:spacing w:after="0"/>
              <w:rPr>
                <w:sz w:val="13"/>
                <w:szCs w:val="13"/>
                <w:color w:val="auto"/>
              </w:rPr>
            </w:pPr>
          </w:p>
        </w:tc>
        <w:tc>
          <w:tcPr>
            <w:tcW w:w="860" w:type="dxa"/>
            <w:vAlign w:val="bottom"/>
            <w:shd w:val="clear" w:color="auto" w:fill="284993"/>
          </w:tcPr>
          <w:p>
            <w:pPr>
              <w:jc w:val="center"/>
              <w:spacing w:after="0" w:line="156" w:lineRule="exact"/>
              <w:rPr>
                <w:sz w:val="20"/>
                <w:szCs w:val="20"/>
                <w:color w:val="auto"/>
              </w:rPr>
            </w:pPr>
            <w:r>
              <w:rPr>
                <w:rFonts w:ascii="Arial" w:cs="Arial" w:eastAsia="Arial" w:hAnsi="Arial"/>
                <w:sz w:val="14"/>
                <w:szCs w:val="14"/>
                <w:b w:val="1"/>
                <w:bCs w:val="1"/>
                <w:color w:val="FFFFFF"/>
                <w:w w:val="99"/>
              </w:rPr>
              <w:t>Stock</w:t>
            </w:r>
          </w:p>
        </w:tc>
        <w:tc>
          <w:tcPr>
            <w:tcW w:w="1120" w:type="dxa"/>
            <w:vAlign w:val="bottom"/>
            <w:shd w:val="clear" w:color="auto" w:fill="284993"/>
          </w:tcPr>
          <w:p>
            <w:pPr>
              <w:jc w:val="center"/>
              <w:spacing w:after="0" w:line="156" w:lineRule="exact"/>
              <w:rPr>
                <w:sz w:val="20"/>
                <w:szCs w:val="20"/>
                <w:color w:val="auto"/>
              </w:rPr>
            </w:pPr>
            <w:r>
              <w:rPr>
                <w:rFonts w:ascii="Arial" w:cs="Arial" w:eastAsia="Arial" w:hAnsi="Arial"/>
                <w:sz w:val="14"/>
                <w:szCs w:val="14"/>
                <w:b w:val="1"/>
                <w:bCs w:val="1"/>
                <w:color w:val="FFFFFF"/>
                <w:w w:val="97"/>
              </w:rPr>
              <w:t>Incentive Plan</w:t>
            </w:r>
          </w:p>
        </w:tc>
        <w:tc>
          <w:tcPr>
            <w:tcW w:w="1140" w:type="dxa"/>
            <w:vAlign w:val="bottom"/>
            <w:shd w:val="clear" w:color="auto" w:fill="284993"/>
          </w:tcPr>
          <w:p>
            <w:pPr>
              <w:jc w:val="center"/>
              <w:spacing w:after="0" w:line="156" w:lineRule="exact"/>
              <w:rPr>
                <w:sz w:val="20"/>
                <w:szCs w:val="20"/>
                <w:color w:val="auto"/>
              </w:rPr>
            </w:pPr>
            <w:r>
              <w:rPr>
                <w:rFonts w:ascii="Arial" w:cs="Arial" w:eastAsia="Arial" w:hAnsi="Arial"/>
                <w:sz w:val="14"/>
                <w:szCs w:val="14"/>
                <w:b w:val="1"/>
                <w:bCs w:val="1"/>
                <w:color w:val="FFFFFF"/>
              </w:rPr>
              <w:t>All Other</w:t>
            </w:r>
          </w:p>
        </w:tc>
        <w:tc>
          <w:tcPr>
            <w:tcW w:w="880" w:type="dxa"/>
            <w:vAlign w:val="bottom"/>
            <w:vMerge w:val="restart"/>
            <w:shd w:val="clear" w:color="auto" w:fill="284993"/>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120" w:type="dxa"/>
            <w:vAlign w:val="bottom"/>
            <w:shd w:val="clear" w:color="auto" w:fill="284993"/>
          </w:tcPr>
          <w:p>
            <w:pPr>
              <w:spacing w:after="0"/>
              <w:rPr>
                <w:sz w:val="12"/>
                <w:szCs w:val="12"/>
                <w:color w:val="auto"/>
              </w:rPr>
            </w:pPr>
          </w:p>
        </w:tc>
        <w:tc>
          <w:tcPr>
            <w:tcW w:w="560" w:type="dxa"/>
            <w:vAlign w:val="bottom"/>
            <w:shd w:val="clear" w:color="auto" w:fill="284993"/>
          </w:tcPr>
          <w:p>
            <w:pPr>
              <w:spacing w:after="0"/>
              <w:rPr>
                <w:sz w:val="12"/>
                <w:szCs w:val="12"/>
                <w:color w:val="auto"/>
              </w:rPr>
            </w:pPr>
          </w:p>
        </w:tc>
        <w:tc>
          <w:tcPr>
            <w:tcW w:w="900" w:type="dxa"/>
            <w:vAlign w:val="bottom"/>
            <w:shd w:val="clear" w:color="auto" w:fill="284993"/>
          </w:tcPr>
          <w:p>
            <w:pPr>
              <w:jc w:val="center"/>
              <w:ind w:right="6"/>
              <w:spacing w:after="0" w:line="143" w:lineRule="exact"/>
              <w:rPr>
                <w:sz w:val="20"/>
                <w:szCs w:val="20"/>
                <w:color w:val="auto"/>
              </w:rPr>
            </w:pPr>
            <w:r>
              <w:rPr>
                <w:rFonts w:ascii="Arial" w:cs="Arial" w:eastAsia="Arial" w:hAnsi="Arial"/>
                <w:sz w:val="14"/>
                <w:szCs w:val="14"/>
                <w:b w:val="1"/>
                <w:bCs w:val="1"/>
                <w:color w:val="FFFFFF"/>
                <w:w w:val="99"/>
              </w:rPr>
              <w:t>Salary</w:t>
            </w:r>
          </w:p>
        </w:tc>
        <w:tc>
          <w:tcPr>
            <w:tcW w:w="760" w:type="dxa"/>
            <w:vAlign w:val="bottom"/>
            <w:shd w:val="clear" w:color="auto" w:fill="284993"/>
          </w:tcPr>
          <w:p>
            <w:pPr>
              <w:jc w:val="center"/>
              <w:ind w:right="7"/>
              <w:spacing w:after="0" w:line="143" w:lineRule="exact"/>
              <w:rPr>
                <w:sz w:val="20"/>
                <w:szCs w:val="20"/>
                <w:color w:val="auto"/>
              </w:rPr>
            </w:pPr>
            <w:r>
              <w:rPr>
                <w:rFonts w:ascii="Arial" w:cs="Arial" w:eastAsia="Arial" w:hAnsi="Arial"/>
                <w:sz w:val="14"/>
                <w:szCs w:val="14"/>
                <w:b w:val="1"/>
                <w:bCs w:val="1"/>
                <w:color w:val="FFFFFF"/>
              </w:rPr>
              <w:t>Bonus</w:t>
            </w:r>
          </w:p>
        </w:tc>
        <w:tc>
          <w:tcPr>
            <w:tcW w:w="860" w:type="dxa"/>
            <w:vAlign w:val="bottom"/>
            <w:shd w:val="clear" w:color="auto" w:fill="284993"/>
          </w:tcPr>
          <w:p>
            <w:pPr>
              <w:jc w:val="center"/>
              <w:spacing w:after="0" w:line="143" w:lineRule="exact"/>
              <w:rPr>
                <w:sz w:val="20"/>
                <w:szCs w:val="20"/>
                <w:color w:val="auto"/>
              </w:rPr>
            </w:pPr>
            <w:r>
              <w:rPr>
                <w:rFonts w:ascii="Arial" w:cs="Arial" w:eastAsia="Arial" w:hAnsi="Arial"/>
                <w:sz w:val="14"/>
                <w:szCs w:val="14"/>
                <w:b w:val="1"/>
                <w:bCs w:val="1"/>
                <w:color w:val="FFFFFF"/>
                <w:w w:val="98"/>
              </w:rPr>
              <w:t>Awards</w:t>
            </w:r>
          </w:p>
        </w:tc>
        <w:tc>
          <w:tcPr>
            <w:tcW w:w="1120" w:type="dxa"/>
            <w:vAlign w:val="bottom"/>
            <w:shd w:val="clear" w:color="auto" w:fill="284993"/>
          </w:tcPr>
          <w:p>
            <w:pPr>
              <w:jc w:val="center"/>
              <w:spacing w:after="0" w:line="143" w:lineRule="exact"/>
              <w:rPr>
                <w:sz w:val="20"/>
                <w:szCs w:val="20"/>
                <w:color w:val="auto"/>
              </w:rPr>
            </w:pPr>
            <w:r>
              <w:rPr>
                <w:rFonts w:ascii="Arial" w:cs="Arial" w:eastAsia="Arial" w:hAnsi="Arial"/>
                <w:sz w:val="14"/>
                <w:szCs w:val="14"/>
                <w:b w:val="1"/>
                <w:bCs w:val="1"/>
                <w:color w:val="FFFFFF"/>
                <w:w w:val="98"/>
              </w:rPr>
              <w:t>Compensation</w:t>
            </w:r>
          </w:p>
        </w:tc>
        <w:tc>
          <w:tcPr>
            <w:tcW w:w="1140" w:type="dxa"/>
            <w:vAlign w:val="bottom"/>
            <w:shd w:val="clear" w:color="auto" w:fill="284993"/>
          </w:tcPr>
          <w:p>
            <w:pPr>
              <w:jc w:val="center"/>
              <w:spacing w:after="0" w:line="143" w:lineRule="exact"/>
              <w:rPr>
                <w:sz w:val="20"/>
                <w:szCs w:val="20"/>
                <w:color w:val="auto"/>
              </w:rPr>
            </w:pPr>
            <w:r>
              <w:rPr>
                <w:rFonts w:ascii="Arial" w:cs="Arial" w:eastAsia="Arial" w:hAnsi="Arial"/>
                <w:sz w:val="14"/>
                <w:szCs w:val="14"/>
                <w:b w:val="1"/>
                <w:bCs w:val="1"/>
                <w:color w:val="FFFFFF"/>
                <w:w w:val="98"/>
              </w:rPr>
              <w:t>Compensation</w:t>
            </w:r>
          </w:p>
        </w:tc>
        <w:tc>
          <w:tcPr>
            <w:tcW w:w="880" w:type="dxa"/>
            <w:vAlign w:val="bottom"/>
            <w:vMerge w:val="continue"/>
            <w:shd w:val="clear" w:color="auto" w:fill="284993"/>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20" w:type="dxa"/>
            <w:vAlign w:val="bottom"/>
            <w:shd w:val="clear" w:color="auto" w:fill="284993"/>
          </w:tcPr>
          <w:p>
            <w:pPr>
              <w:spacing w:after="0"/>
              <w:rPr>
                <w:sz w:val="20"/>
                <w:szCs w:val="20"/>
                <w:color w:val="auto"/>
              </w:rPr>
            </w:pPr>
            <w:r>
              <w:rPr>
                <w:rFonts w:ascii="Arial" w:cs="Arial" w:eastAsia="Arial" w:hAnsi="Arial"/>
                <w:sz w:val="14"/>
                <w:szCs w:val="14"/>
                <w:b w:val="1"/>
                <w:bCs w:val="1"/>
                <w:color w:val="FFFFFF"/>
              </w:rPr>
              <w:t> Name and Principal Position</w:t>
            </w:r>
          </w:p>
        </w:tc>
        <w:tc>
          <w:tcPr>
            <w:tcW w:w="560" w:type="dxa"/>
            <w:vAlign w:val="bottom"/>
            <w:shd w:val="clear" w:color="auto" w:fill="284993"/>
          </w:tcPr>
          <w:p>
            <w:pPr>
              <w:ind w:left="100"/>
              <w:spacing w:after="0"/>
              <w:rPr>
                <w:sz w:val="20"/>
                <w:szCs w:val="20"/>
                <w:color w:val="auto"/>
              </w:rPr>
            </w:pPr>
            <w:r>
              <w:rPr>
                <w:rFonts w:ascii="Arial" w:cs="Arial" w:eastAsia="Arial" w:hAnsi="Arial"/>
                <w:sz w:val="14"/>
                <w:szCs w:val="14"/>
                <w:b w:val="1"/>
                <w:bCs w:val="1"/>
                <w:color w:val="FFFFFF"/>
              </w:rPr>
              <w:t>Year</w:t>
            </w:r>
          </w:p>
        </w:tc>
        <w:tc>
          <w:tcPr>
            <w:tcW w:w="900" w:type="dxa"/>
            <w:vAlign w:val="bottom"/>
            <w:shd w:val="clear" w:color="auto" w:fill="284993"/>
          </w:tcPr>
          <w:p>
            <w:pPr>
              <w:jc w:val="center"/>
              <w:ind w:right="6"/>
              <w:spacing w:after="0" w:line="179"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9"/>
                <w:szCs w:val="9"/>
                <w:b w:val="1"/>
                <w:bCs w:val="1"/>
                <w:color w:val="FFFFFF"/>
              </w:rPr>
              <w:t>(1)</w:t>
            </w:r>
          </w:p>
        </w:tc>
        <w:tc>
          <w:tcPr>
            <w:tcW w:w="760" w:type="dxa"/>
            <w:vAlign w:val="bottom"/>
            <w:shd w:val="clear" w:color="auto" w:fill="284993"/>
          </w:tcPr>
          <w:p>
            <w:pPr>
              <w:jc w:val="center"/>
              <w:spacing w:after="0" w:line="179"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9"/>
                <w:szCs w:val="9"/>
                <w:b w:val="1"/>
                <w:bCs w:val="1"/>
                <w:color w:val="FFFFFF"/>
              </w:rPr>
              <w:t>(2)</w:t>
            </w:r>
          </w:p>
        </w:tc>
        <w:tc>
          <w:tcPr>
            <w:tcW w:w="860" w:type="dxa"/>
            <w:vAlign w:val="bottom"/>
            <w:shd w:val="clear" w:color="auto" w:fill="284993"/>
          </w:tcPr>
          <w:p>
            <w:pPr>
              <w:jc w:val="center"/>
              <w:spacing w:after="0" w:line="179"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9"/>
                <w:szCs w:val="9"/>
                <w:b w:val="1"/>
                <w:bCs w:val="1"/>
                <w:color w:val="FFFFFF"/>
              </w:rPr>
              <w:t>(3)</w:t>
            </w:r>
          </w:p>
        </w:tc>
        <w:tc>
          <w:tcPr>
            <w:tcW w:w="1120" w:type="dxa"/>
            <w:vAlign w:val="bottom"/>
            <w:shd w:val="clear" w:color="auto" w:fill="284993"/>
          </w:tcPr>
          <w:p>
            <w:pPr>
              <w:jc w:val="center"/>
              <w:spacing w:after="0" w:line="179"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9"/>
                <w:szCs w:val="9"/>
                <w:b w:val="1"/>
                <w:bCs w:val="1"/>
                <w:color w:val="FFFFFF"/>
              </w:rPr>
              <w:t>(4)</w:t>
            </w:r>
          </w:p>
        </w:tc>
        <w:tc>
          <w:tcPr>
            <w:tcW w:w="1140" w:type="dxa"/>
            <w:vAlign w:val="bottom"/>
            <w:shd w:val="clear" w:color="auto" w:fill="284993"/>
          </w:tcPr>
          <w:p>
            <w:pPr>
              <w:jc w:val="center"/>
              <w:spacing w:after="0" w:line="179"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9"/>
                <w:szCs w:val="9"/>
                <w:b w:val="1"/>
                <w:bCs w:val="1"/>
                <w:color w:val="FFFFFF"/>
              </w:rPr>
              <w:t>(5)</w:t>
            </w:r>
          </w:p>
        </w:tc>
        <w:tc>
          <w:tcPr>
            <w:tcW w:w="88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20" w:type="dxa"/>
            <w:vAlign w:val="bottom"/>
            <w:tcBorders>
              <w:bottom w:val="single" w:sz="8" w:color="284993"/>
            </w:tcBorders>
            <w:shd w:val="clear" w:color="auto" w:fill="284993"/>
          </w:tcPr>
          <w:p>
            <w:pPr>
              <w:spacing w:after="0"/>
              <w:rPr>
                <w:sz w:val="20"/>
                <w:szCs w:val="20"/>
                <w:color w:val="auto"/>
              </w:rPr>
            </w:pPr>
            <w:r>
              <w:rPr>
                <w:rFonts w:ascii="Arial" w:cs="Arial" w:eastAsia="Arial" w:hAnsi="Arial"/>
                <w:sz w:val="14"/>
                <w:szCs w:val="14"/>
                <w:b w:val="1"/>
                <w:bCs w:val="1"/>
                <w:color w:val="FFFFFF"/>
              </w:rPr>
              <w:t> (a)</w:t>
            </w:r>
          </w:p>
        </w:tc>
        <w:tc>
          <w:tcPr>
            <w:tcW w:w="560" w:type="dxa"/>
            <w:vAlign w:val="bottom"/>
            <w:tcBorders>
              <w:bottom w:val="single" w:sz="8" w:color="284993"/>
            </w:tcBorders>
            <w:shd w:val="clear" w:color="auto" w:fill="284993"/>
          </w:tcPr>
          <w:p>
            <w:pPr>
              <w:ind w:left="160"/>
              <w:spacing w:after="0"/>
              <w:rPr>
                <w:sz w:val="20"/>
                <w:szCs w:val="20"/>
                <w:color w:val="auto"/>
              </w:rPr>
            </w:pPr>
            <w:r>
              <w:rPr>
                <w:rFonts w:ascii="Arial" w:cs="Arial" w:eastAsia="Arial" w:hAnsi="Arial"/>
                <w:sz w:val="14"/>
                <w:szCs w:val="14"/>
                <w:b w:val="1"/>
                <w:bCs w:val="1"/>
                <w:color w:val="FFFFFF"/>
              </w:rPr>
              <w:t>(b)</w:t>
            </w:r>
          </w:p>
        </w:tc>
        <w:tc>
          <w:tcPr>
            <w:tcW w:w="900" w:type="dxa"/>
            <w:vAlign w:val="bottom"/>
            <w:tcBorders>
              <w:bottom w:val="single" w:sz="8" w:color="284993"/>
            </w:tcBorders>
            <w:shd w:val="clear" w:color="auto" w:fill="284993"/>
          </w:tcPr>
          <w:p>
            <w:pPr>
              <w:jc w:val="center"/>
              <w:ind w:right="6"/>
              <w:spacing w:after="0"/>
              <w:rPr>
                <w:sz w:val="20"/>
                <w:szCs w:val="20"/>
                <w:color w:val="auto"/>
              </w:rPr>
            </w:pPr>
            <w:r>
              <w:rPr>
                <w:rFonts w:ascii="Arial" w:cs="Arial" w:eastAsia="Arial" w:hAnsi="Arial"/>
                <w:sz w:val="14"/>
                <w:szCs w:val="14"/>
                <w:b w:val="1"/>
                <w:bCs w:val="1"/>
                <w:color w:val="FFFFFF"/>
              </w:rPr>
              <w:t>(c)</w:t>
            </w:r>
          </w:p>
        </w:tc>
        <w:tc>
          <w:tcPr>
            <w:tcW w:w="760" w:type="dxa"/>
            <w:vAlign w:val="bottom"/>
            <w:tcBorders>
              <w:bottom w:val="single" w:sz="8" w:color="284993"/>
            </w:tcBorders>
            <w:shd w:val="clear" w:color="auto" w:fill="284993"/>
          </w:tcPr>
          <w:p>
            <w:pPr>
              <w:jc w:val="center"/>
              <w:spacing w:after="0"/>
              <w:rPr>
                <w:sz w:val="20"/>
                <w:szCs w:val="20"/>
                <w:color w:val="auto"/>
              </w:rPr>
            </w:pPr>
            <w:r>
              <w:rPr>
                <w:rFonts w:ascii="Arial" w:cs="Arial" w:eastAsia="Arial" w:hAnsi="Arial"/>
                <w:sz w:val="14"/>
                <w:szCs w:val="14"/>
                <w:b w:val="1"/>
                <w:bCs w:val="1"/>
                <w:color w:val="FFFFFF"/>
              </w:rPr>
              <w:t>(d)</w:t>
            </w:r>
          </w:p>
        </w:tc>
        <w:tc>
          <w:tcPr>
            <w:tcW w:w="860" w:type="dxa"/>
            <w:vAlign w:val="bottom"/>
            <w:tcBorders>
              <w:bottom w:val="single" w:sz="8" w:color="284993"/>
            </w:tcBorders>
            <w:shd w:val="clear" w:color="auto" w:fill="284993"/>
          </w:tcPr>
          <w:p>
            <w:pPr>
              <w:jc w:val="center"/>
              <w:spacing w:after="0"/>
              <w:rPr>
                <w:sz w:val="20"/>
                <w:szCs w:val="20"/>
                <w:color w:val="auto"/>
              </w:rPr>
            </w:pPr>
            <w:r>
              <w:rPr>
                <w:rFonts w:ascii="Arial" w:cs="Arial" w:eastAsia="Arial" w:hAnsi="Arial"/>
                <w:sz w:val="14"/>
                <w:szCs w:val="14"/>
                <w:b w:val="1"/>
                <w:bCs w:val="1"/>
                <w:color w:val="FFFFFF"/>
                <w:w w:val="93"/>
              </w:rPr>
              <w:t>(e)</w:t>
            </w:r>
          </w:p>
        </w:tc>
        <w:tc>
          <w:tcPr>
            <w:tcW w:w="1120" w:type="dxa"/>
            <w:vAlign w:val="bottom"/>
            <w:tcBorders>
              <w:bottom w:val="single" w:sz="8" w:color="284993"/>
            </w:tcBorders>
            <w:shd w:val="clear" w:color="auto" w:fill="284993"/>
          </w:tcPr>
          <w:p>
            <w:pPr>
              <w:jc w:val="center"/>
              <w:spacing w:after="0"/>
              <w:rPr>
                <w:sz w:val="20"/>
                <w:szCs w:val="20"/>
                <w:color w:val="auto"/>
              </w:rPr>
            </w:pPr>
            <w:r>
              <w:rPr>
                <w:rFonts w:ascii="Arial" w:cs="Arial" w:eastAsia="Arial" w:hAnsi="Arial"/>
                <w:sz w:val="14"/>
                <w:szCs w:val="14"/>
                <w:b w:val="1"/>
                <w:bCs w:val="1"/>
                <w:color w:val="FFFFFF"/>
              </w:rPr>
              <w:t>(g)</w:t>
            </w:r>
          </w:p>
        </w:tc>
        <w:tc>
          <w:tcPr>
            <w:tcW w:w="1140" w:type="dxa"/>
            <w:vAlign w:val="bottom"/>
            <w:tcBorders>
              <w:bottom w:val="single" w:sz="8" w:color="284993"/>
            </w:tcBorders>
            <w:shd w:val="clear" w:color="auto" w:fill="284993"/>
          </w:tcPr>
          <w:p>
            <w:pPr>
              <w:jc w:val="center"/>
              <w:spacing w:after="0"/>
              <w:rPr>
                <w:sz w:val="20"/>
                <w:szCs w:val="20"/>
                <w:color w:val="auto"/>
              </w:rPr>
            </w:pPr>
            <w:r>
              <w:rPr>
                <w:rFonts w:ascii="Arial" w:cs="Arial" w:eastAsia="Arial" w:hAnsi="Arial"/>
                <w:sz w:val="14"/>
                <w:szCs w:val="14"/>
                <w:b w:val="1"/>
                <w:bCs w:val="1"/>
                <w:color w:val="FFFFFF"/>
                <w:w w:val="90"/>
              </w:rPr>
              <w:t>(i)</w:t>
            </w:r>
          </w:p>
        </w:tc>
        <w:tc>
          <w:tcPr>
            <w:tcW w:w="880" w:type="dxa"/>
            <w:vAlign w:val="bottom"/>
            <w:tcBorders>
              <w:bottom w:val="single" w:sz="8" w:color="284993"/>
            </w:tcBorders>
            <w:shd w:val="clear" w:color="auto" w:fill="284993"/>
          </w:tcPr>
          <w:p>
            <w:pPr>
              <w:jc w:val="center"/>
              <w:spacing w:after="0"/>
              <w:rPr>
                <w:sz w:val="20"/>
                <w:szCs w:val="20"/>
                <w:color w:val="auto"/>
              </w:rPr>
            </w:pPr>
            <w:r>
              <w:rPr>
                <w:rFonts w:ascii="Arial" w:cs="Arial" w:eastAsia="Arial" w:hAnsi="Arial"/>
                <w:sz w:val="14"/>
                <w:szCs w:val="14"/>
                <w:b w:val="1"/>
                <w:bCs w:val="1"/>
                <w:color w:val="FFFFFF"/>
              </w:rPr>
              <w:t>(j)</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tcPr>
          <w:p>
            <w:pPr>
              <w:ind w:left="40"/>
              <w:spacing w:after="0"/>
              <w:rPr>
                <w:sz w:val="20"/>
                <w:szCs w:val="20"/>
                <w:color w:val="auto"/>
              </w:rPr>
            </w:pPr>
            <w:r>
              <w:rPr>
                <w:rFonts w:ascii="Arial" w:cs="Arial" w:eastAsia="Arial" w:hAnsi="Arial"/>
                <w:sz w:val="16"/>
                <w:szCs w:val="16"/>
                <w:color w:val="auto"/>
              </w:rPr>
              <w:t>Thomas W Warsop, III</w:t>
            </w:r>
          </w:p>
        </w:tc>
        <w:tc>
          <w:tcPr>
            <w:tcW w:w="560" w:type="dxa"/>
            <w:vAlign w:val="bottom"/>
          </w:tcPr>
          <w:p>
            <w:pPr>
              <w:ind w:left="100"/>
              <w:spacing w:after="0"/>
              <w:rPr>
                <w:sz w:val="20"/>
                <w:szCs w:val="20"/>
                <w:color w:val="auto"/>
              </w:rPr>
            </w:pPr>
            <w:r>
              <w:rPr>
                <w:rFonts w:ascii="Arial" w:cs="Arial" w:eastAsia="Arial" w:hAnsi="Arial"/>
                <w:sz w:val="16"/>
                <w:szCs w:val="16"/>
                <w:color w:val="auto"/>
              </w:rPr>
              <w:t>2023</w:t>
            </w:r>
          </w:p>
        </w:tc>
        <w:tc>
          <w:tcPr>
            <w:tcW w:w="900" w:type="dxa"/>
            <w:vAlign w:val="bottom"/>
          </w:tcPr>
          <w:p>
            <w:pPr>
              <w:jc w:val="right"/>
              <w:ind w:right="46"/>
              <w:spacing w:after="0"/>
              <w:rPr>
                <w:sz w:val="20"/>
                <w:szCs w:val="20"/>
                <w:color w:val="auto"/>
              </w:rPr>
            </w:pPr>
            <w:r>
              <w:rPr>
                <w:rFonts w:ascii="Arial" w:cs="Arial" w:eastAsia="Arial" w:hAnsi="Arial"/>
                <w:sz w:val="16"/>
                <w:szCs w:val="16"/>
                <w:color w:val="auto"/>
              </w:rPr>
              <w:t>2,062,500</w:t>
            </w:r>
          </w:p>
        </w:tc>
        <w:tc>
          <w:tcPr>
            <w:tcW w:w="760" w:type="dxa"/>
            <w:vAlign w:val="bottom"/>
          </w:tcPr>
          <w:p>
            <w:pPr>
              <w:jc w:val="right"/>
              <w:ind w:right="27"/>
              <w:spacing w:after="0"/>
              <w:rPr>
                <w:sz w:val="20"/>
                <w:szCs w:val="20"/>
                <w:color w:val="auto"/>
              </w:rPr>
            </w:pPr>
            <w:r>
              <w:rPr>
                <w:rFonts w:ascii="Arial" w:cs="Arial" w:eastAsia="Arial" w:hAnsi="Arial"/>
                <w:sz w:val="16"/>
                <w:szCs w:val="16"/>
                <w:color w:val="auto"/>
              </w:rPr>
              <w:t>325,000</w:t>
            </w:r>
          </w:p>
        </w:tc>
        <w:tc>
          <w:tcPr>
            <w:tcW w:w="860" w:type="dxa"/>
            <w:vAlign w:val="bottom"/>
          </w:tcPr>
          <w:p>
            <w:pPr>
              <w:jc w:val="right"/>
              <w:spacing w:after="0"/>
              <w:rPr>
                <w:sz w:val="20"/>
                <w:szCs w:val="20"/>
                <w:color w:val="auto"/>
              </w:rPr>
            </w:pPr>
            <w:r>
              <w:rPr>
                <w:rFonts w:ascii="Arial" w:cs="Arial" w:eastAsia="Arial" w:hAnsi="Arial"/>
                <w:sz w:val="16"/>
                <w:szCs w:val="16"/>
                <w:color w:val="auto"/>
              </w:rPr>
              <w:t>2,308,220</w:t>
            </w:r>
          </w:p>
        </w:tc>
        <w:tc>
          <w:tcPr>
            <w:tcW w:w="1120" w:type="dxa"/>
            <w:vAlign w:val="bottom"/>
          </w:tcPr>
          <w:p>
            <w:pPr>
              <w:jc w:val="right"/>
              <w:ind w:right="7"/>
              <w:spacing w:after="0"/>
              <w:rPr>
                <w:sz w:val="20"/>
                <w:szCs w:val="20"/>
                <w:color w:val="auto"/>
              </w:rPr>
            </w:pPr>
            <w:r>
              <w:rPr>
                <w:rFonts w:ascii="Arial" w:cs="Arial" w:eastAsia="Arial" w:hAnsi="Arial"/>
                <w:sz w:val="16"/>
                <w:szCs w:val="16"/>
                <w:color w:val="auto"/>
              </w:rPr>
              <w:t>529,870</w:t>
            </w:r>
          </w:p>
        </w:tc>
        <w:tc>
          <w:tcPr>
            <w:tcW w:w="1140" w:type="dxa"/>
            <w:vAlign w:val="bottom"/>
          </w:tcPr>
          <w:p>
            <w:pPr>
              <w:jc w:val="right"/>
              <w:ind w:right="26"/>
              <w:spacing w:after="0"/>
              <w:rPr>
                <w:sz w:val="20"/>
                <w:szCs w:val="20"/>
                <w:color w:val="auto"/>
              </w:rPr>
            </w:pPr>
            <w:r>
              <w:rPr>
                <w:rFonts w:ascii="Arial" w:cs="Arial" w:eastAsia="Arial" w:hAnsi="Arial"/>
                <w:sz w:val="16"/>
                <w:szCs w:val="16"/>
                <w:color w:val="auto"/>
              </w:rPr>
              <w:t>6,088</w:t>
            </w: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5,231,678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20" w:type="dxa"/>
            <w:vAlign w:val="bottom"/>
          </w:tcPr>
          <w:p>
            <w:pPr>
              <w:ind w:left="40"/>
              <w:spacing w:after="0"/>
              <w:rPr>
                <w:sz w:val="20"/>
                <w:szCs w:val="20"/>
                <w:color w:val="auto"/>
              </w:rPr>
            </w:pPr>
            <w:r>
              <w:rPr>
                <w:rFonts w:ascii="Arial" w:cs="Arial" w:eastAsia="Arial" w:hAnsi="Arial"/>
                <w:sz w:val="16"/>
                <w:szCs w:val="16"/>
                <w:color w:val="auto"/>
              </w:rPr>
              <w:t>President and Chief Executive Officer</w:t>
            </w:r>
          </w:p>
        </w:tc>
        <w:tc>
          <w:tcPr>
            <w:tcW w:w="560" w:type="dxa"/>
            <w:vAlign w:val="bottom"/>
          </w:tcPr>
          <w:p>
            <w:pPr>
              <w:ind w:left="100"/>
              <w:spacing w:after="0"/>
              <w:rPr>
                <w:sz w:val="20"/>
                <w:szCs w:val="20"/>
                <w:color w:val="auto"/>
              </w:rPr>
            </w:pPr>
            <w:r>
              <w:rPr>
                <w:rFonts w:ascii="Arial" w:cs="Arial" w:eastAsia="Arial" w:hAnsi="Arial"/>
                <w:sz w:val="16"/>
                <w:szCs w:val="16"/>
                <w:color w:val="auto"/>
              </w:rPr>
              <w:t>2022</w:t>
            </w:r>
          </w:p>
        </w:tc>
        <w:tc>
          <w:tcPr>
            <w:tcW w:w="900" w:type="dxa"/>
            <w:vAlign w:val="bottom"/>
          </w:tcPr>
          <w:p>
            <w:pPr>
              <w:jc w:val="right"/>
              <w:ind w:right="46"/>
              <w:spacing w:after="0"/>
              <w:rPr>
                <w:sz w:val="20"/>
                <w:szCs w:val="20"/>
                <w:color w:val="auto"/>
              </w:rPr>
            </w:pPr>
            <w:r>
              <w:rPr>
                <w:rFonts w:ascii="Arial" w:cs="Arial" w:eastAsia="Arial" w:hAnsi="Arial"/>
                <w:sz w:val="16"/>
                <w:szCs w:val="16"/>
                <w:color w:val="auto"/>
              </w:rPr>
              <w:t>577,500</w:t>
            </w:r>
          </w:p>
        </w:tc>
        <w:tc>
          <w:tcPr>
            <w:tcW w:w="7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140" w:type="dxa"/>
            <w:vAlign w:val="bottom"/>
          </w:tcPr>
          <w:p>
            <w:pPr>
              <w:jc w:val="right"/>
              <w:ind w:right="26"/>
              <w:spacing w:after="0"/>
              <w:rPr>
                <w:sz w:val="20"/>
                <w:szCs w:val="20"/>
                <w:color w:val="auto"/>
              </w:rPr>
            </w:pPr>
            <w:r>
              <w:rPr>
                <w:rFonts w:ascii="Arial" w:cs="Arial" w:eastAsia="Arial" w:hAnsi="Arial"/>
                <w:sz w:val="16"/>
                <w:szCs w:val="16"/>
                <w:color w:val="auto"/>
              </w:rPr>
              <w:t>108</w:t>
            </w: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577,608</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20" w:type="dxa"/>
            <w:vAlign w:val="bottom"/>
            <w:shd w:val="clear" w:color="auto" w:fill="9DBDE4"/>
          </w:tcPr>
          <w:p>
            <w:pPr>
              <w:ind w:left="40"/>
              <w:spacing w:after="0"/>
              <w:rPr>
                <w:sz w:val="20"/>
                <w:szCs w:val="20"/>
                <w:color w:val="auto"/>
              </w:rPr>
            </w:pPr>
            <w:r>
              <w:rPr>
                <w:rFonts w:ascii="Arial" w:cs="Arial" w:eastAsia="Arial" w:hAnsi="Arial"/>
                <w:sz w:val="16"/>
                <w:szCs w:val="16"/>
                <w:color w:val="auto"/>
              </w:rPr>
              <w:t>Scott W. Behrens</w:t>
            </w:r>
          </w:p>
        </w:tc>
        <w:tc>
          <w:tcPr>
            <w:tcW w:w="560" w:type="dxa"/>
            <w:vAlign w:val="bottom"/>
            <w:shd w:val="clear" w:color="auto" w:fill="9DBDE4"/>
          </w:tcPr>
          <w:p>
            <w:pPr>
              <w:ind w:left="100"/>
              <w:spacing w:after="0"/>
              <w:rPr>
                <w:sz w:val="20"/>
                <w:szCs w:val="20"/>
                <w:color w:val="auto"/>
              </w:rPr>
            </w:pPr>
            <w:r>
              <w:rPr>
                <w:rFonts w:ascii="Arial" w:cs="Arial" w:eastAsia="Arial" w:hAnsi="Arial"/>
                <w:sz w:val="16"/>
                <w:szCs w:val="16"/>
                <w:color w:val="auto"/>
              </w:rPr>
              <w:t>2023</w:t>
            </w:r>
          </w:p>
        </w:tc>
        <w:tc>
          <w:tcPr>
            <w:tcW w:w="900" w:type="dxa"/>
            <w:vAlign w:val="bottom"/>
            <w:shd w:val="clear" w:color="auto" w:fill="9DBDE4"/>
          </w:tcPr>
          <w:p>
            <w:pPr>
              <w:jc w:val="right"/>
              <w:ind w:right="46"/>
              <w:spacing w:after="0"/>
              <w:rPr>
                <w:sz w:val="20"/>
                <w:szCs w:val="20"/>
                <w:color w:val="auto"/>
              </w:rPr>
            </w:pPr>
            <w:r>
              <w:rPr>
                <w:rFonts w:ascii="Arial" w:cs="Arial" w:eastAsia="Arial" w:hAnsi="Arial"/>
                <w:sz w:val="16"/>
                <w:szCs w:val="16"/>
                <w:color w:val="auto"/>
              </w:rPr>
              <w:t>495,000</w:t>
            </w:r>
          </w:p>
        </w:tc>
        <w:tc>
          <w:tcPr>
            <w:tcW w:w="760" w:type="dxa"/>
            <w:vAlign w:val="bottom"/>
            <w:shd w:val="clear" w:color="auto" w:fill="9DBDE4"/>
          </w:tcPr>
          <w:p>
            <w:pPr>
              <w:jc w:val="right"/>
              <w:ind w:right="27"/>
              <w:spacing w:after="0"/>
              <w:rPr>
                <w:sz w:val="20"/>
                <w:szCs w:val="20"/>
                <w:color w:val="auto"/>
              </w:rPr>
            </w:pPr>
            <w:r>
              <w:rPr>
                <w:rFonts w:ascii="Arial" w:cs="Arial" w:eastAsia="Arial" w:hAnsi="Arial"/>
                <w:sz w:val="16"/>
                <w:szCs w:val="16"/>
                <w:color w:val="auto"/>
              </w:rPr>
              <w:t>-</w:t>
            </w:r>
          </w:p>
        </w:tc>
        <w:tc>
          <w:tcPr>
            <w:tcW w:w="860" w:type="dxa"/>
            <w:vAlign w:val="bottom"/>
            <w:shd w:val="clear" w:color="auto" w:fill="9DBDE4"/>
          </w:tcPr>
          <w:p>
            <w:pPr>
              <w:jc w:val="right"/>
              <w:spacing w:after="0"/>
              <w:rPr>
                <w:sz w:val="20"/>
                <w:szCs w:val="20"/>
                <w:color w:val="auto"/>
              </w:rPr>
            </w:pPr>
            <w:r>
              <w:rPr>
                <w:rFonts w:ascii="Arial" w:cs="Arial" w:eastAsia="Arial" w:hAnsi="Arial"/>
                <w:sz w:val="16"/>
                <w:szCs w:val="16"/>
                <w:color w:val="auto"/>
              </w:rPr>
              <w:t>1,902,299</w:t>
            </w:r>
          </w:p>
        </w:tc>
        <w:tc>
          <w:tcPr>
            <w:tcW w:w="1120" w:type="dxa"/>
            <w:vAlign w:val="bottom"/>
            <w:shd w:val="clear" w:color="auto" w:fill="9DBDE4"/>
          </w:tcPr>
          <w:p>
            <w:pPr>
              <w:jc w:val="right"/>
              <w:ind w:right="7"/>
              <w:spacing w:after="0"/>
              <w:rPr>
                <w:sz w:val="20"/>
                <w:szCs w:val="20"/>
                <w:color w:val="auto"/>
              </w:rPr>
            </w:pPr>
            <w:r>
              <w:rPr>
                <w:rFonts w:ascii="Arial" w:cs="Arial" w:eastAsia="Arial" w:hAnsi="Arial"/>
                <w:sz w:val="16"/>
                <w:szCs w:val="16"/>
                <w:color w:val="auto"/>
              </w:rPr>
              <w:t>652,000</w:t>
            </w:r>
          </w:p>
        </w:tc>
        <w:tc>
          <w:tcPr>
            <w:tcW w:w="1140" w:type="dxa"/>
            <w:vAlign w:val="bottom"/>
            <w:shd w:val="clear" w:color="auto" w:fill="9DBDE4"/>
          </w:tcPr>
          <w:p>
            <w:pPr>
              <w:jc w:val="right"/>
              <w:ind w:right="26"/>
              <w:spacing w:after="0"/>
              <w:rPr>
                <w:sz w:val="20"/>
                <w:szCs w:val="20"/>
                <w:color w:val="auto"/>
              </w:rPr>
            </w:pPr>
            <w:r>
              <w:rPr>
                <w:rFonts w:ascii="Arial" w:cs="Arial" w:eastAsia="Arial" w:hAnsi="Arial"/>
                <w:sz w:val="16"/>
                <w:szCs w:val="16"/>
                <w:color w:val="auto"/>
              </w:rPr>
              <w:t>5,864</w:t>
            </w:r>
          </w:p>
        </w:tc>
        <w:tc>
          <w:tcPr>
            <w:tcW w:w="880" w:type="dxa"/>
            <w:vAlign w:val="bottom"/>
            <w:shd w:val="clear" w:color="auto" w:fill="9DBDE4"/>
          </w:tcPr>
          <w:p>
            <w:pPr>
              <w:jc w:val="right"/>
              <w:ind w:right="4"/>
              <w:spacing w:after="0"/>
              <w:rPr>
                <w:sz w:val="20"/>
                <w:szCs w:val="20"/>
                <w:color w:val="auto"/>
              </w:rPr>
            </w:pPr>
            <w:r>
              <w:rPr>
                <w:rFonts w:ascii="Arial" w:cs="Arial" w:eastAsia="Arial" w:hAnsi="Arial"/>
                <w:sz w:val="16"/>
                <w:szCs w:val="16"/>
                <w:color w:val="auto"/>
              </w:rPr>
              <w:t>3,055,163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20" w:type="dxa"/>
            <w:vAlign w:val="bottom"/>
            <w:shd w:val="clear" w:color="auto" w:fill="9DBDE4"/>
          </w:tcPr>
          <w:p>
            <w:pPr>
              <w:ind w:left="40"/>
              <w:spacing w:after="0" w:line="182" w:lineRule="exact"/>
              <w:rPr>
                <w:sz w:val="20"/>
                <w:szCs w:val="20"/>
                <w:color w:val="auto"/>
              </w:rPr>
            </w:pPr>
            <w:r>
              <w:rPr>
                <w:rFonts w:ascii="Arial" w:cs="Arial" w:eastAsia="Arial" w:hAnsi="Arial"/>
                <w:sz w:val="16"/>
                <w:szCs w:val="16"/>
                <w:color w:val="auto"/>
              </w:rPr>
              <w:t>Chief Financial Officer</w:t>
            </w:r>
          </w:p>
        </w:tc>
        <w:tc>
          <w:tcPr>
            <w:tcW w:w="560" w:type="dxa"/>
            <w:vAlign w:val="bottom"/>
            <w:shd w:val="clear" w:color="auto" w:fill="9DBDE4"/>
          </w:tcPr>
          <w:p>
            <w:pPr>
              <w:ind w:left="100"/>
              <w:spacing w:after="0" w:line="182" w:lineRule="exact"/>
              <w:rPr>
                <w:sz w:val="20"/>
                <w:szCs w:val="20"/>
                <w:color w:val="auto"/>
              </w:rPr>
            </w:pPr>
            <w:r>
              <w:rPr>
                <w:rFonts w:ascii="Arial" w:cs="Arial" w:eastAsia="Arial" w:hAnsi="Arial"/>
                <w:sz w:val="16"/>
                <w:szCs w:val="16"/>
                <w:color w:val="auto"/>
              </w:rPr>
              <w:t>2022</w:t>
            </w:r>
          </w:p>
        </w:tc>
        <w:tc>
          <w:tcPr>
            <w:tcW w:w="900" w:type="dxa"/>
            <w:vAlign w:val="bottom"/>
            <w:shd w:val="clear" w:color="auto" w:fill="9DBDE4"/>
          </w:tcPr>
          <w:p>
            <w:pPr>
              <w:jc w:val="right"/>
              <w:ind w:right="46"/>
              <w:spacing w:after="0" w:line="182" w:lineRule="exact"/>
              <w:rPr>
                <w:sz w:val="20"/>
                <w:szCs w:val="20"/>
                <w:color w:val="auto"/>
              </w:rPr>
            </w:pPr>
            <w:r>
              <w:rPr>
                <w:rFonts w:ascii="Arial" w:cs="Arial" w:eastAsia="Arial" w:hAnsi="Arial"/>
                <w:sz w:val="16"/>
                <w:szCs w:val="16"/>
                <w:color w:val="auto"/>
              </w:rPr>
              <w:t>475,000</w:t>
            </w:r>
          </w:p>
        </w:tc>
        <w:tc>
          <w:tcPr>
            <w:tcW w:w="760" w:type="dxa"/>
            <w:vAlign w:val="bottom"/>
            <w:shd w:val="clear" w:color="auto" w:fill="9DBDE4"/>
          </w:tcPr>
          <w:p>
            <w:pPr>
              <w:spacing w:after="0"/>
              <w:rPr>
                <w:sz w:val="15"/>
                <w:szCs w:val="15"/>
                <w:color w:val="auto"/>
              </w:rPr>
            </w:pPr>
          </w:p>
        </w:tc>
        <w:tc>
          <w:tcPr>
            <w:tcW w:w="860" w:type="dxa"/>
            <w:vAlign w:val="bottom"/>
            <w:shd w:val="clear" w:color="auto" w:fill="9DBDE4"/>
          </w:tcPr>
          <w:p>
            <w:pPr>
              <w:jc w:val="right"/>
              <w:spacing w:after="0" w:line="182" w:lineRule="exact"/>
              <w:rPr>
                <w:sz w:val="20"/>
                <w:szCs w:val="20"/>
                <w:color w:val="auto"/>
              </w:rPr>
            </w:pPr>
            <w:r>
              <w:rPr>
                <w:rFonts w:ascii="Arial" w:cs="Arial" w:eastAsia="Arial" w:hAnsi="Arial"/>
                <w:sz w:val="16"/>
                <w:szCs w:val="16"/>
                <w:color w:val="auto"/>
              </w:rPr>
              <w:t>2,600,005</w:t>
            </w:r>
          </w:p>
        </w:tc>
        <w:tc>
          <w:tcPr>
            <w:tcW w:w="1120" w:type="dxa"/>
            <w:vAlign w:val="bottom"/>
            <w:shd w:val="clear" w:color="auto" w:fill="9DBDE4"/>
          </w:tcPr>
          <w:p>
            <w:pPr>
              <w:jc w:val="right"/>
              <w:ind w:right="7"/>
              <w:spacing w:after="0" w:line="182" w:lineRule="exact"/>
              <w:rPr>
                <w:sz w:val="20"/>
                <w:szCs w:val="20"/>
                <w:color w:val="auto"/>
              </w:rPr>
            </w:pPr>
            <w:r>
              <w:rPr>
                <w:rFonts w:ascii="Arial" w:cs="Arial" w:eastAsia="Arial" w:hAnsi="Arial"/>
                <w:sz w:val="16"/>
                <w:szCs w:val="16"/>
                <w:color w:val="auto"/>
              </w:rPr>
              <w:t>450,000</w:t>
            </w:r>
          </w:p>
        </w:tc>
        <w:tc>
          <w:tcPr>
            <w:tcW w:w="1140" w:type="dxa"/>
            <w:vAlign w:val="bottom"/>
            <w:shd w:val="clear" w:color="auto" w:fill="9DBDE4"/>
          </w:tcPr>
          <w:p>
            <w:pPr>
              <w:jc w:val="right"/>
              <w:ind w:right="26"/>
              <w:spacing w:after="0" w:line="182" w:lineRule="exact"/>
              <w:rPr>
                <w:sz w:val="20"/>
                <w:szCs w:val="20"/>
                <w:color w:val="auto"/>
              </w:rPr>
            </w:pPr>
            <w:r>
              <w:rPr>
                <w:rFonts w:ascii="Arial" w:cs="Arial" w:eastAsia="Arial" w:hAnsi="Arial"/>
                <w:sz w:val="16"/>
                <w:szCs w:val="16"/>
                <w:color w:val="auto"/>
              </w:rPr>
              <w:t>6,564</w:t>
            </w:r>
          </w:p>
        </w:tc>
        <w:tc>
          <w:tcPr>
            <w:tcW w:w="880" w:type="dxa"/>
            <w:vAlign w:val="bottom"/>
            <w:shd w:val="clear" w:color="auto" w:fill="9DBDE4"/>
          </w:tcPr>
          <w:p>
            <w:pPr>
              <w:jc w:val="right"/>
              <w:ind w:right="4"/>
              <w:spacing w:after="0" w:line="182" w:lineRule="exact"/>
              <w:rPr>
                <w:sz w:val="20"/>
                <w:szCs w:val="20"/>
                <w:color w:val="auto"/>
              </w:rPr>
            </w:pPr>
            <w:r>
              <w:rPr>
                <w:rFonts w:ascii="Arial" w:cs="Arial" w:eastAsia="Arial" w:hAnsi="Arial"/>
                <w:sz w:val="16"/>
                <w:szCs w:val="16"/>
                <w:color w:val="auto"/>
              </w:rPr>
              <w:t>3,531,569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120" w:type="dxa"/>
            <w:vAlign w:val="bottom"/>
            <w:tcBorders>
              <w:bottom w:val="single" w:sz="8" w:color="9DBDE4"/>
            </w:tcBorders>
            <w:shd w:val="clear" w:color="auto" w:fill="9DBDE4"/>
          </w:tcPr>
          <w:p>
            <w:pPr>
              <w:spacing w:after="0"/>
              <w:rPr>
                <w:sz w:val="19"/>
                <w:szCs w:val="19"/>
                <w:color w:val="auto"/>
              </w:rPr>
            </w:pPr>
          </w:p>
        </w:tc>
        <w:tc>
          <w:tcPr>
            <w:tcW w:w="560" w:type="dxa"/>
            <w:vAlign w:val="bottom"/>
            <w:tcBorders>
              <w:bottom w:val="single" w:sz="8" w:color="9DBDE4"/>
            </w:tcBorders>
            <w:shd w:val="clear" w:color="auto" w:fill="9DBDE4"/>
          </w:tcPr>
          <w:p>
            <w:pPr>
              <w:ind w:left="100"/>
              <w:spacing w:after="0"/>
              <w:rPr>
                <w:sz w:val="20"/>
                <w:szCs w:val="20"/>
                <w:color w:val="auto"/>
              </w:rPr>
            </w:pPr>
            <w:r>
              <w:rPr>
                <w:rFonts w:ascii="Arial" w:cs="Arial" w:eastAsia="Arial" w:hAnsi="Arial"/>
                <w:sz w:val="16"/>
                <w:szCs w:val="16"/>
                <w:color w:val="auto"/>
              </w:rPr>
              <w:t>2021</w:t>
            </w:r>
          </w:p>
        </w:tc>
        <w:tc>
          <w:tcPr>
            <w:tcW w:w="900" w:type="dxa"/>
            <w:vAlign w:val="bottom"/>
            <w:tcBorders>
              <w:bottom w:val="single" w:sz="8" w:color="9DBDE4"/>
            </w:tcBorders>
            <w:shd w:val="clear" w:color="auto" w:fill="9DBDE4"/>
          </w:tcPr>
          <w:p>
            <w:pPr>
              <w:jc w:val="right"/>
              <w:ind w:right="46"/>
              <w:spacing w:after="0"/>
              <w:rPr>
                <w:sz w:val="20"/>
                <w:szCs w:val="20"/>
                <w:color w:val="auto"/>
              </w:rPr>
            </w:pPr>
            <w:r>
              <w:rPr>
                <w:rFonts w:ascii="Arial" w:cs="Arial" w:eastAsia="Arial" w:hAnsi="Arial"/>
                <w:sz w:val="16"/>
                <w:szCs w:val="16"/>
                <w:color w:val="auto"/>
              </w:rPr>
              <w:t>450,000</w:t>
            </w:r>
          </w:p>
        </w:tc>
        <w:tc>
          <w:tcPr>
            <w:tcW w:w="760" w:type="dxa"/>
            <w:vAlign w:val="bottom"/>
            <w:tcBorders>
              <w:bottom w:val="single" w:sz="8" w:color="9DBDE4"/>
            </w:tcBorders>
            <w:shd w:val="clear" w:color="auto" w:fill="9DBDE4"/>
          </w:tcPr>
          <w:p>
            <w:pPr>
              <w:jc w:val="right"/>
              <w:ind w:right="27"/>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DBDE4"/>
            </w:tcBorders>
            <w:shd w:val="clear" w:color="auto" w:fill="9DBDE4"/>
          </w:tcPr>
          <w:p>
            <w:pPr>
              <w:jc w:val="right"/>
              <w:spacing w:after="0"/>
              <w:rPr>
                <w:sz w:val="20"/>
                <w:szCs w:val="20"/>
                <w:color w:val="auto"/>
              </w:rPr>
            </w:pPr>
            <w:r>
              <w:rPr>
                <w:rFonts w:ascii="Arial" w:cs="Arial" w:eastAsia="Arial" w:hAnsi="Arial"/>
                <w:sz w:val="16"/>
                <w:szCs w:val="16"/>
                <w:color w:val="auto"/>
              </w:rPr>
              <w:t>2,599,997</w:t>
            </w:r>
          </w:p>
        </w:tc>
        <w:tc>
          <w:tcPr>
            <w:tcW w:w="1120" w:type="dxa"/>
            <w:vAlign w:val="bottom"/>
            <w:tcBorders>
              <w:bottom w:val="single" w:sz="8" w:color="9DBDE4"/>
            </w:tcBorders>
            <w:shd w:val="clear" w:color="auto" w:fill="9DBDE4"/>
          </w:tcPr>
          <w:p>
            <w:pPr>
              <w:jc w:val="right"/>
              <w:ind w:right="7"/>
              <w:spacing w:after="0"/>
              <w:rPr>
                <w:sz w:val="20"/>
                <w:szCs w:val="20"/>
                <w:color w:val="auto"/>
              </w:rPr>
            </w:pPr>
            <w:r>
              <w:rPr>
                <w:rFonts w:ascii="Arial" w:cs="Arial" w:eastAsia="Arial" w:hAnsi="Arial"/>
                <w:sz w:val="16"/>
                <w:szCs w:val="16"/>
                <w:color w:val="auto"/>
              </w:rPr>
              <w:t>558,000</w:t>
            </w:r>
          </w:p>
        </w:tc>
        <w:tc>
          <w:tcPr>
            <w:tcW w:w="1140" w:type="dxa"/>
            <w:vAlign w:val="bottom"/>
            <w:tcBorders>
              <w:bottom w:val="single" w:sz="8" w:color="9DBDE4"/>
            </w:tcBorders>
            <w:shd w:val="clear" w:color="auto" w:fill="9DBDE4"/>
          </w:tcPr>
          <w:p>
            <w:pPr>
              <w:jc w:val="right"/>
              <w:ind w:right="26"/>
              <w:spacing w:after="0"/>
              <w:rPr>
                <w:sz w:val="20"/>
                <w:szCs w:val="20"/>
                <w:color w:val="auto"/>
              </w:rPr>
            </w:pPr>
            <w:r>
              <w:rPr>
                <w:rFonts w:ascii="Arial" w:cs="Arial" w:eastAsia="Arial" w:hAnsi="Arial"/>
                <w:sz w:val="16"/>
                <w:szCs w:val="16"/>
                <w:color w:val="auto"/>
              </w:rPr>
              <w:t>6,080</w:t>
            </w:r>
          </w:p>
        </w:tc>
        <w:tc>
          <w:tcPr>
            <w:tcW w:w="880" w:type="dxa"/>
            <w:vAlign w:val="bottom"/>
            <w:tcBorders>
              <w:bottom w:val="single" w:sz="8" w:color="9DBDE4"/>
            </w:tcBorders>
            <w:shd w:val="clear" w:color="auto" w:fill="9DBDE4"/>
          </w:tcPr>
          <w:p>
            <w:pPr>
              <w:jc w:val="right"/>
              <w:ind w:right="4"/>
              <w:spacing w:after="0"/>
              <w:rPr>
                <w:sz w:val="20"/>
                <w:szCs w:val="20"/>
                <w:color w:val="auto"/>
              </w:rPr>
            </w:pPr>
            <w:r>
              <w:rPr>
                <w:rFonts w:ascii="Arial" w:cs="Arial" w:eastAsia="Arial" w:hAnsi="Arial"/>
                <w:sz w:val="16"/>
                <w:szCs w:val="16"/>
                <w:color w:val="auto"/>
              </w:rPr>
              <w:t>3,614,077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20" w:type="dxa"/>
            <w:vAlign w:val="bottom"/>
          </w:tcPr>
          <w:p>
            <w:pPr>
              <w:ind w:left="40"/>
              <w:spacing w:after="0"/>
              <w:rPr>
                <w:sz w:val="20"/>
                <w:szCs w:val="20"/>
                <w:color w:val="auto"/>
              </w:rPr>
            </w:pPr>
            <w:r>
              <w:rPr>
                <w:rFonts w:ascii="Arial" w:cs="Arial" w:eastAsia="Arial" w:hAnsi="Arial"/>
                <w:sz w:val="16"/>
                <w:szCs w:val="16"/>
                <w:color w:val="auto"/>
              </w:rPr>
              <w:t>Alessandro Silva</w:t>
            </w:r>
          </w:p>
        </w:tc>
        <w:tc>
          <w:tcPr>
            <w:tcW w:w="560" w:type="dxa"/>
            <w:vAlign w:val="bottom"/>
          </w:tcPr>
          <w:p>
            <w:pPr>
              <w:ind w:left="100"/>
              <w:spacing w:after="0"/>
              <w:rPr>
                <w:sz w:val="20"/>
                <w:szCs w:val="20"/>
                <w:color w:val="auto"/>
              </w:rPr>
            </w:pPr>
            <w:r>
              <w:rPr>
                <w:rFonts w:ascii="Arial" w:cs="Arial" w:eastAsia="Arial" w:hAnsi="Arial"/>
                <w:sz w:val="16"/>
                <w:szCs w:val="16"/>
                <w:color w:val="auto"/>
              </w:rPr>
              <w:t>2023</w:t>
            </w:r>
          </w:p>
        </w:tc>
        <w:tc>
          <w:tcPr>
            <w:tcW w:w="900" w:type="dxa"/>
            <w:vAlign w:val="bottom"/>
          </w:tcPr>
          <w:p>
            <w:pPr>
              <w:jc w:val="right"/>
              <w:ind w:right="46"/>
              <w:spacing w:after="0"/>
              <w:rPr>
                <w:sz w:val="20"/>
                <w:szCs w:val="20"/>
                <w:color w:val="auto"/>
              </w:rPr>
            </w:pPr>
            <w:r>
              <w:rPr>
                <w:rFonts w:ascii="Arial" w:cs="Arial" w:eastAsia="Arial" w:hAnsi="Arial"/>
                <w:sz w:val="16"/>
                <w:szCs w:val="16"/>
                <w:color w:val="auto"/>
              </w:rPr>
              <w:t>440,000</w:t>
            </w:r>
          </w:p>
        </w:tc>
        <w:tc>
          <w:tcPr>
            <w:tcW w:w="760" w:type="dxa"/>
            <w:vAlign w:val="bottom"/>
          </w:tcPr>
          <w:p>
            <w:pPr>
              <w:jc w:val="right"/>
              <w:ind w:right="27"/>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1,019,076</w:t>
            </w:r>
          </w:p>
        </w:tc>
        <w:tc>
          <w:tcPr>
            <w:tcW w:w="1120" w:type="dxa"/>
            <w:vAlign w:val="bottom"/>
          </w:tcPr>
          <w:p>
            <w:pPr>
              <w:jc w:val="right"/>
              <w:ind w:right="7"/>
              <w:spacing w:after="0"/>
              <w:rPr>
                <w:sz w:val="20"/>
                <w:szCs w:val="20"/>
                <w:color w:val="auto"/>
              </w:rPr>
            </w:pPr>
            <w:r>
              <w:rPr>
                <w:rFonts w:ascii="Arial" w:cs="Arial" w:eastAsia="Arial" w:hAnsi="Arial"/>
                <w:sz w:val="16"/>
                <w:szCs w:val="16"/>
                <w:color w:val="auto"/>
              </w:rPr>
              <w:t>446,035</w:t>
            </w:r>
          </w:p>
        </w:tc>
        <w:tc>
          <w:tcPr>
            <w:tcW w:w="1140" w:type="dxa"/>
            <w:vAlign w:val="bottom"/>
          </w:tcPr>
          <w:p>
            <w:pPr>
              <w:jc w:val="right"/>
              <w:ind w:right="26"/>
              <w:spacing w:after="0"/>
              <w:rPr>
                <w:sz w:val="20"/>
                <w:szCs w:val="20"/>
                <w:color w:val="auto"/>
              </w:rPr>
            </w:pPr>
            <w:r>
              <w:rPr>
                <w:rFonts w:ascii="Arial" w:cs="Arial" w:eastAsia="Arial" w:hAnsi="Arial"/>
                <w:sz w:val="16"/>
                <w:szCs w:val="16"/>
                <w:color w:val="auto"/>
              </w:rPr>
              <w:t>8,173</w:t>
            </w: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1,913,284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20" w:type="dxa"/>
            <w:vAlign w:val="bottom"/>
          </w:tcPr>
          <w:p>
            <w:pPr>
              <w:ind w:left="40"/>
              <w:spacing w:after="0"/>
              <w:rPr>
                <w:sz w:val="20"/>
                <w:szCs w:val="20"/>
                <w:color w:val="auto"/>
              </w:rPr>
            </w:pPr>
            <w:r>
              <w:rPr>
                <w:rFonts w:ascii="Arial" w:cs="Arial" w:eastAsia="Arial" w:hAnsi="Arial"/>
                <w:sz w:val="16"/>
                <w:szCs w:val="16"/>
                <w:color w:val="auto"/>
              </w:rPr>
              <w:t>Chief Revenue Officer</w:t>
            </w:r>
          </w:p>
        </w:tc>
        <w:tc>
          <w:tcPr>
            <w:tcW w:w="560" w:type="dxa"/>
            <w:vAlign w:val="bottom"/>
          </w:tcPr>
          <w:p>
            <w:pPr>
              <w:ind w:left="100"/>
              <w:spacing w:after="0"/>
              <w:rPr>
                <w:sz w:val="20"/>
                <w:szCs w:val="20"/>
                <w:color w:val="auto"/>
              </w:rPr>
            </w:pPr>
            <w:r>
              <w:rPr>
                <w:rFonts w:ascii="Arial" w:cs="Arial" w:eastAsia="Arial" w:hAnsi="Arial"/>
                <w:sz w:val="16"/>
                <w:szCs w:val="16"/>
                <w:color w:val="auto"/>
              </w:rPr>
              <w:t>2022</w:t>
            </w:r>
          </w:p>
        </w:tc>
        <w:tc>
          <w:tcPr>
            <w:tcW w:w="900" w:type="dxa"/>
            <w:vAlign w:val="bottom"/>
          </w:tcPr>
          <w:p>
            <w:pPr>
              <w:jc w:val="right"/>
              <w:ind w:right="46"/>
              <w:spacing w:after="0"/>
              <w:rPr>
                <w:sz w:val="20"/>
                <w:szCs w:val="20"/>
                <w:color w:val="auto"/>
              </w:rPr>
            </w:pPr>
            <w:r>
              <w:rPr>
                <w:rFonts w:ascii="Arial" w:cs="Arial" w:eastAsia="Arial" w:hAnsi="Arial"/>
                <w:sz w:val="16"/>
                <w:szCs w:val="16"/>
                <w:color w:val="auto"/>
              </w:rPr>
              <w:t>404,002</w:t>
            </w:r>
          </w:p>
        </w:tc>
        <w:tc>
          <w:tcPr>
            <w:tcW w:w="760" w:type="dxa"/>
            <w:vAlign w:val="bottom"/>
          </w:tcPr>
          <w:p>
            <w:pPr>
              <w:jc w:val="right"/>
              <w:ind w:right="27"/>
              <w:spacing w:after="0"/>
              <w:rPr>
                <w:sz w:val="20"/>
                <w:szCs w:val="20"/>
                <w:color w:val="auto"/>
              </w:rPr>
            </w:pPr>
            <w:r>
              <w:rPr>
                <w:rFonts w:ascii="Arial" w:cs="Arial" w:eastAsia="Arial" w:hAnsi="Arial"/>
                <w:sz w:val="16"/>
                <w:szCs w:val="16"/>
                <w:color w:val="auto"/>
              </w:rPr>
              <w:t>225,000</w:t>
            </w:r>
          </w:p>
        </w:tc>
        <w:tc>
          <w:tcPr>
            <w:tcW w:w="860" w:type="dxa"/>
            <w:vAlign w:val="bottom"/>
          </w:tcPr>
          <w:p>
            <w:pPr>
              <w:jc w:val="right"/>
              <w:spacing w:after="0"/>
              <w:rPr>
                <w:sz w:val="20"/>
                <w:szCs w:val="20"/>
                <w:color w:val="auto"/>
              </w:rPr>
            </w:pPr>
            <w:r>
              <w:rPr>
                <w:rFonts w:ascii="Arial" w:cs="Arial" w:eastAsia="Arial" w:hAnsi="Arial"/>
                <w:sz w:val="16"/>
                <w:szCs w:val="16"/>
                <w:color w:val="auto"/>
              </w:rPr>
              <w:t>1,349,985</w:t>
            </w:r>
          </w:p>
        </w:tc>
        <w:tc>
          <w:tcPr>
            <w:tcW w:w="1120" w:type="dxa"/>
            <w:vAlign w:val="bottom"/>
          </w:tcPr>
          <w:p>
            <w:pPr>
              <w:jc w:val="right"/>
              <w:ind w:right="7"/>
              <w:spacing w:after="0"/>
              <w:rPr>
                <w:sz w:val="20"/>
                <w:szCs w:val="20"/>
                <w:color w:val="auto"/>
              </w:rPr>
            </w:pPr>
            <w:r>
              <w:rPr>
                <w:rFonts w:ascii="Arial" w:cs="Arial" w:eastAsia="Arial" w:hAnsi="Arial"/>
                <w:sz w:val="16"/>
                <w:szCs w:val="16"/>
                <w:color w:val="auto"/>
              </w:rPr>
              <w:t>663,664</w:t>
            </w:r>
          </w:p>
        </w:tc>
        <w:tc>
          <w:tcPr>
            <w:tcW w:w="1140" w:type="dxa"/>
            <w:vAlign w:val="bottom"/>
          </w:tcPr>
          <w:p>
            <w:pPr>
              <w:jc w:val="right"/>
              <w:ind w:right="26"/>
              <w:spacing w:after="0"/>
              <w:rPr>
                <w:sz w:val="20"/>
                <w:szCs w:val="20"/>
                <w:color w:val="auto"/>
              </w:rPr>
            </w:pPr>
            <w:r>
              <w:rPr>
                <w:rFonts w:ascii="Arial" w:cs="Arial" w:eastAsia="Arial" w:hAnsi="Arial"/>
                <w:sz w:val="16"/>
                <w:szCs w:val="16"/>
                <w:color w:val="auto"/>
              </w:rPr>
              <w:t>5,864</w:t>
            </w: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2,648,515</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20" w:type="dxa"/>
            <w:vAlign w:val="bottom"/>
            <w:shd w:val="clear" w:color="auto" w:fill="9DBDE4"/>
          </w:tcPr>
          <w:p>
            <w:pPr>
              <w:ind w:left="40"/>
              <w:spacing w:after="0"/>
              <w:rPr>
                <w:sz w:val="20"/>
                <w:szCs w:val="20"/>
                <w:color w:val="auto"/>
              </w:rPr>
            </w:pPr>
            <w:r>
              <w:rPr>
                <w:rFonts w:ascii="Arial" w:cs="Arial" w:eastAsia="Arial" w:hAnsi="Arial"/>
                <w:sz w:val="16"/>
                <w:szCs w:val="16"/>
                <w:color w:val="auto"/>
              </w:rPr>
              <w:t>Debbie L. Guerra</w:t>
            </w:r>
          </w:p>
        </w:tc>
        <w:tc>
          <w:tcPr>
            <w:tcW w:w="560" w:type="dxa"/>
            <w:vAlign w:val="bottom"/>
            <w:shd w:val="clear" w:color="auto" w:fill="9DBDE4"/>
          </w:tcPr>
          <w:p>
            <w:pPr>
              <w:ind w:left="100"/>
              <w:spacing w:after="0"/>
              <w:rPr>
                <w:sz w:val="20"/>
                <w:szCs w:val="20"/>
                <w:color w:val="auto"/>
              </w:rPr>
            </w:pPr>
            <w:r>
              <w:rPr>
                <w:rFonts w:ascii="Arial" w:cs="Arial" w:eastAsia="Arial" w:hAnsi="Arial"/>
                <w:sz w:val="16"/>
                <w:szCs w:val="16"/>
                <w:color w:val="auto"/>
              </w:rPr>
              <w:t>2023</w:t>
            </w:r>
          </w:p>
        </w:tc>
        <w:tc>
          <w:tcPr>
            <w:tcW w:w="900" w:type="dxa"/>
            <w:vAlign w:val="bottom"/>
            <w:shd w:val="clear" w:color="auto" w:fill="9DBDE4"/>
          </w:tcPr>
          <w:p>
            <w:pPr>
              <w:jc w:val="right"/>
              <w:ind w:right="46"/>
              <w:spacing w:after="0"/>
              <w:rPr>
                <w:sz w:val="20"/>
                <w:szCs w:val="20"/>
                <w:color w:val="auto"/>
              </w:rPr>
            </w:pPr>
            <w:r>
              <w:rPr>
                <w:rFonts w:ascii="Arial" w:cs="Arial" w:eastAsia="Arial" w:hAnsi="Arial"/>
                <w:sz w:val="16"/>
                <w:szCs w:val="16"/>
                <w:color w:val="auto"/>
              </w:rPr>
              <w:t>391,500</w:t>
            </w:r>
          </w:p>
        </w:tc>
        <w:tc>
          <w:tcPr>
            <w:tcW w:w="760" w:type="dxa"/>
            <w:vAlign w:val="bottom"/>
            <w:shd w:val="clear" w:color="auto" w:fill="9DBDE4"/>
          </w:tcPr>
          <w:p>
            <w:pPr>
              <w:jc w:val="right"/>
              <w:ind w:right="27"/>
              <w:spacing w:after="0"/>
              <w:rPr>
                <w:sz w:val="20"/>
                <w:szCs w:val="20"/>
                <w:color w:val="auto"/>
              </w:rPr>
            </w:pPr>
            <w:r>
              <w:rPr>
                <w:rFonts w:ascii="Arial" w:cs="Arial" w:eastAsia="Arial" w:hAnsi="Arial"/>
                <w:sz w:val="16"/>
                <w:szCs w:val="16"/>
                <w:color w:val="auto"/>
              </w:rPr>
              <w:t>-</w:t>
            </w:r>
          </w:p>
        </w:tc>
        <w:tc>
          <w:tcPr>
            <w:tcW w:w="860" w:type="dxa"/>
            <w:vAlign w:val="bottom"/>
            <w:shd w:val="clear" w:color="auto" w:fill="9DBDE4"/>
          </w:tcPr>
          <w:p>
            <w:pPr>
              <w:jc w:val="right"/>
              <w:spacing w:after="0"/>
              <w:rPr>
                <w:sz w:val="20"/>
                <w:szCs w:val="20"/>
                <w:color w:val="auto"/>
              </w:rPr>
            </w:pPr>
            <w:r>
              <w:rPr>
                <w:rFonts w:ascii="Arial" w:cs="Arial" w:eastAsia="Arial" w:hAnsi="Arial"/>
                <w:sz w:val="16"/>
                <w:szCs w:val="16"/>
                <w:color w:val="auto"/>
              </w:rPr>
              <w:t>1,019,076</w:t>
            </w:r>
          </w:p>
        </w:tc>
        <w:tc>
          <w:tcPr>
            <w:tcW w:w="1120" w:type="dxa"/>
            <w:vAlign w:val="bottom"/>
            <w:shd w:val="clear" w:color="auto" w:fill="9DBDE4"/>
          </w:tcPr>
          <w:p>
            <w:pPr>
              <w:jc w:val="right"/>
              <w:ind w:right="7"/>
              <w:spacing w:after="0"/>
              <w:rPr>
                <w:sz w:val="20"/>
                <w:szCs w:val="20"/>
                <w:color w:val="auto"/>
              </w:rPr>
            </w:pPr>
            <w:r>
              <w:rPr>
                <w:rFonts w:ascii="Arial" w:cs="Arial" w:eastAsia="Arial" w:hAnsi="Arial"/>
                <w:sz w:val="16"/>
                <w:szCs w:val="16"/>
                <w:color w:val="auto"/>
              </w:rPr>
              <w:t>482,000</w:t>
            </w:r>
          </w:p>
        </w:tc>
        <w:tc>
          <w:tcPr>
            <w:tcW w:w="1140" w:type="dxa"/>
            <w:vAlign w:val="bottom"/>
            <w:shd w:val="clear" w:color="auto" w:fill="9DBDE4"/>
          </w:tcPr>
          <w:p>
            <w:pPr>
              <w:jc w:val="right"/>
              <w:ind w:right="26"/>
              <w:spacing w:after="0"/>
              <w:rPr>
                <w:sz w:val="20"/>
                <w:szCs w:val="20"/>
                <w:color w:val="auto"/>
              </w:rPr>
            </w:pPr>
            <w:r>
              <w:rPr>
                <w:rFonts w:ascii="Arial" w:cs="Arial" w:eastAsia="Arial" w:hAnsi="Arial"/>
                <w:sz w:val="16"/>
                <w:szCs w:val="16"/>
                <w:color w:val="auto"/>
              </w:rPr>
              <w:t>62,558</w:t>
            </w:r>
          </w:p>
        </w:tc>
        <w:tc>
          <w:tcPr>
            <w:tcW w:w="880" w:type="dxa"/>
            <w:vAlign w:val="bottom"/>
            <w:shd w:val="clear" w:color="auto" w:fill="9DBDE4"/>
          </w:tcPr>
          <w:p>
            <w:pPr>
              <w:jc w:val="right"/>
              <w:ind w:right="4"/>
              <w:spacing w:after="0"/>
              <w:rPr>
                <w:sz w:val="20"/>
                <w:szCs w:val="20"/>
                <w:color w:val="auto"/>
              </w:rPr>
            </w:pPr>
            <w:r>
              <w:rPr>
                <w:rFonts w:ascii="Arial" w:cs="Arial" w:eastAsia="Arial" w:hAnsi="Arial"/>
                <w:sz w:val="16"/>
                <w:szCs w:val="16"/>
                <w:color w:val="auto"/>
              </w:rPr>
              <w:t>1,955,134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120" w:type="dxa"/>
            <w:vAlign w:val="bottom"/>
            <w:tcBorders>
              <w:bottom w:val="single" w:sz="8" w:color="9DBDE4"/>
            </w:tcBorders>
            <w:shd w:val="clear" w:color="auto" w:fill="9DBDE4"/>
          </w:tcPr>
          <w:p>
            <w:pPr>
              <w:ind w:left="40"/>
              <w:spacing w:after="0"/>
              <w:rPr>
                <w:sz w:val="20"/>
                <w:szCs w:val="20"/>
                <w:color w:val="auto"/>
              </w:rPr>
            </w:pPr>
            <w:r>
              <w:rPr>
                <w:rFonts w:ascii="Arial" w:cs="Arial" w:eastAsia="Arial" w:hAnsi="Arial"/>
                <w:sz w:val="16"/>
                <w:szCs w:val="16"/>
                <w:color w:val="auto"/>
              </w:rPr>
              <w:t>Chief Product Officer</w:t>
            </w:r>
          </w:p>
        </w:tc>
        <w:tc>
          <w:tcPr>
            <w:tcW w:w="560" w:type="dxa"/>
            <w:vAlign w:val="bottom"/>
            <w:tcBorders>
              <w:bottom w:val="single" w:sz="8" w:color="9DBDE4"/>
            </w:tcBorders>
            <w:shd w:val="clear" w:color="auto" w:fill="9DBDE4"/>
          </w:tcPr>
          <w:p>
            <w:pPr>
              <w:ind w:left="100"/>
              <w:spacing w:after="0"/>
              <w:rPr>
                <w:sz w:val="20"/>
                <w:szCs w:val="20"/>
                <w:color w:val="auto"/>
              </w:rPr>
            </w:pPr>
            <w:r>
              <w:rPr>
                <w:rFonts w:ascii="Arial" w:cs="Arial" w:eastAsia="Arial" w:hAnsi="Arial"/>
                <w:sz w:val="16"/>
                <w:szCs w:val="16"/>
                <w:color w:val="auto"/>
              </w:rPr>
              <w:t>2022</w:t>
            </w:r>
          </w:p>
        </w:tc>
        <w:tc>
          <w:tcPr>
            <w:tcW w:w="900" w:type="dxa"/>
            <w:vAlign w:val="bottom"/>
            <w:tcBorders>
              <w:bottom w:val="single" w:sz="8" w:color="9DBDE4"/>
            </w:tcBorders>
            <w:shd w:val="clear" w:color="auto" w:fill="9DBDE4"/>
          </w:tcPr>
          <w:p>
            <w:pPr>
              <w:jc w:val="right"/>
              <w:ind w:right="46"/>
              <w:spacing w:after="0"/>
              <w:rPr>
                <w:sz w:val="20"/>
                <w:szCs w:val="20"/>
                <w:color w:val="auto"/>
              </w:rPr>
            </w:pPr>
            <w:r>
              <w:rPr>
                <w:rFonts w:ascii="Arial" w:cs="Arial" w:eastAsia="Arial" w:hAnsi="Arial"/>
                <w:sz w:val="16"/>
                <w:szCs w:val="16"/>
                <w:color w:val="auto"/>
              </w:rPr>
              <w:t>373,831</w:t>
            </w:r>
          </w:p>
        </w:tc>
        <w:tc>
          <w:tcPr>
            <w:tcW w:w="760" w:type="dxa"/>
            <w:vAlign w:val="bottom"/>
            <w:tcBorders>
              <w:bottom w:val="single" w:sz="8" w:color="9DBDE4"/>
            </w:tcBorders>
            <w:shd w:val="clear" w:color="auto" w:fill="9DBDE4"/>
          </w:tcPr>
          <w:p>
            <w:pPr>
              <w:spacing w:after="0"/>
              <w:rPr>
                <w:sz w:val="19"/>
                <w:szCs w:val="19"/>
                <w:color w:val="auto"/>
              </w:rPr>
            </w:pPr>
          </w:p>
        </w:tc>
        <w:tc>
          <w:tcPr>
            <w:tcW w:w="860" w:type="dxa"/>
            <w:vAlign w:val="bottom"/>
            <w:tcBorders>
              <w:bottom w:val="single" w:sz="8" w:color="9DBDE4"/>
            </w:tcBorders>
            <w:shd w:val="clear" w:color="auto" w:fill="9DBDE4"/>
          </w:tcPr>
          <w:p>
            <w:pPr>
              <w:jc w:val="right"/>
              <w:spacing w:after="0"/>
              <w:rPr>
                <w:sz w:val="20"/>
                <w:szCs w:val="20"/>
                <w:color w:val="auto"/>
              </w:rPr>
            </w:pPr>
            <w:r>
              <w:rPr>
                <w:rFonts w:ascii="Arial" w:cs="Arial" w:eastAsia="Arial" w:hAnsi="Arial"/>
                <w:sz w:val="16"/>
                <w:szCs w:val="16"/>
                <w:color w:val="auto"/>
              </w:rPr>
              <w:t>799,998</w:t>
            </w:r>
          </w:p>
        </w:tc>
        <w:tc>
          <w:tcPr>
            <w:tcW w:w="1120" w:type="dxa"/>
            <w:vAlign w:val="bottom"/>
            <w:tcBorders>
              <w:bottom w:val="single" w:sz="8" w:color="9DBDE4"/>
            </w:tcBorders>
            <w:shd w:val="clear" w:color="auto" w:fill="9DBDE4"/>
          </w:tcPr>
          <w:p>
            <w:pPr>
              <w:jc w:val="right"/>
              <w:ind w:right="7"/>
              <w:spacing w:after="0"/>
              <w:rPr>
                <w:sz w:val="20"/>
                <w:szCs w:val="20"/>
                <w:color w:val="auto"/>
              </w:rPr>
            </w:pPr>
            <w:r>
              <w:rPr>
                <w:rFonts w:ascii="Arial" w:cs="Arial" w:eastAsia="Arial" w:hAnsi="Arial"/>
                <w:sz w:val="16"/>
                <w:szCs w:val="16"/>
                <w:color w:val="auto"/>
              </w:rPr>
              <w:t>300,000</w:t>
            </w:r>
          </w:p>
        </w:tc>
        <w:tc>
          <w:tcPr>
            <w:tcW w:w="1140" w:type="dxa"/>
            <w:vAlign w:val="bottom"/>
            <w:tcBorders>
              <w:bottom w:val="single" w:sz="8" w:color="9DBDE4"/>
            </w:tcBorders>
            <w:shd w:val="clear" w:color="auto" w:fill="9DBDE4"/>
          </w:tcPr>
          <w:p>
            <w:pPr>
              <w:jc w:val="right"/>
              <w:ind w:right="26"/>
              <w:spacing w:after="0"/>
              <w:rPr>
                <w:sz w:val="20"/>
                <w:szCs w:val="20"/>
                <w:color w:val="auto"/>
              </w:rPr>
            </w:pPr>
            <w:r>
              <w:rPr>
                <w:rFonts w:ascii="Arial" w:cs="Arial" w:eastAsia="Arial" w:hAnsi="Arial"/>
                <w:sz w:val="16"/>
                <w:szCs w:val="16"/>
                <w:color w:val="auto"/>
              </w:rPr>
              <w:t>50,939</w:t>
            </w:r>
          </w:p>
        </w:tc>
        <w:tc>
          <w:tcPr>
            <w:tcW w:w="880" w:type="dxa"/>
            <w:vAlign w:val="bottom"/>
            <w:tcBorders>
              <w:bottom w:val="single" w:sz="8" w:color="9DBDE4"/>
            </w:tcBorders>
            <w:shd w:val="clear" w:color="auto" w:fill="9DBDE4"/>
          </w:tcPr>
          <w:p>
            <w:pPr>
              <w:jc w:val="right"/>
              <w:ind w:right="4"/>
              <w:spacing w:after="0"/>
              <w:rPr>
                <w:sz w:val="20"/>
                <w:szCs w:val="20"/>
                <w:color w:val="auto"/>
              </w:rPr>
            </w:pPr>
            <w:r>
              <w:rPr>
                <w:rFonts w:ascii="Arial" w:cs="Arial" w:eastAsia="Arial" w:hAnsi="Arial"/>
                <w:sz w:val="16"/>
                <w:szCs w:val="16"/>
                <w:color w:val="auto"/>
              </w:rPr>
              <w:t>1,524,768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20" w:type="dxa"/>
            <w:vAlign w:val="bottom"/>
          </w:tcPr>
          <w:p>
            <w:pPr>
              <w:ind w:left="40"/>
              <w:spacing w:after="0"/>
              <w:rPr>
                <w:sz w:val="20"/>
                <w:szCs w:val="20"/>
                <w:color w:val="auto"/>
              </w:rPr>
            </w:pPr>
            <w:r>
              <w:rPr>
                <w:rFonts w:ascii="Arial" w:cs="Arial" w:eastAsia="Arial" w:hAnsi="Arial"/>
                <w:sz w:val="16"/>
                <w:szCs w:val="16"/>
                <w:color w:val="auto"/>
              </w:rPr>
              <w:t>Kuruvilla, Abraham</w:t>
            </w:r>
          </w:p>
        </w:tc>
        <w:tc>
          <w:tcPr>
            <w:tcW w:w="560" w:type="dxa"/>
            <w:vAlign w:val="bottom"/>
          </w:tcPr>
          <w:p>
            <w:pPr>
              <w:ind w:left="100"/>
              <w:spacing w:after="0"/>
              <w:rPr>
                <w:sz w:val="20"/>
                <w:szCs w:val="20"/>
                <w:color w:val="auto"/>
              </w:rPr>
            </w:pPr>
            <w:r>
              <w:rPr>
                <w:rFonts w:ascii="Arial" w:cs="Arial" w:eastAsia="Arial" w:hAnsi="Arial"/>
                <w:sz w:val="16"/>
                <w:szCs w:val="16"/>
                <w:color w:val="auto"/>
              </w:rPr>
              <w:t>2023</w:t>
            </w:r>
          </w:p>
        </w:tc>
        <w:tc>
          <w:tcPr>
            <w:tcW w:w="900" w:type="dxa"/>
            <w:vAlign w:val="bottom"/>
          </w:tcPr>
          <w:p>
            <w:pPr>
              <w:jc w:val="right"/>
              <w:ind w:right="46"/>
              <w:spacing w:after="0"/>
              <w:rPr>
                <w:sz w:val="20"/>
                <w:szCs w:val="20"/>
                <w:color w:val="auto"/>
              </w:rPr>
            </w:pPr>
            <w:r>
              <w:rPr>
                <w:rFonts w:ascii="Arial" w:cs="Arial" w:eastAsia="Arial" w:hAnsi="Arial"/>
                <w:sz w:val="16"/>
                <w:szCs w:val="16"/>
                <w:color w:val="auto"/>
              </w:rPr>
              <w:t>80,205</w:t>
            </w:r>
          </w:p>
        </w:tc>
        <w:tc>
          <w:tcPr>
            <w:tcW w:w="760" w:type="dxa"/>
            <w:vAlign w:val="bottom"/>
          </w:tcPr>
          <w:p>
            <w:pPr>
              <w:jc w:val="right"/>
              <w:ind w:right="27"/>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1,600,004</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6"/>
              <w:spacing w:after="0"/>
              <w:rPr>
                <w:sz w:val="20"/>
                <w:szCs w:val="20"/>
                <w:color w:val="auto"/>
              </w:rPr>
            </w:pPr>
            <w:r>
              <w:rPr>
                <w:rFonts w:ascii="Arial" w:cs="Arial" w:eastAsia="Arial" w:hAnsi="Arial"/>
                <w:sz w:val="16"/>
                <w:szCs w:val="16"/>
                <w:color w:val="auto"/>
              </w:rPr>
              <w:t>144</w:t>
            </w: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1,680,353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20" w:type="dxa"/>
            <w:vAlign w:val="bottom"/>
          </w:tcPr>
          <w:p>
            <w:pPr>
              <w:ind w:left="40"/>
              <w:spacing w:after="0"/>
              <w:rPr>
                <w:sz w:val="20"/>
                <w:szCs w:val="20"/>
                <w:color w:val="auto"/>
              </w:rPr>
            </w:pPr>
            <w:r>
              <w:rPr>
                <w:rFonts w:ascii="Arial" w:cs="Arial" w:eastAsia="Arial" w:hAnsi="Arial"/>
                <w:sz w:val="16"/>
                <w:szCs w:val="16"/>
                <w:color w:val="auto"/>
              </w:rPr>
              <w:t>Chief Technology Officer</w:t>
            </w: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120" w:type="dxa"/>
            <w:vAlign w:val="bottom"/>
            <w:tcBorders>
              <w:bottom w:val="single" w:sz="8" w:color="284993"/>
            </w:tcBorders>
          </w:tcPr>
          <w:p>
            <w:pPr>
              <w:spacing w:after="0"/>
              <w:rPr>
                <w:sz w:val="4"/>
                <w:szCs w:val="4"/>
                <w:color w:val="auto"/>
              </w:rPr>
            </w:pPr>
          </w:p>
        </w:tc>
        <w:tc>
          <w:tcPr>
            <w:tcW w:w="560" w:type="dxa"/>
            <w:vAlign w:val="bottom"/>
            <w:tcBorders>
              <w:bottom w:val="single" w:sz="8" w:color="284993"/>
            </w:tcBorders>
          </w:tcPr>
          <w:p>
            <w:pPr>
              <w:spacing w:after="0"/>
              <w:rPr>
                <w:sz w:val="4"/>
                <w:szCs w:val="4"/>
                <w:color w:val="auto"/>
              </w:rPr>
            </w:pPr>
          </w:p>
        </w:tc>
        <w:tc>
          <w:tcPr>
            <w:tcW w:w="900" w:type="dxa"/>
            <w:vAlign w:val="bottom"/>
            <w:tcBorders>
              <w:bottom w:val="single" w:sz="8" w:color="284993"/>
            </w:tcBorders>
          </w:tcPr>
          <w:p>
            <w:pPr>
              <w:spacing w:after="0"/>
              <w:rPr>
                <w:sz w:val="4"/>
                <w:szCs w:val="4"/>
                <w:color w:val="auto"/>
              </w:rPr>
            </w:pPr>
          </w:p>
        </w:tc>
        <w:tc>
          <w:tcPr>
            <w:tcW w:w="760" w:type="dxa"/>
            <w:vAlign w:val="bottom"/>
            <w:tcBorders>
              <w:bottom w:val="single" w:sz="8" w:color="284993"/>
            </w:tcBorders>
          </w:tcPr>
          <w:p>
            <w:pPr>
              <w:spacing w:after="0"/>
              <w:rPr>
                <w:sz w:val="4"/>
                <w:szCs w:val="4"/>
                <w:color w:val="auto"/>
              </w:rPr>
            </w:pPr>
          </w:p>
        </w:tc>
        <w:tc>
          <w:tcPr>
            <w:tcW w:w="860" w:type="dxa"/>
            <w:vAlign w:val="bottom"/>
            <w:tcBorders>
              <w:bottom w:val="single" w:sz="8" w:color="284993"/>
            </w:tcBorders>
          </w:tcPr>
          <w:p>
            <w:pPr>
              <w:spacing w:after="0"/>
              <w:rPr>
                <w:sz w:val="4"/>
                <w:szCs w:val="4"/>
                <w:color w:val="auto"/>
              </w:rPr>
            </w:pPr>
          </w:p>
        </w:tc>
        <w:tc>
          <w:tcPr>
            <w:tcW w:w="1120" w:type="dxa"/>
            <w:vAlign w:val="bottom"/>
            <w:tcBorders>
              <w:bottom w:val="single" w:sz="8" w:color="284993"/>
            </w:tcBorders>
          </w:tcPr>
          <w:p>
            <w:pPr>
              <w:spacing w:after="0"/>
              <w:rPr>
                <w:sz w:val="4"/>
                <w:szCs w:val="4"/>
                <w:color w:val="auto"/>
              </w:rPr>
            </w:pPr>
          </w:p>
        </w:tc>
        <w:tc>
          <w:tcPr>
            <w:tcW w:w="1140" w:type="dxa"/>
            <w:vAlign w:val="bottom"/>
            <w:tcBorders>
              <w:bottom w:val="single" w:sz="8" w:color="284993"/>
            </w:tcBorders>
          </w:tcPr>
          <w:p>
            <w:pPr>
              <w:spacing w:after="0"/>
              <w:rPr>
                <w:sz w:val="4"/>
                <w:szCs w:val="4"/>
                <w:color w:val="auto"/>
              </w:rPr>
            </w:pPr>
          </w:p>
        </w:tc>
        <w:tc>
          <w:tcPr>
            <w:tcW w:w="880" w:type="dxa"/>
            <w:vAlign w:val="bottom"/>
            <w:tcBorders>
              <w:bottom w:val="single" w:sz="8" w:color="284993"/>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-618490</wp:posOffset>
            </wp:positionV>
            <wp:extent cx="8255" cy="3054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305435"/>
                    </a:xfrm>
                    <a:prstGeom prst="rect">
                      <a:avLst/>
                    </a:prstGeom>
                    <a:noFill/>
                  </pic:spPr>
                </pic:pic>
              </a:graphicData>
            </a:graphic>
          </wp:anchor>
        </w:drawing>
        <w:drawing>
          <wp:anchor simplePos="0" relativeHeight="251657728" behindDoc="1" locked="0" layoutInCell="0" allowOverlap="1">
            <wp:simplePos x="0" y="0"/>
            <wp:positionH relativeFrom="column">
              <wp:posOffset>4669790</wp:posOffset>
            </wp:positionH>
            <wp:positionV relativeFrom="paragraph">
              <wp:posOffset>-618490</wp:posOffset>
            </wp:positionV>
            <wp:extent cx="8255" cy="3054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30543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-618490</wp:posOffset>
            </wp:positionV>
            <wp:extent cx="8255" cy="3054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30543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-618490</wp:posOffset>
            </wp:positionV>
            <wp:extent cx="8255" cy="3054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305435"/>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-618490</wp:posOffset>
            </wp:positionV>
            <wp:extent cx="8255" cy="3054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305435"/>
                    </a:xfrm>
                    <a:prstGeom prst="rect">
                      <a:avLst/>
                    </a:prstGeom>
                    <a:noFill/>
                  </pic:spPr>
                </pic:pic>
              </a:graphicData>
            </a:graphic>
          </wp:anchor>
        </w:drawing>
        <w:drawing>
          <wp:anchor simplePos="0" relativeHeight="251657728" behindDoc="1" locked="0" layoutInCell="0" allowOverlap="1">
            <wp:simplePos x="0" y="0"/>
            <wp:positionH relativeFrom="column">
              <wp:posOffset>2334895</wp:posOffset>
            </wp:positionH>
            <wp:positionV relativeFrom="paragraph">
              <wp:posOffset>-618490</wp:posOffset>
            </wp:positionV>
            <wp:extent cx="8255" cy="3054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30543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-618490</wp:posOffset>
            </wp:positionV>
            <wp:extent cx="8255" cy="3054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30543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-1344295</wp:posOffset>
            </wp:positionV>
            <wp:extent cx="8255" cy="4210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421005"/>
                    </a:xfrm>
                    <a:prstGeom prst="rect">
                      <a:avLst/>
                    </a:prstGeom>
                    <a:noFill/>
                  </pic:spPr>
                </pic:pic>
              </a:graphicData>
            </a:graphic>
          </wp:anchor>
        </w:drawing>
        <w:drawing>
          <wp:anchor simplePos="0" relativeHeight="251657728" behindDoc="1" locked="0" layoutInCell="0" allowOverlap="1">
            <wp:simplePos x="0" y="0"/>
            <wp:positionH relativeFrom="column">
              <wp:posOffset>4669790</wp:posOffset>
            </wp:positionH>
            <wp:positionV relativeFrom="paragraph">
              <wp:posOffset>-1344295</wp:posOffset>
            </wp:positionV>
            <wp:extent cx="8255" cy="4210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42100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-1344295</wp:posOffset>
            </wp:positionV>
            <wp:extent cx="8255" cy="4210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42100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-1344295</wp:posOffset>
            </wp:positionV>
            <wp:extent cx="8255" cy="4210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421005"/>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-1344295</wp:posOffset>
            </wp:positionV>
            <wp:extent cx="8255" cy="4210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421005"/>
                    </a:xfrm>
                    <a:prstGeom prst="rect">
                      <a:avLst/>
                    </a:prstGeom>
                    <a:noFill/>
                  </pic:spPr>
                </pic:pic>
              </a:graphicData>
            </a:graphic>
          </wp:anchor>
        </w:drawing>
        <w:drawing>
          <wp:anchor simplePos="0" relativeHeight="251657728" behindDoc="1" locked="0" layoutInCell="0" allowOverlap="1">
            <wp:simplePos x="0" y="0"/>
            <wp:positionH relativeFrom="column">
              <wp:posOffset>2334895</wp:posOffset>
            </wp:positionH>
            <wp:positionV relativeFrom="paragraph">
              <wp:posOffset>-1344295</wp:posOffset>
            </wp:positionV>
            <wp:extent cx="8255" cy="4210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42100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-1344295</wp:posOffset>
            </wp:positionV>
            <wp:extent cx="8255" cy="4210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421005"/>
                    </a:xfrm>
                    <a:prstGeom prst="rect">
                      <a:avLst/>
                    </a:prstGeom>
                    <a:noFill/>
                  </pic:spPr>
                </pic:pic>
              </a:graphicData>
            </a:graphic>
          </wp:anchor>
        </w:drawing>
      </w:r>
    </w:p>
    <w:p>
      <w:pPr>
        <w:spacing w:after="0" w:line="90" w:lineRule="exact"/>
        <w:rPr>
          <w:sz w:val="20"/>
          <w:szCs w:val="20"/>
          <w:color w:val="auto"/>
        </w:rPr>
      </w:pPr>
    </w:p>
    <w:p>
      <w:pPr>
        <w:ind w:left="360" w:right="260" w:hanging="354"/>
        <w:spacing w:after="0" w:line="204" w:lineRule="auto"/>
        <w:tabs>
          <w:tab w:leader="none" w:pos="360" w:val="left"/>
        </w:tabs>
        <w:numPr>
          <w:ilvl w:val="0"/>
          <w:numId w:val="44"/>
        </w:numPr>
        <w:rPr>
          <w:rFonts w:ascii="Arial" w:cs="Arial" w:eastAsia="Arial" w:hAnsi="Arial"/>
          <w:sz w:val="21"/>
          <w:szCs w:val="21"/>
          <w:color w:val="auto"/>
          <w:vertAlign w:val="superscript"/>
        </w:rPr>
      </w:pPr>
      <w:r>
        <w:rPr>
          <w:rFonts w:ascii="Arial" w:cs="Arial" w:eastAsia="Arial" w:hAnsi="Arial"/>
          <w:sz w:val="14"/>
          <w:szCs w:val="14"/>
          <w:color w:val="auto"/>
        </w:rPr>
        <w:t>Amount in this column for Mr. Warsop III reflects (i) payments earned (at the rate $325,000 per month) for his service as interim CEO from January 1, 2023 through May 31, 2023 and (ii) base salary earned (at the rate of $750,000 per year) for his service during the remainder of the year.</w:t>
      </w:r>
    </w:p>
    <w:p>
      <w:pPr>
        <w:ind w:left="360" w:right="80" w:hanging="354"/>
        <w:spacing w:after="0" w:line="185" w:lineRule="auto"/>
        <w:tabs>
          <w:tab w:leader="none" w:pos="360" w:val="left"/>
        </w:tabs>
        <w:numPr>
          <w:ilvl w:val="0"/>
          <w:numId w:val="44"/>
        </w:numPr>
        <w:rPr>
          <w:rFonts w:ascii="Arial" w:cs="Arial" w:eastAsia="Arial" w:hAnsi="Arial"/>
          <w:sz w:val="21"/>
          <w:szCs w:val="21"/>
          <w:color w:val="auto"/>
          <w:vertAlign w:val="superscript"/>
        </w:rPr>
      </w:pPr>
      <w:r>
        <w:rPr>
          <w:rFonts w:ascii="Arial" w:cs="Arial" w:eastAsia="Arial" w:hAnsi="Arial"/>
          <w:sz w:val="14"/>
          <w:szCs w:val="14"/>
          <w:color w:val="auto"/>
        </w:rPr>
        <w:t>Column (d) consists of a bonus to Mr. Warsop III for his interim service. Mr. Warsop III received a $325,000 bonus at the discretion of our Board of Directors based on its evaluation of his performance as interim CEO.</w:t>
      </w:r>
    </w:p>
    <w:p>
      <w:pPr>
        <w:spacing w:after="0" w:line="1" w:lineRule="exact"/>
        <w:rPr>
          <w:rFonts w:ascii="Arial" w:cs="Arial" w:eastAsia="Arial" w:hAnsi="Arial"/>
          <w:sz w:val="21"/>
          <w:szCs w:val="21"/>
          <w:color w:val="auto"/>
          <w:vertAlign w:val="superscript"/>
        </w:rPr>
      </w:pPr>
    </w:p>
    <w:p>
      <w:pPr>
        <w:ind w:left="360" w:right="80" w:hanging="354"/>
        <w:spacing w:after="0" w:line="222" w:lineRule="auto"/>
        <w:tabs>
          <w:tab w:leader="none" w:pos="360" w:val="left"/>
        </w:tabs>
        <w:numPr>
          <w:ilvl w:val="0"/>
          <w:numId w:val="44"/>
        </w:numPr>
        <w:rPr>
          <w:rFonts w:ascii="Arial" w:cs="Arial" w:eastAsia="Arial" w:hAnsi="Arial"/>
          <w:sz w:val="21"/>
          <w:szCs w:val="21"/>
          <w:color w:val="auto"/>
          <w:vertAlign w:val="superscript"/>
        </w:rPr>
      </w:pPr>
      <w:r>
        <w:rPr>
          <w:rFonts w:ascii="Arial" w:cs="Arial" w:eastAsia="Arial" w:hAnsi="Arial"/>
          <w:sz w:val="14"/>
          <w:szCs w:val="14"/>
          <w:color w:val="auto"/>
        </w:rPr>
        <w:t>The amounts in column (e) reflect the aggregate grant date fair value of the RSU awards and the PSU awards granted during the respective fiscal year as computed in accordance with FASB ASC Topic 718, excluding the effect of estimated forfeitures. The amounts shown do not necessarily correspond to the actual value that will be recognized by a Named Executive Officer. The assumptions used in the calculation of these amounts are included in footnote 6 to the Company’s audited consolidated financial statements for the year ended December 31, 2023, included in our Annual Report. The grant date fair values included in column (e) are based upon the probable outcome of the performance conditions. Consistent with the requirements of FASB ASC Topic 718, the value of PSUs granted in 2023 is based on one-third of the full number of shares for which Net Adjusted EBITDA Margin and Revenue Net of Interchange Growth goals were established in fiscal year 2023. The remaining portions of the 2023 PSU awards will be linked to goals for subsequent fiscal years and will be reported in the Summary Compensation Tables for those fiscal years. Assuming maximum performance with respect to the applicable performance objectives, the grant date fair values for the PSUs would be as follows: for Mr. Warsop III, $1,816,418; for Mr. Behrens, $1,004,593; for Mr. Silva, $538,153; for Mrs. Guerra, $538,153; and Mr. Kuruvilla did not receive any PSU awards in 2023.</w:t>
      </w:r>
    </w:p>
    <w:p>
      <w:pPr>
        <w:spacing w:after="0" w:line="2" w:lineRule="exact"/>
        <w:rPr>
          <w:rFonts w:ascii="Arial" w:cs="Arial" w:eastAsia="Arial" w:hAnsi="Arial"/>
          <w:sz w:val="21"/>
          <w:szCs w:val="21"/>
          <w:color w:val="auto"/>
          <w:vertAlign w:val="superscript"/>
        </w:rPr>
      </w:pPr>
    </w:p>
    <w:p>
      <w:pPr>
        <w:ind w:left="360" w:hanging="354"/>
        <w:spacing w:after="0" w:line="193" w:lineRule="auto"/>
        <w:tabs>
          <w:tab w:leader="none" w:pos="360" w:val="left"/>
        </w:tabs>
        <w:numPr>
          <w:ilvl w:val="0"/>
          <w:numId w:val="44"/>
        </w:numPr>
        <w:rPr>
          <w:rFonts w:ascii="Arial" w:cs="Arial" w:eastAsia="Arial" w:hAnsi="Arial"/>
          <w:sz w:val="21"/>
          <w:szCs w:val="21"/>
          <w:color w:val="auto"/>
          <w:vertAlign w:val="superscript"/>
        </w:rPr>
      </w:pPr>
      <w:r>
        <w:rPr>
          <w:rFonts w:ascii="Arial" w:cs="Arial" w:eastAsia="Arial" w:hAnsi="Arial"/>
          <w:sz w:val="14"/>
          <w:szCs w:val="14"/>
          <w:color w:val="auto"/>
        </w:rPr>
        <w:t>The amounts in column (g) reflect compensation earned under the Company’s STIP program for the respective fiscal year. For 2023 for Mr. Silva, it also includes his sales incentive plan payments earned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80645</wp:posOffset>
            </wp:positionV>
            <wp:extent cx="693420" cy="1320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3420" cy="13208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58</w:t>
      </w:r>
    </w:p>
    <w:p>
      <w:pPr>
        <w:sectPr>
          <w:pgSz w:w="11900" w:h="16838" w:orient="portrait"/>
          <w:cols w:equalWidth="0" w:num="1">
            <w:col w:w="9360"/>
          </w:cols>
          <w:pgMar w:left="1260" w:top="254" w:right="1279" w:bottom="1440" w:gutter="0" w:footer="0" w:header="0"/>
        </w:sectPr>
      </w:pPr>
    </w:p>
    <w:bookmarkStart w:id="64" w:name="page65"/>
    <w:bookmarkEnd w:id="64"/>
    <w:p>
      <w:pPr>
        <w:ind w:left="360" w:hanging="354"/>
        <w:spacing w:after="0"/>
        <w:tabs>
          <w:tab w:leader="none" w:pos="360" w:val="left"/>
        </w:tabs>
        <w:numPr>
          <w:ilvl w:val="0"/>
          <w:numId w:val="45"/>
        </w:numPr>
        <w:rPr>
          <w:rFonts w:ascii="Arial" w:cs="Arial" w:eastAsia="Arial" w:hAnsi="Arial"/>
          <w:sz w:val="21"/>
          <w:szCs w:val="21"/>
          <w:color w:val="auto"/>
          <w:vertAlign w:val="superscript"/>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All Other Compensation includes the payments or accruals for each Named Executive Officer set forth in the “Other Compensation” table below.</w:t>
      </w:r>
    </w:p>
    <w:p>
      <w:pPr>
        <w:spacing w:after="0" w:line="167"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Other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168910</wp:posOffset>
            </wp:positionV>
            <wp:extent cx="5941060" cy="16256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41060" cy="1625600"/>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140" w:type="dxa"/>
            <w:vAlign w:val="bottom"/>
            <w:shd w:val="clear" w:color="auto" w:fill="284993"/>
          </w:tcPr>
          <w:p>
            <w:pPr>
              <w:spacing w:after="0"/>
              <w:rPr>
                <w:sz w:val="16"/>
                <w:szCs w:val="16"/>
                <w:color w:val="auto"/>
              </w:rPr>
            </w:pPr>
          </w:p>
        </w:tc>
        <w:tc>
          <w:tcPr>
            <w:tcW w:w="1100" w:type="dxa"/>
            <w:vAlign w:val="bottom"/>
            <w:shd w:val="clear" w:color="auto" w:fill="284993"/>
          </w:tcPr>
          <w:p>
            <w:pPr>
              <w:spacing w:after="0"/>
              <w:rPr>
                <w:sz w:val="16"/>
                <w:szCs w:val="16"/>
                <w:color w:val="auto"/>
              </w:rPr>
            </w:pPr>
          </w:p>
        </w:tc>
        <w:tc>
          <w:tcPr>
            <w:tcW w:w="138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5"/>
              </w:rPr>
              <w:t>Employer</w:t>
            </w:r>
          </w:p>
        </w:tc>
        <w:tc>
          <w:tcPr>
            <w:tcW w:w="1380" w:type="dxa"/>
            <w:vAlign w:val="bottom"/>
            <w:shd w:val="clear" w:color="auto" w:fill="284993"/>
          </w:tcPr>
          <w:p>
            <w:pPr>
              <w:jc w:val="right"/>
              <w:ind w:right="118"/>
              <w:spacing w:after="0"/>
              <w:rPr>
                <w:sz w:val="20"/>
                <w:szCs w:val="20"/>
                <w:color w:val="auto"/>
              </w:rPr>
            </w:pPr>
            <w:r>
              <w:rPr>
                <w:rFonts w:ascii="Arial" w:cs="Arial" w:eastAsia="Arial" w:hAnsi="Arial"/>
                <w:sz w:val="16"/>
                <w:szCs w:val="16"/>
                <w:b w:val="1"/>
                <w:bCs w:val="1"/>
                <w:color w:val="FFFFFF"/>
              </w:rPr>
              <w:t>Premiums for</w:t>
            </w:r>
          </w:p>
        </w:tc>
        <w:tc>
          <w:tcPr>
            <w:tcW w:w="880" w:type="dxa"/>
            <w:vAlign w:val="bottom"/>
            <w:shd w:val="clear" w:color="auto" w:fill="284993"/>
          </w:tcPr>
          <w:p>
            <w:pPr>
              <w:spacing w:after="0"/>
              <w:rPr>
                <w:sz w:val="16"/>
                <w:szCs w:val="16"/>
                <w:color w:val="auto"/>
              </w:rPr>
            </w:pPr>
          </w:p>
        </w:tc>
        <w:tc>
          <w:tcPr>
            <w:tcW w:w="1460" w:type="dxa"/>
            <w:vAlign w:val="bottom"/>
            <w:shd w:val="clear" w:color="auto" w:fill="284993"/>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3140" w:type="dxa"/>
            <w:vAlign w:val="bottom"/>
            <w:shd w:val="clear" w:color="auto" w:fill="284993"/>
          </w:tcPr>
          <w:p>
            <w:pPr>
              <w:spacing w:after="0"/>
              <w:rPr>
                <w:sz w:val="15"/>
                <w:szCs w:val="15"/>
                <w:color w:val="auto"/>
              </w:rPr>
            </w:pPr>
          </w:p>
        </w:tc>
        <w:tc>
          <w:tcPr>
            <w:tcW w:w="1100" w:type="dxa"/>
            <w:vAlign w:val="bottom"/>
            <w:shd w:val="clear" w:color="auto" w:fill="284993"/>
          </w:tcPr>
          <w:p>
            <w:pPr>
              <w:spacing w:after="0"/>
              <w:rPr>
                <w:sz w:val="15"/>
                <w:szCs w:val="15"/>
                <w:color w:val="auto"/>
              </w:rPr>
            </w:pPr>
          </w:p>
        </w:tc>
        <w:tc>
          <w:tcPr>
            <w:tcW w:w="138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7"/>
              </w:rPr>
              <w:t>Contributions</w:t>
            </w:r>
          </w:p>
        </w:tc>
        <w:tc>
          <w:tcPr>
            <w:tcW w:w="138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5"/>
              </w:rPr>
              <w:t>Long-Term</w:t>
            </w:r>
          </w:p>
        </w:tc>
        <w:tc>
          <w:tcPr>
            <w:tcW w:w="880" w:type="dxa"/>
            <w:vAlign w:val="bottom"/>
            <w:shd w:val="clear" w:color="auto" w:fill="284993"/>
          </w:tcPr>
          <w:p>
            <w:pPr>
              <w:spacing w:after="0"/>
              <w:rPr>
                <w:sz w:val="15"/>
                <w:szCs w:val="15"/>
                <w:color w:val="auto"/>
              </w:rPr>
            </w:pPr>
          </w:p>
        </w:tc>
        <w:tc>
          <w:tcPr>
            <w:tcW w:w="1460" w:type="dxa"/>
            <w:vAlign w:val="bottom"/>
            <w:shd w:val="clear" w:color="auto" w:fill="284993"/>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3140" w:type="dxa"/>
            <w:vAlign w:val="bottom"/>
            <w:shd w:val="clear" w:color="auto" w:fill="284993"/>
          </w:tcPr>
          <w:p>
            <w:pPr>
              <w:spacing w:after="0" w:line="182" w:lineRule="exact"/>
              <w:rPr>
                <w:sz w:val="20"/>
                <w:szCs w:val="20"/>
                <w:color w:val="auto"/>
              </w:rPr>
            </w:pPr>
            <w:r>
              <w:rPr>
                <w:rFonts w:ascii="Arial" w:cs="Arial" w:eastAsia="Arial" w:hAnsi="Arial"/>
                <w:sz w:val="16"/>
                <w:szCs w:val="16"/>
                <w:b w:val="1"/>
                <w:bCs w:val="1"/>
                <w:color w:val="FFFFFF"/>
              </w:rPr>
              <w:t> Name of Executive</w:t>
            </w:r>
          </w:p>
        </w:tc>
        <w:tc>
          <w:tcPr>
            <w:tcW w:w="110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7"/>
              </w:rPr>
              <w:t>Relocation</w:t>
            </w:r>
          </w:p>
        </w:tc>
        <w:tc>
          <w:tcPr>
            <w:tcW w:w="138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7"/>
              </w:rPr>
              <w:t>to the 401K</w:t>
            </w:r>
          </w:p>
        </w:tc>
        <w:tc>
          <w:tcPr>
            <w:tcW w:w="138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8"/>
              </w:rPr>
              <w:t>Disability</w:t>
            </w:r>
          </w:p>
        </w:tc>
        <w:tc>
          <w:tcPr>
            <w:tcW w:w="880" w:type="dxa"/>
            <w:vAlign w:val="bottom"/>
            <w:shd w:val="clear" w:color="auto" w:fill="284993"/>
          </w:tcPr>
          <w:p>
            <w:pPr>
              <w:spacing w:after="0"/>
              <w:rPr>
                <w:sz w:val="15"/>
                <w:szCs w:val="15"/>
                <w:color w:val="auto"/>
              </w:rPr>
            </w:pPr>
          </w:p>
        </w:tc>
        <w:tc>
          <w:tcPr>
            <w:tcW w:w="1460" w:type="dxa"/>
            <w:vAlign w:val="bottom"/>
            <w:shd w:val="clear" w:color="auto" w:fill="284993"/>
          </w:tcPr>
          <w:p>
            <w:pPr>
              <w:jc w:val="center"/>
              <w:spacing w:after="0" w:line="182" w:lineRule="exact"/>
              <w:rPr>
                <w:sz w:val="20"/>
                <w:szCs w:val="20"/>
                <w:color w:val="auto"/>
              </w:rPr>
            </w:pPr>
            <w:r>
              <w:rPr>
                <w:rFonts w:ascii="Arial" w:cs="Arial" w:eastAsia="Arial" w:hAnsi="Arial"/>
                <w:sz w:val="16"/>
                <w:szCs w:val="16"/>
                <w:b w:val="1"/>
                <w:bCs w:val="1"/>
                <w:color w:val="FFFFFF"/>
                <w:w w:val="94"/>
              </w:rPr>
              <w:t>Total All Other</w:t>
            </w:r>
          </w:p>
        </w:tc>
      </w:tr>
      <w:tr>
        <w:trPr>
          <w:trHeight w:val="196"/>
        </w:trPr>
        <w:tc>
          <w:tcPr>
            <w:tcW w:w="20" w:type="dxa"/>
            <w:vAlign w:val="bottom"/>
          </w:tcPr>
          <w:p>
            <w:pPr>
              <w:spacing w:after="0"/>
              <w:rPr>
                <w:sz w:val="17"/>
                <w:szCs w:val="17"/>
                <w:color w:val="auto"/>
              </w:rPr>
            </w:pPr>
          </w:p>
        </w:tc>
        <w:tc>
          <w:tcPr>
            <w:tcW w:w="3140" w:type="dxa"/>
            <w:vAlign w:val="bottom"/>
            <w:shd w:val="clear" w:color="auto" w:fill="284993"/>
          </w:tcPr>
          <w:p>
            <w:pPr>
              <w:spacing w:after="0"/>
              <w:rPr>
                <w:sz w:val="17"/>
                <w:szCs w:val="17"/>
                <w:color w:val="auto"/>
              </w:rPr>
            </w:pPr>
          </w:p>
        </w:tc>
        <w:tc>
          <w:tcPr>
            <w:tcW w:w="110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6"/>
              </w:rPr>
              <w:t>Bonus</w:t>
            </w:r>
          </w:p>
        </w:tc>
        <w:tc>
          <w:tcPr>
            <w:tcW w:w="138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rPr>
              <w:t>Plan</w:t>
            </w:r>
          </w:p>
        </w:tc>
        <w:tc>
          <w:tcPr>
            <w:tcW w:w="138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7"/>
              </w:rPr>
              <w:t>Insurance</w:t>
            </w:r>
          </w:p>
        </w:tc>
        <w:tc>
          <w:tcPr>
            <w:tcW w:w="880" w:type="dxa"/>
            <w:vAlign w:val="bottom"/>
            <w:shd w:val="clear" w:color="auto" w:fill="284993"/>
          </w:tcPr>
          <w:p>
            <w:pPr>
              <w:jc w:val="right"/>
              <w:ind w:right="156"/>
              <w:spacing w:after="0"/>
              <w:rPr>
                <w:sz w:val="20"/>
                <w:szCs w:val="20"/>
                <w:color w:val="auto"/>
              </w:rPr>
            </w:pPr>
            <w:r>
              <w:rPr>
                <w:rFonts w:ascii="Arial" w:cs="Arial" w:eastAsia="Arial" w:hAnsi="Arial"/>
                <w:sz w:val="16"/>
                <w:szCs w:val="16"/>
                <w:b w:val="1"/>
                <w:bCs w:val="1"/>
                <w:color w:val="FFFFFF"/>
              </w:rPr>
              <w:t>Other</w:t>
            </w:r>
          </w:p>
        </w:tc>
        <w:tc>
          <w:tcPr>
            <w:tcW w:w="146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7"/>
              </w:rPr>
              <w:t>Compensation</w:t>
            </w:r>
          </w:p>
        </w:tc>
      </w:tr>
      <w:tr>
        <w:trPr>
          <w:trHeight w:val="195"/>
        </w:trPr>
        <w:tc>
          <w:tcPr>
            <w:tcW w:w="20" w:type="dxa"/>
            <w:vAlign w:val="bottom"/>
          </w:tcPr>
          <w:p>
            <w:pPr>
              <w:spacing w:after="0"/>
              <w:rPr>
                <w:sz w:val="16"/>
                <w:szCs w:val="16"/>
                <w:color w:val="auto"/>
              </w:rPr>
            </w:pPr>
          </w:p>
        </w:tc>
        <w:tc>
          <w:tcPr>
            <w:tcW w:w="3140" w:type="dxa"/>
            <w:vAlign w:val="bottom"/>
            <w:shd w:val="clear" w:color="auto" w:fill="284993"/>
          </w:tcPr>
          <w:p>
            <w:pPr>
              <w:spacing w:after="0"/>
              <w:rPr>
                <w:sz w:val="16"/>
                <w:szCs w:val="16"/>
                <w:color w:val="auto"/>
              </w:rPr>
            </w:pPr>
          </w:p>
        </w:tc>
        <w:tc>
          <w:tcPr>
            <w:tcW w:w="1100" w:type="dxa"/>
            <w:vAlign w:val="bottom"/>
            <w:shd w:val="clear" w:color="auto" w:fill="284993"/>
          </w:tcPr>
          <w:p>
            <w:pPr>
              <w:jc w:val="center"/>
              <w:spacing w:after="0" w:line="194" w:lineRule="exact"/>
              <w:rPr>
                <w:sz w:val="20"/>
                <w:szCs w:val="20"/>
                <w:color w:val="auto"/>
              </w:rPr>
            </w:pPr>
            <w:r>
              <w:rPr>
                <w:rFonts w:ascii="Arial" w:cs="Arial" w:eastAsia="Arial" w:hAnsi="Arial"/>
                <w:sz w:val="15"/>
                <w:szCs w:val="15"/>
                <w:b w:val="1"/>
                <w:bCs w:val="1"/>
                <w:color w:val="FFFFFF"/>
                <w:w w:val="93"/>
              </w:rPr>
              <w:t>($)</w:t>
            </w:r>
            <w:r>
              <w:rPr>
                <w:rFonts w:ascii="Arial" w:cs="Arial" w:eastAsia="Arial" w:hAnsi="Arial"/>
                <w:sz w:val="22"/>
                <w:szCs w:val="22"/>
                <w:b w:val="1"/>
                <w:bCs w:val="1"/>
                <w:color w:val="FFFFFF"/>
                <w:w w:val="93"/>
                <w:vertAlign w:val="superscript"/>
              </w:rPr>
              <w:t>(1)</w:t>
            </w:r>
          </w:p>
        </w:tc>
        <w:tc>
          <w:tcPr>
            <w:tcW w:w="138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1"/>
              </w:rPr>
              <w:t>($)</w:t>
            </w:r>
          </w:p>
        </w:tc>
        <w:tc>
          <w:tcPr>
            <w:tcW w:w="138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1"/>
              </w:rPr>
              <w:t>($)</w:t>
            </w:r>
          </w:p>
        </w:tc>
        <w:tc>
          <w:tcPr>
            <w:tcW w:w="880" w:type="dxa"/>
            <w:vAlign w:val="bottom"/>
            <w:shd w:val="clear" w:color="auto" w:fill="284993"/>
          </w:tcPr>
          <w:p>
            <w:pPr>
              <w:jc w:val="right"/>
              <w:ind w:right="196"/>
              <w:spacing w:after="0" w:line="194" w:lineRule="exact"/>
              <w:rPr>
                <w:sz w:val="20"/>
                <w:szCs w:val="20"/>
                <w:color w:val="auto"/>
              </w:rPr>
            </w:pPr>
            <w:r>
              <w:rPr>
                <w:rFonts w:ascii="Arial" w:cs="Arial" w:eastAsia="Arial" w:hAnsi="Arial"/>
                <w:sz w:val="15"/>
                <w:szCs w:val="15"/>
                <w:b w:val="1"/>
                <w:bCs w:val="1"/>
                <w:color w:val="FFFFFF"/>
              </w:rPr>
              <w:t>($)</w:t>
            </w:r>
            <w:r>
              <w:rPr>
                <w:rFonts w:ascii="Arial" w:cs="Arial" w:eastAsia="Arial" w:hAnsi="Arial"/>
                <w:sz w:val="22"/>
                <w:szCs w:val="22"/>
                <w:b w:val="1"/>
                <w:bCs w:val="1"/>
                <w:color w:val="FFFFFF"/>
                <w:vertAlign w:val="superscript"/>
              </w:rPr>
              <w:t>(2)</w:t>
            </w:r>
          </w:p>
        </w:tc>
        <w:tc>
          <w:tcPr>
            <w:tcW w:w="146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rPr>
              <w:t>($)</w:t>
            </w:r>
          </w:p>
        </w:tc>
      </w:tr>
      <w:tr>
        <w:trPr>
          <w:trHeight w:val="277"/>
        </w:trPr>
        <w:tc>
          <w:tcPr>
            <w:tcW w:w="20" w:type="dxa"/>
            <w:vAlign w:val="bottom"/>
          </w:tcPr>
          <w:p>
            <w:pPr>
              <w:spacing w:after="0"/>
              <w:rPr>
                <w:sz w:val="24"/>
                <w:szCs w:val="24"/>
                <w:color w:val="auto"/>
              </w:rPr>
            </w:pPr>
          </w:p>
        </w:tc>
        <w:tc>
          <w:tcPr>
            <w:tcW w:w="3140" w:type="dxa"/>
            <w:vAlign w:val="bottom"/>
          </w:tcPr>
          <w:p>
            <w:pPr>
              <w:ind w:left="40"/>
              <w:spacing w:after="0"/>
              <w:rPr>
                <w:sz w:val="20"/>
                <w:szCs w:val="20"/>
                <w:color w:val="auto"/>
              </w:rPr>
            </w:pPr>
            <w:r>
              <w:rPr>
                <w:rFonts w:ascii="Arial" w:cs="Arial" w:eastAsia="Arial" w:hAnsi="Arial"/>
                <w:sz w:val="17"/>
                <w:szCs w:val="17"/>
                <w:color w:val="auto"/>
              </w:rPr>
              <w:t>Thomas W. Warsop III</w:t>
            </w:r>
          </w:p>
        </w:tc>
        <w:tc>
          <w:tcPr>
            <w:tcW w:w="110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98"/>
              <w:spacing w:after="0"/>
              <w:rPr>
                <w:sz w:val="20"/>
                <w:szCs w:val="20"/>
                <w:color w:val="auto"/>
              </w:rPr>
            </w:pPr>
            <w:r>
              <w:rPr>
                <w:rFonts w:ascii="Arial" w:cs="Arial" w:eastAsia="Arial" w:hAnsi="Arial"/>
                <w:sz w:val="17"/>
                <w:szCs w:val="17"/>
                <w:color w:val="auto"/>
              </w:rPr>
              <w:t>5,000</w:t>
            </w:r>
          </w:p>
        </w:tc>
        <w:tc>
          <w:tcPr>
            <w:tcW w:w="1380" w:type="dxa"/>
            <w:vAlign w:val="bottom"/>
          </w:tcPr>
          <w:p>
            <w:pPr>
              <w:jc w:val="right"/>
              <w:ind w:right="118"/>
              <w:spacing w:after="0"/>
              <w:rPr>
                <w:sz w:val="20"/>
                <w:szCs w:val="20"/>
                <w:color w:val="auto"/>
              </w:rPr>
            </w:pPr>
            <w:r>
              <w:rPr>
                <w:rFonts w:ascii="Arial" w:cs="Arial" w:eastAsia="Arial" w:hAnsi="Arial"/>
                <w:sz w:val="17"/>
                <w:szCs w:val="17"/>
                <w:color w:val="auto"/>
              </w:rPr>
              <w:t>864</w:t>
            </w:r>
          </w:p>
        </w:tc>
        <w:tc>
          <w:tcPr>
            <w:tcW w:w="880" w:type="dxa"/>
            <w:vAlign w:val="bottom"/>
          </w:tcPr>
          <w:p>
            <w:pPr>
              <w:jc w:val="right"/>
              <w:ind w:right="76"/>
              <w:spacing w:after="0"/>
              <w:rPr>
                <w:sz w:val="20"/>
                <w:szCs w:val="20"/>
                <w:color w:val="auto"/>
              </w:rPr>
            </w:pPr>
            <w:r>
              <w:rPr>
                <w:rFonts w:ascii="Arial" w:cs="Arial" w:eastAsia="Arial" w:hAnsi="Arial"/>
                <w:sz w:val="17"/>
                <w:szCs w:val="17"/>
                <w:color w:val="auto"/>
              </w:rPr>
              <w:t>224</w:t>
            </w:r>
          </w:p>
        </w:tc>
        <w:tc>
          <w:tcPr>
            <w:tcW w:w="1460" w:type="dxa"/>
            <w:vAlign w:val="bottom"/>
          </w:tcPr>
          <w:p>
            <w:pPr>
              <w:jc w:val="right"/>
              <w:ind w:right="117"/>
              <w:spacing w:after="0"/>
              <w:rPr>
                <w:sz w:val="20"/>
                <w:szCs w:val="20"/>
                <w:color w:val="auto"/>
              </w:rPr>
            </w:pPr>
            <w:r>
              <w:rPr>
                <w:rFonts w:ascii="Arial" w:cs="Arial" w:eastAsia="Arial" w:hAnsi="Arial"/>
                <w:sz w:val="17"/>
                <w:szCs w:val="17"/>
                <w:color w:val="auto"/>
              </w:rPr>
              <w:t>6,088</w:t>
            </w:r>
          </w:p>
        </w:tc>
      </w:tr>
      <w:tr>
        <w:trPr>
          <w:trHeight w:val="48"/>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305"/>
        </w:trPr>
        <w:tc>
          <w:tcPr>
            <w:tcW w:w="20" w:type="dxa"/>
            <w:vAlign w:val="bottom"/>
          </w:tcPr>
          <w:p>
            <w:pPr>
              <w:spacing w:after="0"/>
              <w:rPr>
                <w:sz w:val="24"/>
                <w:szCs w:val="24"/>
                <w:color w:val="auto"/>
              </w:rPr>
            </w:pPr>
          </w:p>
        </w:tc>
        <w:tc>
          <w:tcPr>
            <w:tcW w:w="3140" w:type="dxa"/>
            <w:vAlign w:val="bottom"/>
            <w:tcBorders>
              <w:bottom w:val="single" w:sz="8" w:color="9DBDE4"/>
            </w:tcBorders>
            <w:shd w:val="clear" w:color="auto" w:fill="9DBDE4"/>
          </w:tcPr>
          <w:p>
            <w:pPr>
              <w:ind w:left="40"/>
              <w:spacing w:after="0"/>
              <w:rPr>
                <w:sz w:val="20"/>
                <w:szCs w:val="20"/>
                <w:color w:val="auto"/>
              </w:rPr>
            </w:pPr>
            <w:r>
              <w:rPr>
                <w:rFonts w:ascii="Arial" w:cs="Arial" w:eastAsia="Arial" w:hAnsi="Arial"/>
                <w:sz w:val="17"/>
                <w:szCs w:val="17"/>
                <w:color w:val="auto"/>
              </w:rPr>
              <w:t>Scott W. Behrens</w:t>
            </w:r>
          </w:p>
        </w:tc>
        <w:tc>
          <w:tcPr>
            <w:tcW w:w="1100" w:type="dxa"/>
            <w:vAlign w:val="bottom"/>
            <w:tcBorders>
              <w:bottom w:val="single" w:sz="8" w:color="9DBDE4"/>
            </w:tcBorders>
            <w:shd w:val="clear" w:color="auto" w:fill="9DBDE4"/>
          </w:tcPr>
          <w:p>
            <w:pPr>
              <w:jc w:val="right"/>
              <w:ind w:right="77"/>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9DBDE4"/>
            </w:tcBorders>
            <w:shd w:val="clear" w:color="auto" w:fill="9DBDE4"/>
          </w:tcPr>
          <w:p>
            <w:pPr>
              <w:jc w:val="right"/>
              <w:ind w:right="98"/>
              <w:spacing w:after="0"/>
              <w:rPr>
                <w:sz w:val="20"/>
                <w:szCs w:val="20"/>
                <w:color w:val="auto"/>
              </w:rPr>
            </w:pPr>
            <w:r>
              <w:rPr>
                <w:rFonts w:ascii="Arial" w:cs="Arial" w:eastAsia="Arial" w:hAnsi="Arial"/>
                <w:sz w:val="17"/>
                <w:szCs w:val="17"/>
                <w:color w:val="auto"/>
              </w:rPr>
              <w:t>5,000</w:t>
            </w:r>
          </w:p>
        </w:tc>
        <w:tc>
          <w:tcPr>
            <w:tcW w:w="1380" w:type="dxa"/>
            <w:vAlign w:val="bottom"/>
            <w:tcBorders>
              <w:bottom w:val="single" w:sz="8" w:color="9DBDE4"/>
            </w:tcBorders>
            <w:shd w:val="clear" w:color="auto" w:fill="9DBDE4"/>
          </w:tcPr>
          <w:p>
            <w:pPr>
              <w:jc w:val="right"/>
              <w:ind w:right="118"/>
              <w:spacing w:after="0"/>
              <w:rPr>
                <w:sz w:val="20"/>
                <w:szCs w:val="20"/>
                <w:color w:val="auto"/>
              </w:rPr>
            </w:pPr>
            <w:r>
              <w:rPr>
                <w:rFonts w:ascii="Arial" w:cs="Arial" w:eastAsia="Arial" w:hAnsi="Arial"/>
                <w:sz w:val="17"/>
                <w:szCs w:val="17"/>
                <w:color w:val="auto"/>
              </w:rPr>
              <w:t>864</w:t>
            </w:r>
          </w:p>
        </w:tc>
        <w:tc>
          <w:tcPr>
            <w:tcW w:w="880" w:type="dxa"/>
            <w:vAlign w:val="bottom"/>
            <w:tcBorders>
              <w:bottom w:val="single" w:sz="8" w:color="9DBDE4"/>
            </w:tcBorders>
            <w:shd w:val="clear" w:color="auto" w:fill="9DBDE4"/>
          </w:tcPr>
          <w:p>
            <w:pPr>
              <w:jc w:val="right"/>
              <w:ind w:right="76"/>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9DBDE4"/>
            </w:tcBorders>
            <w:shd w:val="clear" w:color="auto" w:fill="9DBDE4"/>
          </w:tcPr>
          <w:p>
            <w:pPr>
              <w:jc w:val="right"/>
              <w:ind w:right="117"/>
              <w:spacing w:after="0"/>
              <w:rPr>
                <w:sz w:val="20"/>
                <w:szCs w:val="20"/>
                <w:color w:val="auto"/>
              </w:rPr>
            </w:pPr>
            <w:r>
              <w:rPr>
                <w:rFonts w:ascii="Arial" w:cs="Arial" w:eastAsia="Arial" w:hAnsi="Arial"/>
                <w:sz w:val="17"/>
                <w:szCs w:val="17"/>
                <w:color w:val="auto"/>
              </w:rPr>
              <w:t>5,864</w:t>
            </w:r>
          </w:p>
        </w:tc>
      </w:tr>
      <w:tr>
        <w:trPr>
          <w:trHeight w:val="277"/>
        </w:trPr>
        <w:tc>
          <w:tcPr>
            <w:tcW w:w="20" w:type="dxa"/>
            <w:vAlign w:val="bottom"/>
          </w:tcPr>
          <w:p>
            <w:pPr>
              <w:spacing w:after="0"/>
              <w:rPr>
                <w:sz w:val="24"/>
                <w:szCs w:val="24"/>
                <w:color w:val="auto"/>
              </w:rPr>
            </w:pPr>
          </w:p>
        </w:tc>
        <w:tc>
          <w:tcPr>
            <w:tcW w:w="3140" w:type="dxa"/>
            <w:vAlign w:val="bottom"/>
          </w:tcPr>
          <w:p>
            <w:pPr>
              <w:ind w:left="40"/>
              <w:spacing w:after="0"/>
              <w:rPr>
                <w:sz w:val="20"/>
                <w:szCs w:val="20"/>
                <w:color w:val="auto"/>
              </w:rPr>
            </w:pPr>
            <w:r>
              <w:rPr>
                <w:rFonts w:ascii="Arial" w:cs="Arial" w:eastAsia="Arial" w:hAnsi="Arial"/>
                <w:sz w:val="17"/>
                <w:szCs w:val="17"/>
                <w:color w:val="auto"/>
              </w:rPr>
              <w:t>Alessandro Silva</w:t>
            </w:r>
          </w:p>
        </w:tc>
        <w:tc>
          <w:tcPr>
            <w:tcW w:w="110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98"/>
              <w:spacing w:after="0"/>
              <w:rPr>
                <w:sz w:val="20"/>
                <w:szCs w:val="20"/>
                <w:color w:val="auto"/>
              </w:rPr>
            </w:pPr>
            <w:r>
              <w:rPr>
                <w:rFonts w:ascii="Arial" w:cs="Arial" w:eastAsia="Arial" w:hAnsi="Arial"/>
                <w:sz w:val="17"/>
                <w:szCs w:val="17"/>
                <w:color w:val="auto"/>
              </w:rPr>
              <w:t>5,000</w:t>
            </w:r>
          </w:p>
        </w:tc>
        <w:tc>
          <w:tcPr>
            <w:tcW w:w="1380" w:type="dxa"/>
            <w:vAlign w:val="bottom"/>
          </w:tcPr>
          <w:p>
            <w:pPr>
              <w:jc w:val="right"/>
              <w:ind w:right="118"/>
              <w:spacing w:after="0"/>
              <w:rPr>
                <w:sz w:val="20"/>
                <w:szCs w:val="20"/>
                <w:color w:val="auto"/>
              </w:rPr>
            </w:pPr>
            <w:r>
              <w:rPr>
                <w:rFonts w:ascii="Arial" w:cs="Arial" w:eastAsia="Arial" w:hAnsi="Arial"/>
                <w:sz w:val="17"/>
                <w:szCs w:val="17"/>
                <w:color w:val="auto"/>
              </w:rPr>
              <w:t>864</w:t>
            </w:r>
          </w:p>
        </w:tc>
        <w:tc>
          <w:tcPr>
            <w:tcW w:w="880" w:type="dxa"/>
            <w:vAlign w:val="bottom"/>
          </w:tcPr>
          <w:p>
            <w:pPr>
              <w:jc w:val="right"/>
              <w:ind w:right="76"/>
              <w:spacing w:after="0"/>
              <w:rPr>
                <w:sz w:val="20"/>
                <w:szCs w:val="20"/>
                <w:color w:val="auto"/>
              </w:rPr>
            </w:pPr>
            <w:r>
              <w:rPr>
                <w:rFonts w:ascii="Arial" w:cs="Arial" w:eastAsia="Arial" w:hAnsi="Arial"/>
                <w:sz w:val="17"/>
                <w:szCs w:val="17"/>
                <w:color w:val="auto"/>
              </w:rPr>
              <w:t>2,309</w:t>
            </w:r>
          </w:p>
        </w:tc>
        <w:tc>
          <w:tcPr>
            <w:tcW w:w="1460" w:type="dxa"/>
            <w:vAlign w:val="bottom"/>
          </w:tcPr>
          <w:p>
            <w:pPr>
              <w:jc w:val="right"/>
              <w:ind w:right="117"/>
              <w:spacing w:after="0"/>
              <w:rPr>
                <w:sz w:val="20"/>
                <w:szCs w:val="20"/>
                <w:color w:val="auto"/>
              </w:rPr>
            </w:pPr>
            <w:r>
              <w:rPr>
                <w:rFonts w:ascii="Arial" w:cs="Arial" w:eastAsia="Arial" w:hAnsi="Arial"/>
                <w:sz w:val="17"/>
                <w:szCs w:val="17"/>
                <w:color w:val="auto"/>
              </w:rPr>
              <w:t>8,173</w:t>
            </w:r>
          </w:p>
        </w:tc>
      </w:tr>
      <w:tr>
        <w:trPr>
          <w:trHeight w:val="48"/>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305"/>
        </w:trPr>
        <w:tc>
          <w:tcPr>
            <w:tcW w:w="20" w:type="dxa"/>
            <w:vAlign w:val="bottom"/>
          </w:tcPr>
          <w:p>
            <w:pPr>
              <w:spacing w:after="0"/>
              <w:rPr>
                <w:sz w:val="24"/>
                <w:szCs w:val="24"/>
                <w:color w:val="auto"/>
              </w:rPr>
            </w:pPr>
          </w:p>
        </w:tc>
        <w:tc>
          <w:tcPr>
            <w:tcW w:w="3140" w:type="dxa"/>
            <w:vAlign w:val="bottom"/>
            <w:tcBorders>
              <w:bottom w:val="single" w:sz="8" w:color="9DBDE4"/>
            </w:tcBorders>
            <w:shd w:val="clear" w:color="auto" w:fill="9DBDE4"/>
          </w:tcPr>
          <w:p>
            <w:pPr>
              <w:ind w:left="40"/>
              <w:spacing w:after="0"/>
              <w:rPr>
                <w:sz w:val="20"/>
                <w:szCs w:val="20"/>
                <w:color w:val="auto"/>
              </w:rPr>
            </w:pPr>
            <w:r>
              <w:rPr>
                <w:rFonts w:ascii="Arial" w:cs="Arial" w:eastAsia="Arial" w:hAnsi="Arial"/>
                <w:sz w:val="17"/>
                <w:szCs w:val="17"/>
                <w:color w:val="auto"/>
              </w:rPr>
              <w:t>Deborah L. Guerra</w:t>
            </w:r>
          </w:p>
        </w:tc>
        <w:tc>
          <w:tcPr>
            <w:tcW w:w="1100" w:type="dxa"/>
            <w:vAlign w:val="bottom"/>
            <w:tcBorders>
              <w:bottom w:val="single" w:sz="8" w:color="9DBDE4"/>
            </w:tcBorders>
            <w:shd w:val="clear" w:color="auto" w:fill="9DBDE4"/>
          </w:tcPr>
          <w:p>
            <w:pPr>
              <w:jc w:val="right"/>
              <w:ind w:right="77"/>
              <w:spacing w:after="0"/>
              <w:rPr>
                <w:sz w:val="20"/>
                <w:szCs w:val="20"/>
                <w:color w:val="auto"/>
              </w:rPr>
            </w:pPr>
            <w:r>
              <w:rPr>
                <w:rFonts w:ascii="Arial" w:cs="Arial" w:eastAsia="Arial" w:hAnsi="Arial"/>
                <w:sz w:val="17"/>
                <w:szCs w:val="17"/>
                <w:color w:val="auto"/>
              </w:rPr>
              <w:t>41,136</w:t>
            </w:r>
          </w:p>
        </w:tc>
        <w:tc>
          <w:tcPr>
            <w:tcW w:w="1380" w:type="dxa"/>
            <w:vAlign w:val="bottom"/>
            <w:tcBorders>
              <w:bottom w:val="single" w:sz="8" w:color="9DBDE4"/>
            </w:tcBorders>
            <w:shd w:val="clear" w:color="auto" w:fill="9DBDE4"/>
          </w:tcPr>
          <w:p>
            <w:pPr>
              <w:jc w:val="right"/>
              <w:ind w:right="98"/>
              <w:spacing w:after="0"/>
              <w:rPr>
                <w:sz w:val="20"/>
                <w:szCs w:val="20"/>
                <w:color w:val="auto"/>
              </w:rPr>
            </w:pPr>
            <w:r>
              <w:rPr>
                <w:rFonts w:ascii="Arial" w:cs="Arial" w:eastAsia="Arial" w:hAnsi="Arial"/>
                <w:sz w:val="17"/>
                <w:szCs w:val="17"/>
                <w:color w:val="auto"/>
              </w:rPr>
              <w:t>5,000</w:t>
            </w:r>
          </w:p>
        </w:tc>
        <w:tc>
          <w:tcPr>
            <w:tcW w:w="1380" w:type="dxa"/>
            <w:vAlign w:val="bottom"/>
            <w:tcBorders>
              <w:bottom w:val="single" w:sz="8" w:color="9DBDE4"/>
            </w:tcBorders>
            <w:shd w:val="clear" w:color="auto" w:fill="9DBDE4"/>
          </w:tcPr>
          <w:p>
            <w:pPr>
              <w:jc w:val="right"/>
              <w:ind w:right="118"/>
              <w:spacing w:after="0"/>
              <w:rPr>
                <w:sz w:val="20"/>
                <w:szCs w:val="20"/>
                <w:color w:val="auto"/>
              </w:rPr>
            </w:pPr>
            <w:r>
              <w:rPr>
                <w:rFonts w:ascii="Arial" w:cs="Arial" w:eastAsia="Arial" w:hAnsi="Arial"/>
                <w:sz w:val="17"/>
                <w:szCs w:val="17"/>
                <w:color w:val="auto"/>
              </w:rPr>
              <w:t>864</w:t>
            </w:r>
          </w:p>
        </w:tc>
        <w:tc>
          <w:tcPr>
            <w:tcW w:w="880" w:type="dxa"/>
            <w:vAlign w:val="bottom"/>
            <w:tcBorders>
              <w:bottom w:val="single" w:sz="8" w:color="9DBDE4"/>
            </w:tcBorders>
            <w:shd w:val="clear" w:color="auto" w:fill="9DBDE4"/>
          </w:tcPr>
          <w:p>
            <w:pPr>
              <w:jc w:val="right"/>
              <w:ind w:right="76"/>
              <w:spacing w:after="0"/>
              <w:rPr>
                <w:sz w:val="20"/>
                <w:szCs w:val="20"/>
                <w:color w:val="auto"/>
              </w:rPr>
            </w:pPr>
            <w:r>
              <w:rPr>
                <w:rFonts w:ascii="Arial" w:cs="Arial" w:eastAsia="Arial" w:hAnsi="Arial"/>
                <w:sz w:val="17"/>
                <w:szCs w:val="17"/>
                <w:color w:val="auto"/>
              </w:rPr>
              <w:t>15,558</w:t>
            </w:r>
          </w:p>
        </w:tc>
        <w:tc>
          <w:tcPr>
            <w:tcW w:w="1460" w:type="dxa"/>
            <w:vAlign w:val="bottom"/>
            <w:tcBorders>
              <w:bottom w:val="single" w:sz="8" w:color="9DBDE4"/>
            </w:tcBorders>
            <w:shd w:val="clear" w:color="auto" w:fill="9DBDE4"/>
          </w:tcPr>
          <w:p>
            <w:pPr>
              <w:jc w:val="right"/>
              <w:ind w:right="117"/>
              <w:spacing w:after="0"/>
              <w:rPr>
                <w:sz w:val="20"/>
                <w:szCs w:val="20"/>
                <w:color w:val="auto"/>
              </w:rPr>
            </w:pPr>
            <w:r>
              <w:rPr>
                <w:rFonts w:ascii="Arial" w:cs="Arial" w:eastAsia="Arial" w:hAnsi="Arial"/>
                <w:sz w:val="17"/>
                <w:szCs w:val="17"/>
                <w:color w:val="auto"/>
              </w:rPr>
              <w:t>62,558</w:t>
            </w:r>
          </w:p>
        </w:tc>
      </w:tr>
      <w:tr>
        <w:trPr>
          <w:trHeight w:val="277"/>
        </w:trPr>
        <w:tc>
          <w:tcPr>
            <w:tcW w:w="20" w:type="dxa"/>
            <w:vAlign w:val="bottom"/>
          </w:tcPr>
          <w:p>
            <w:pPr>
              <w:spacing w:after="0"/>
              <w:rPr>
                <w:sz w:val="24"/>
                <w:szCs w:val="24"/>
                <w:color w:val="auto"/>
              </w:rPr>
            </w:pPr>
          </w:p>
        </w:tc>
        <w:tc>
          <w:tcPr>
            <w:tcW w:w="3140" w:type="dxa"/>
            <w:vAlign w:val="bottom"/>
          </w:tcPr>
          <w:p>
            <w:pPr>
              <w:ind w:left="40"/>
              <w:spacing w:after="0"/>
              <w:rPr>
                <w:sz w:val="20"/>
                <w:szCs w:val="20"/>
                <w:color w:val="auto"/>
              </w:rPr>
            </w:pPr>
            <w:r>
              <w:rPr>
                <w:rFonts w:ascii="Arial" w:cs="Arial" w:eastAsia="Arial" w:hAnsi="Arial"/>
                <w:sz w:val="17"/>
                <w:szCs w:val="17"/>
                <w:color w:val="auto"/>
              </w:rPr>
              <w:t>Abraham Kuruvilla</w:t>
            </w:r>
          </w:p>
        </w:tc>
        <w:tc>
          <w:tcPr>
            <w:tcW w:w="110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98"/>
              <w:spacing w:after="0"/>
              <w:rPr>
                <w:sz w:val="20"/>
                <w:szCs w:val="20"/>
                <w:color w:val="auto"/>
              </w:rPr>
            </w:pPr>
            <w:r>
              <w:rPr>
                <w:rFonts w:ascii="Arial" w:cs="Arial" w:eastAsia="Arial" w:hAnsi="Arial"/>
                <w:sz w:val="17"/>
                <w:szCs w:val="17"/>
                <w:color w:val="auto"/>
              </w:rPr>
              <w:t>0</w:t>
            </w:r>
          </w:p>
        </w:tc>
        <w:tc>
          <w:tcPr>
            <w:tcW w:w="1380" w:type="dxa"/>
            <w:vAlign w:val="bottom"/>
          </w:tcPr>
          <w:p>
            <w:pPr>
              <w:jc w:val="right"/>
              <w:ind w:right="118"/>
              <w:spacing w:after="0"/>
              <w:rPr>
                <w:sz w:val="20"/>
                <w:szCs w:val="20"/>
                <w:color w:val="auto"/>
              </w:rPr>
            </w:pPr>
            <w:r>
              <w:rPr>
                <w:rFonts w:ascii="Arial" w:cs="Arial" w:eastAsia="Arial" w:hAnsi="Arial"/>
                <w:sz w:val="17"/>
                <w:szCs w:val="17"/>
                <w:color w:val="auto"/>
              </w:rPr>
              <w:t>144</w:t>
            </w:r>
          </w:p>
        </w:tc>
        <w:tc>
          <w:tcPr>
            <w:tcW w:w="8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117"/>
              <w:spacing w:after="0"/>
              <w:rPr>
                <w:sz w:val="20"/>
                <w:szCs w:val="20"/>
                <w:color w:val="auto"/>
              </w:rPr>
            </w:pPr>
            <w:r>
              <w:rPr>
                <w:rFonts w:ascii="Arial" w:cs="Arial" w:eastAsia="Arial" w:hAnsi="Arial"/>
                <w:sz w:val="17"/>
                <w:szCs w:val="17"/>
                <w:color w:val="auto"/>
              </w:rPr>
              <w:t>144</w:t>
            </w:r>
          </w:p>
        </w:tc>
      </w:tr>
    </w:tbl>
    <w:p>
      <w:pPr>
        <w:spacing w:after="0" w:line="127" w:lineRule="exact"/>
        <w:rPr>
          <w:sz w:val="20"/>
          <w:szCs w:val="20"/>
          <w:color w:val="auto"/>
        </w:rPr>
      </w:pPr>
    </w:p>
    <w:p>
      <w:pPr>
        <w:ind w:left="360" w:right="780" w:hanging="354"/>
        <w:spacing w:after="0" w:line="200" w:lineRule="auto"/>
        <w:tabs>
          <w:tab w:leader="none" w:pos="360" w:val="left"/>
        </w:tabs>
        <w:numPr>
          <w:ilvl w:val="0"/>
          <w:numId w:val="46"/>
        </w:numPr>
        <w:rPr>
          <w:rFonts w:ascii="Arial" w:cs="Arial" w:eastAsia="Arial" w:hAnsi="Arial"/>
          <w:sz w:val="23"/>
          <w:szCs w:val="23"/>
          <w:color w:val="auto"/>
          <w:vertAlign w:val="superscript"/>
        </w:rPr>
      </w:pPr>
      <w:r>
        <w:rPr>
          <w:rFonts w:ascii="Arial" w:cs="Arial" w:eastAsia="Arial" w:hAnsi="Arial"/>
          <w:sz w:val="16"/>
          <w:szCs w:val="16"/>
          <w:color w:val="auto"/>
        </w:rPr>
        <w:t>Relocation Bonus consists of a lump-sum payment of $41,136 to cover costs related to Ms. Guerra’s relocation to ACI’s headquarters.</w:t>
      </w:r>
    </w:p>
    <w:p>
      <w:pPr>
        <w:ind w:left="360" w:hanging="354"/>
        <w:spacing w:after="0" w:line="184" w:lineRule="auto"/>
        <w:tabs>
          <w:tab w:leader="none" w:pos="360" w:val="left"/>
        </w:tabs>
        <w:numPr>
          <w:ilvl w:val="0"/>
          <w:numId w:val="46"/>
        </w:numPr>
        <w:rPr>
          <w:rFonts w:ascii="Arial" w:cs="Arial" w:eastAsia="Arial" w:hAnsi="Arial"/>
          <w:sz w:val="21"/>
          <w:szCs w:val="21"/>
          <w:color w:val="auto"/>
          <w:vertAlign w:val="superscript"/>
        </w:rPr>
      </w:pPr>
      <w:r>
        <w:rPr>
          <w:rFonts w:ascii="Arial" w:cs="Arial" w:eastAsia="Arial" w:hAnsi="Arial"/>
          <w:sz w:val="14"/>
          <w:szCs w:val="14"/>
          <w:color w:val="auto"/>
        </w:rPr>
        <w:t>Consists of (a) for Mr. Warsop III, a small non-cash gift, (b) for Mr. Silva, the cost to the Company of an executive physical, and</w:t>
      </w:r>
    </w:p>
    <w:p>
      <w:pPr>
        <w:ind w:left="360"/>
        <w:spacing w:after="0"/>
        <w:rPr>
          <w:rFonts w:ascii="Arial" w:cs="Arial" w:eastAsia="Arial" w:hAnsi="Arial"/>
          <w:sz w:val="21"/>
          <w:szCs w:val="21"/>
          <w:color w:val="auto"/>
          <w:vertAlign w:val="superscript"/>
        </w:rPr>
      </w:pPr>
      <w:r>
        <w:rPr>
          <w:rFonts w:ascii="Arial" w:cs="Arial" w:eastAsia="Arial" w:hAnsi="Arial"/>
          <w:sz w:val="16"/>
          <w:szCs w:val="16"/>
          <w:color w:val="auto"/>
        </w:rPr>
        <w:t>(c) for Ms. Guerra, a tax reimbursement related to her Relocation Bonus.</w:t>
      </w:r>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2023 Grants of Plan-Based Awards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740" w:type="dxa"/>
            <w:vAlign w:val="bottom"/>
            <w:shd w:val="clear" w:color="auto" w:fill="284993"/>
          </w:tcPr>
          <w:p>
            <w:pPr>
              <w:spacing w:after="0"/>
              <w:rPr>
                <w:sz w:val="12"/>
                <w:szCs w:val="12"/>
                <w:color w:val="auto"/>
              </w:rPr>
            </w:pPr>
          </w:p>
        </w:tc>
        <w:tc>
          <w:tcPr>
            <w:tcW w:w="80" w:type="dxa"/>
            <w:vAlign w:val="bottom"/>
            <w:shd w:val="clear" w:color="auto" w:fill="284993"/>
          </w:tcPr>
          <w:p>
            <w:pPr>
              <w:spacing w:after="0"/>
              <w:rPr>
                <w:sz w:val="12"/>
                <w:szCs w:val="12"/>
                <w:color w:val="auto"/>
              </w:rPr>
            </w:pPr>
          </w:p>
        </w:tc>
        <w:tc>
          <w:tcPr>
            <w:tcW w:w="780" w:type="dxa"/>
            <w:vAlign w:val="bottom"/>
            <w:shd w:val="clear" w:color="auto" w:fill="284993"/>
          </w:tcPr>
          <w:p>
            <w:pPr>
              <w:spacing w:after="0"/>
              <w:rPr>
                <w:sz w:val="12"/>
                <w:szCs w:val="12"/>
                <w:color w:val="auto"/>
              </w:rPr>
            </w:pPr>
          </w:p>
        </w:tc>
        <w:tc>
          <w:tcPr>
            <w:tcW w:w="40" w:type="dxa"/>
            <w:vAlign w:val="bottom"/>
            <w:shd w:val="clear" w:color="auto" w:fill="284993"/>
          </w:tcPr>
          <w:p>
            <w:pPr>
              <w:spacing w:after="0"/>
              <w:rPr>
                <w:sz w:val="12"/>
                <w:szCs w:val="12"/>
                <w:color w:val="auto"/>
              </w:rPr>
            </w:pPr>
          </w:p>
        </w:tc>
        <w:tc>
          <w:tcPr>
            <w:tcW w:w="600" w:type="dxa"/>
            <w:vAlign w:val="bottom"/>
            <w:shd w:val="clear" w:color="auto" w:fill="284993"/>
          </w:tcPr>
          <w:p>
            <w:pPr>
              <w:spacing w:after="0"/>
              <w:rPr>
                <w:sz w:val="12"/>
                <w:szCs w:val="12"/>
                <w:color w:val="auto"/>
              </w:rPr>
            </w:pPr>
          </w:p>
        </w:tc>
        <w:tc>
          <w:tcPr>
            <w:tcW w:w="780" w:type="dxa"/>
            <w:vAlign w:val="bottom"/>
            <w:shd w:val="clear" w:color="auto" w:fill="284993"/>
          </w:tcPr>
          <w:p>
            <w:pPr>
              <w:spacing w:after="0"/>
              <w:rPr>
                <w:sz w:val="12"/>
                <w:szCs w:val="12"/>
                <w:color w:val="auto"/>
              </w:rPr>
            </w:pPr>
          </w:p>
        </w:tc>
        <w:tc>
          <w:tcPr>
            <w:tcW w:w="760" w:type="dxa"/>
            <w:vAlign w:val="bottom"/>
            <w:shd w:val="clear" w:color="auto" w:fill="284993"/>
          </w:tcPr>
          <w:p>
            <w:pPr>
              <w:spacing w:after="0"/>
              <w:rPr>
                <w:sz w:val="12"/>
                <w:szCs w:val="12"/>
                <w:color w:val="auto"/>
              </w:rPr>
            </w:pPr>
          </w:p>
        </w:tc>
        <w:tc>
          <w:tcPr>
            <w:tcW w:w="700" w:type="dxa"/>
            <w:vAlign w:val="bottom"/>
            <w:shd w:val="clear" w:color="auto" w:fill="284993"/>
          </w:tcPr>
          <w:p>
            <w:pPr>
              <w:spacing w:after="0"/>
              <w:rPr>
                <w:sz w:val="12"/>
                <w:szCs w:val="12"/>
                <w:color w:val="auto"/>
              </w:rPr>
            </w:pPr>
          </w:p>
        </w:tc>
        <w:tc>
          <w:tcPr>
            <w:tcW w:w="640" w:type="dxa"/>
            <w:vAlign w:val="bottom"/>
            <w:shd w:val="clear" w:color="auto" w:fill="284993"/>
          </w:tcPr>
          <w:p>
            <w:pPr>
              <w:spacing w:after="0"/>
              <w:rPr>
                <w:sz w:val="12"/>
                <w:szCs w:val="12"/>
                <w:color w:val="auto"/>
              </w:rPr>
            </w:pPr>
          </w:p>
        </w:tc>
        <w:tc>
          <w:tcPr>
            <w:tcW w:w="700" w:type="dxa"/>
            <w:vAlign w:val="bottom"/>
            <w:shd w:val="clear" w:color="auto" w:fill="284993"/>
          </w:tcPr>
          <w:p>
            <w:pPr>
              <w:spacing w:after="0"/>
              <w:rPr>
                <w:sz w:val="12"/>
                <w:szCs w:val="12"/>
                <w:color w:val="auto"/>
              </w:rPr>
            </w:pPr>
          </w:p>
        </w:tc>
        <w:tc>
          <w:tcPr>
            <w:tcW w:w="40" w:type="dxa"/>
            <w:vAlign w:val="bottom"/>
            <w:shd w:val="clear" w:color="auto" w:fill="284993"/>
          </w:tcPr>
          <w:p>
            <w:pPr>
              <w:spacing w:after="0"/>
              <w:rPr>
                <w:sz w:val="12"/>
                <w:szCs w:val="12"/>
                <w:color w:val="auto"/>
              </w:rPr>
            </w:pPr>
          </w:p>
        </w:tc>
        <w:tc>
          <w:tcPr>
            <w:tcW w:w="700" w:type="dxa"/>
            <w:vAlign w:val="bottom"/>
            <w:shd w:val="clear" w:color="auto" w:fill="284993"/>
          </w:tcPr>
          <w:p>
            <w:pPr>
              <w:jc w:val="center"/>
              <w:ind w:right="21"/>
              <w:spacing w:after="0"/>
              <w:rPr>
                <w:sz w:val="20"/>
                <w:szCs w:val="20"/>
                <w:color w:val="auto"/>
              </w:rPr>
            </w:pPr>
            <w:r>
              <w:rPr>
                <w:rFonts w:ascii="Arial" w:cs="Arial" w:eastAsia="Arial" w:hAnsi="Arial"/>
                <w:sz w:val="12"/>
                <w:szCs w:val="12"/>
                <w:b w:val="1"/>
                <w:bCs w:val="1"/>
                <w:color w:val="FFFFFF"/>
                <w:w w:val="98"/>
              </w:rPr>
              <w:t>All Other</w:t>
            </w:r>
          </w:p>
        </w:tc>
        <w:tc>
          <w:tcPr>
            <w:tcW w:w="78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w w:val="99"/>
              </w:rPr>
              <w:t>Grant</w:t>
            </w:r>
          </w:p>
        </w:tc>
        <w:tc>
          <w:tcPr>
            <w:tcW w:w="0" w:type="dxa"/>
            <w:vAlign w:val="bottom"/>
          </w:tcPr>
          <w:p>
            <w:pPr>
              <w:spacing w:after="0"/>
              <w:rPr>
                <w:sz w:val="1"/>
                <w:szCs w:val="1"/>
                <w:color w:val="auto"/>
              </w:rPr>
            </w:pPr>
          </w:p>
        </w:tc>
      </w:tr>
      <w:tr>
        <w:trPr>
          <w:trHeight w:val="122"/>
        </w:trPr>
        <w:tc>
          <w:tcPr>
            <w:tcW w:w="2740" w:type="dxa"/>
            <w:vAlign w:val="bottom"/>
            <w:shd w:val="clear" w:color="auto" w:fill="284993"/>
          </w:tcPr>
          <w:p>
            <w:pPr>
              <w:spacing w:after="0"/>
              <w:rPr>
                <w:sz w:val="10"/>
                <w:szCs w:val="10"/>
                <w:color w:val="auto"/>
              </w:rPr>
            </w:pPr>
          </w:p>
        </w:tc>
        <w:tc>
          <w:tcPr>
            <w:tcW w:w="80" w:type="dxa"/>
            <w:vAlign w:val="bottom"/>
            <w:shd w:val="clear" w:color="auto" w:fill="284993"/>
          </w:tcPr>
          <w:p>
            <w:pPr>
              <w:spacing w:after="0"/>
              <w:rPr>
                <w:sz w:val="10"/>
                <w:szCs w:val="10"/>
                <w:color w:val="auto"/>
              </w:rPr>
            </w:pPr>
          </w:p>
        </w:tc>
        <w:tc>
          <w:tcPr>
            <w:tcW w:w="780" w:type="dxa"/>
            <w:vAlign w:val="bottom"/>
            <w:shd w:val="clear" w:color="auto" w:fill="284993"/>
          </w:tcPr>
          <w:p>
            <w:pPr>
              <w:spacing w:after="0"/>
              <w:rPr>
                <w:sz w:val="10"/>
                <w:szCs w:val="10"/>
                <w:color w:val="auto"/>
              </w:rPr>
            </w:pPr>
          </w:p>
        </w:tc>
        <w:tc>
          <w:tcPr>
            <w:tcW w:w="40" w:type="dxa"/>
            <w:vAlign w:val="bottom"/>
            <w:shd w:val="clear" w:color="auto" w:fill="284993"/>
          </w:tcPr>
          <w:p>
            <w:pPr>
              <w:spacing w:after="0"/>
              <w:rPr>
                <w:sz w:val="10"/>
                <w:szCs w:val="10"/>
                <w:color w:val="auto"/>
              </w:rPr>
            </w:pPr>
          </w:p>
        </w:tc>
        <w:tc>
          <w:tcPr>
            <w:tcW w:w="2140" w:type="dxa"/>
            <w:vAlign w:val="bottom"/>
            <w:gridSpan w:val="3"/>
            <w:vMerge w:val="restart"/>
            <w:shd w:val="clear" w:color="auto" w:fill="284993"/>
          </w:tcPr>
          <w:p>
            <w:pPr>
              <w:ind w:left="220"/>
              <w:spacing w:after="0"/>
              <w:rPr>
                <w:sz w:val="20"/>
                <w:szCs w:val="20"/>
                <w:color w:val="auto"/>
              </w:rPr>
            </w:pPr>
            <w:r>
              <w:rPr>
                <w:rFonts w:ascii="Arial" w:cs="Arial" w:eastAsia="Arial" w:hAnsi="Arial"/>
                <w:sz w:val="12"/>
                <w:szCs w:val="12"/>
                <w:b w:val="1"/>
                <w:bCs w:val="1"/>
                <w:color w:val="FFFFFF"/>
              </w:rPr>
              <w:t>Estimated Possible Payouts</w:t>
            </w:r>
          </w:p>
        </w:tc>
        <w:tc>
          <w:tcPr>
            <w:tcW w:w="2040" w:type="dxa"/>
            <w:vAlign w:val="bottom"/>
            <w:gridSpan w:val="3"/>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w w:val="99"/>
              </w:rPr>
              <w:t>Estimated Future Payouts</w:t>
            </w:r>
          </w:p>
        </w:tc>
        <w:tc>
          <w:tcPr>
            <w:tcW w:w="40" w:type="dxa"/>
            <w:vAlign w:val="bottom"/>
            <w:shd w:val="clear" w:color="auto" w:fill="284993"/>
          </w:tcPr>
          <w:p>
            <w:pPr>
              <w:spacing w:after="0"/>
              <w:rPr>
                <w:sz w:val="10"/>
                <w:szCs w:val="10"/>
                <w:color w:val="auto"/>
              </w:rPr>
            </w:pPr>
          </w:p>
        </w:tc>
        <w:tc>
          <w:tcPr>
            <w:tcW w:w="700" w:type="dxa"/>
            <w:vAlign w:val="bottom"/>
            <w:shd w:val="clear" w:color="auto" w:fill="284993"/>
          </w:tcPr>
          <w:p>
            <w:pPr>
              <w:jc w:val="center"/>
              <w:ind w:right="21"/>
              <w:spacing w:after="0" w:line="122" w:lineRule="exact"/>
              <w:rPr>
                <w:sz w:val="20"/>
                <w:szCs w:val="20"/>
                <w:color w:val="auto"/>
              </w:rPr>
            </w:pPr>
            <w:r>
              <w:rPr>
                <w:rFonts w:ascii="Arial" w:cs="Arial" w:eastAsia="Arial" w:hAnsi="Arial"/>
                <w:sz w:val="12"/>
                <w:szCs w:val="12"/>
                <w:b w:val="1"/>
                <w:bCs w:val="1"/>
                <w:color w:val="FFFFFF"/>
              </w:rPr>
              <w:t>Stock</w:t>
            </w:r>
          </w:p>
        </w:tc>
        <w:tc>
          <w:tcPr>
            <w:tcW w:w="780" w:type="dxa"/>
            <w:vAlign w:val="bottom"/>
            <w:vMerge w:val="continue"/>
            <w:shd w:val="clear" w:color="auto" w:fill="284993"/>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740" w:type="dxa"/>
            <w:vAlign w:val="bottom"/>
            <w:shd w:val="clear" w:color="auto" w:fill="284993"/>
          </w:tcPr>
          <w:p>
            <w:pPr>
              <w:spacing w:after="0"/>
              <w:rPr>
                <w:sz w:val="6"/>
                <w:szCs w:val="6"/>
                <w:color w:val="auto"/>
              </w:rPr>
            </w:pPr>
          </w:p>
        </w:tc>
        <w:tc>
          <w:tcPr>
            <w:tcW w:w="80" w:type="dxa"/>
            <w:vAlign w:val="bottom"/>
            <w:shd w:val="clear" w:color="auto" w:fill="284993"/>
          </w:tcPr>
          <w:p>
            <w:pPr>
              <w:spacing w:after="0"/>
              <w:rPr>
                <w:sz w:val="6"/>
                <w:szCs w:val="6"/>
                <w:color w:val="auto"/>
              </w:rPr>
            </w:pPr>
          </w:p>
        </w:tc>
        <w:tc>
          <w:tcPr>
            <w:tcW w:w="780" w:type="dxa"/>
            <w:vAlign w:val="bottom"/>
            <w:shd w:val="clear" w:color="auto" w:fill="284993"/>
          </w:tcPr>
          <w:p>
            <w:pPr>
              <w:spacing w:after="0"/>
              <w:rPr>
                <w:sz w:val="6"/>
                <w:szCs w:val="6"/>
                <w:color w:val="auto"/>
              </w:rPr>
            </w:pPr>
          </w:p>
        </w:tc>
        <w:tc>
          <w:tcPr>
            <w:tcW w:w="40" w:type="dxa"/>
            <w:vAlign w:val="bottom"/>
            <w:shd w:val="clear" w:color="auto" w:fill="284993"/>
          </w:tcPr>
          <w:p>
            <w:pPr>
              <w:spacing w:after="0"/>
              <w:rPr>
                <w:sz w:val="6"/>
                <w:szCs w:val="6"/>
                <w:color w:val="auto"/>
              </w:rPr>
            </w:pPr>
          </w:p>
        </w:tc>
        <w:tc>
          <w:tcPr>
            <w:tcW w:w="2140" w:type="dxa"/>
            <w:vAlign w:val="bottom"/>
            <w:gridSpan w:val="3"/>
            <w:vMerge w:val="continue"/>
            <w:shd w:val="clear" w:color="auto" w:fill="284993"/>
          </w:tcPr>
          <w:p>
            <w:pPr>
              <w:spacing w:after="0"/>
              <w:rPr>
                <w:sz w:val="6"/>
                <w:szCs w:val="6"/>
                <w:color w:val="auto"/>
              </w:rPr>
            </w:pPr>
          </w:p>
        </w:tc>
        <w:tc>
          <w:tcPr>
            <w:tcW w:w="2040" w:type="dxa"/>
            <w:vAlign w:val="bottom"/>
            <w:gridSpan w:val="3"/>
            <w:vMerge w:val="continue"/>
            <w:shd w:val="clear" w:color="auto" w:fill="284993"/>
          </w:tcPr>
          <w:p>
            <w:pPr>
              <w:spacing w:after="0"/>
              <w:rPr>
                <w:sz w:val="6"/>
                <w:szCs w:val="6"/>
                <w:color w:val="auto"/>
              </w:rPr>
            </w:pPr>
          </w:p>
        </w:tc>
        <w:tc>
          <w:tcPr>
            <w:tcW w:w="40" w:type="dxa"/>
            <w:vAlign w:val="bottom"/>
            <w:shd w:val="clear" w:color="auto" w:fill="284993"/>
          </w:tcPr>
          <w:p>
            <w:pPr>
              <w:spacing w:after="0"/>
              <w:rPr>
                <w:sz w:val="6"/>
                <w:szCs w:val="6"/>
                <w:color w:val="auto"/>
              </w:rPr>
            </w:pPr>
          </w:p>
        </w:tc>
        <w:tc>
          <w:tcPr>
            <w:tcW w:w="700" w:type="dxa"/>
            <w:vAlign w:val="bottom"/>
            <w:vMerge w:val="restart"/>
            <w:shd w:val="clear" w:color="auto" w:fill="284993"/>
          </w:tcPr>
          <w:p>
            <w:pPr>
              <w:jc w:val="center"/>
              <w:ind w:right="41"/>
              <w:spacing w:after="0" w:line="130" w:lineRule="exact"/>
              <w:rPr>
                <w:sz w:val="20"/>
                <w:szCs w:val="20"/>
                <w:color w:val="auto"/>
              </w:rPr>
            </w:pPr>
            <w:r>
              <w:rPr>
                <w:rFonts w:ascii="Arial" w:cs="Arial" w:eastAsia="Arial" w:hAnsi="Arial"/>
                <w:sz w:val="12"/>
                <w:szCs w:val="12"/>
                <w:b w:val="1"/>
                <w:bCs w:val="1"/>
                <w:color w:val="FFFFFF"/>
              </w:rPr>
              <w:t>Awards:</w:t>
            </w:r>
          </w:p>
        </w:tc>
        <w:tc>
          <w:tcPr>
            <w:tcW w:w="780" w:type="dxa"/>
            <w:vAlign w:val="bottom"/>
            <w:vMerge w:val="restart"/>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Date Fair</w:t>
            </w:r>
          </w:p>
        </w:tc>
        <w:tc>
          <w:tcPr>
            <w:tcW w:w="0" w:type="dxa"/>
            <w:vAlign w:val="bottom"/>
          </w:tcPr>
          <w:p>
            <w:pPr>
              <w:spacing w:after="0"/>
              <w:rPr>
                <w:sz w:val="1"/>
                <w:szCs w:val="1"/>
                <w:color w:val="auto"/>
              </w:rPr>
            </w:pPr>
          </w:p>
        </w:tc>
      </w:tr>
      <w:tr>
        <w:trPr>
          <w:trHeight w:val="57"/>
        </w:trPr>
        <w:tc>
          <w:tcPr>
            <w:tcW w:w="2740" w:type="dxa"/>
            <w:vAlign w:val="bottom"/>
            <w:shd w:val="clear" w:color="auto" w:fill="284993"/>
          </w:tcPr>
          <w:p>
            <w:pPr>
              <w:spacing w:after="0"/>
              <w:rPr>
                <w:sz w:val="4"/>
                <w:szCs w:val="4"/>
                <w:color w:val="auto"/>
              </w:rPr>
            </w:pPr>
          </w:p>
        </w:tc>
        <w:tc>
          <w:tcPr>
            <w:tcW w:w="80" w:type="dxa"/>
            <w:vAlign w:val="bottom"/>
            <w:shd w:val="clear" w:color="auto" w:fill="284993"/>
          </w:tcPr>
          <w:p>
            <w:pPr>
              <w:spacing w:after="0"/>
              <w:rPr>
                <w:sz w:val="4"/>
                <w:szCs w:val="4"/>
                <w:color w:val="auto"/>
              </w:rPr>
            </w:pPr>
          </w:p>
        </w:tc>
        <w:tc>
          <w:tcPr>
            <w:tcW w:w="780" w:type="dxa"/>
            <w:vAlign w:val="bottom"/>
            <w:shd w:val="clear" w:color="auto" w:fill="284993"/>
          </w:tcPr>
          <w:p>
            <w:pPr>
              <w:spacing w:after="0"/>
              <w:rPr>
                <w:sz w:val="4"/>
                <w:szCs w:val="4"/>
                <w:color w:val="auto"/>
              </w:rPr>
            </w:pPr>
          </w:p>
        </w:tc>
        <w:tc>
          <w:tcPr>
            <w:tcW w:w="40" w:type="dxa"/>
            <w:vAlign w:val="bottom"/>
            <w:shd w:val="clear" w:color="auto" w:fill="284993"/>
          </w:tcPr>
          <w:p>
            <w:pPr>
              <w:spacing w:after="0"/>
              <w:rPr>
                <w:sz w:val="4"/>
                <w:szCs w:val="4"/>
                <w:color w:val="auto"/>
              </w:rPr>
            </w:pPr>
          </w:p>
        </w:tc>
        <w:tc>
          <w:tcPr>
            <w:tcW w:w="2140" w:type="dxa"/>
            <w:vAlign w:val="bottom"/>
            <w:gridSpan w:val="3"/>
            <w:vMerge w:val="restart"/>
            <w:shd w:val="clear" w:color="auto" w:fill="284993"/>
          </w:tcPr>
          <w:p>
            <w:pPr>
              <w:jc w:val="right"/>
              <w:ind w:right="112"/>
              <w:spacing w:after="0" w:line="130" w:lineRule="exact"/>
              <w:rPr>
                <w:sz w:val="20"/>
                <w:szCs w:val="20"/>
                <w:color w:val="auto"/>
              </w:rPr>
            </w:pPr>
            <w:r>
              <w:rPr>
                <w:rFonts w:ascii="Arial" w:cs="Arial" w:eastAsia="Arial" w:hAnsi="Arial"/>
                <w:sz w:val="12"/>
                <w:szCs w:val="12"/>
                <w:b w:val="1"/>
                <w:bCs w:val="1"/>
                <w:color w:val="FFFFFF"/>
              </w:rPr>
              <w:t>Under Non-Equity Incentive Plan</w:t>
            </w:r>
          </w:p>
        </w:tc>
        <w:tc>
          <w:tcPr>
            <w:tcW w:w="2040" w:type="dxa"/>
            <w:vAlign w:val="bottom"/>
            <w:gridSpan w:val="3"/>
            <w:vMerge w:val="restart"/>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Under Equity Incentive Plan</w:t>
            </w:r>
          </w:p>
        </w:tc>
        <w:tc>
          <w:tcPr>
            <w:tcW w:w="40" w:type="dxa"/>
            <w:vAlign w:val="bottom"/>
            <w:shd w:val="clear" w:color="auto" w:fill="284993"/>
          </w:tcPr>
          <w:p>
            <w:pPr>
              <w:spacing w:after="0"/>
              <w:rPr>
                <w:sz w:val="4"/>
                <w:szCs w:val="4"/>
                <w:color w:val="auto"/>
              </w:rPr>
            </w:pPr>
          </w:p>
        </w:tc>
        <w:tc>
          <w:tcPr>
            <w:tcW w:w="700" w:type="dxa"/>
            <w:vAlign w:val="bottom"/>
            <w:vMerge w:val="continue"/>
            <w:shd w:val="clear" w:color="auto" w:fill="284993"/>
          </w:tcPr>
          <w:p>
            <w:pPr>
              <w:spacing w:after="0"/>
              <w:rPr>
                <w:sz w:val="4"/>
                <w:szCs w:val="4"/>
                <w:color w:val="auto"/>
              </w:rPr>
            </w:pPr>
          </w:p>
        </w:tc>
        <w:tc>
          <w:tcPr>
            <w:tcW w:w="780" w:type="dxa"/>
            <w:vAlign w:val="bottom"/>
            <w:vMerge w:val="continue"/>
            <w:shd w:val="clear" w:color="auto" w:fill="284993"/>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740" w:type="dxa"/>
            <w:vAlign w:val="bottom"/>
            <w:shd w:val="clear" w:color="auto" w:fill="284993"/>
          </w:tcPr>
          <w:p>
            <w:pPr>
              <w:spacing w:after="0"/>
              <w:rPr>
                <w:sz w:val="6"/>
                <w:szCs w:val="6"/>
                <w:color w:val="auto"/>
              </w:rPr>
            </w:pPr>
          </w:p>
        </w:tc>
        <w:tc>
          <w:tcPr>
            <w:tcW w:w="80" w:type="dxa"/>
            <w:vAlign w:val="bottom"/>
            <w:shd w:val="clear" w:color="auto" w:fill="284993"/>
          </w:tcPr>
          <w:p>
            <w:pPr>
              <w:spacing w:after="0"/>
              <w:rPr>
                <w:sz w:val="6"/>
                <w:szCs w:val="6"/>
                <w:color w:val="auto"/>
              </w:rPr>
            </w:pPr>
          </w:p>
        </w:tc>
        <w:tc>
          <w:tcPr>
            <w:tcW w:w="780" w:type="dxa"/>
            <w:vAlign w:val="bottom"/>
            <w:shd w:val="clear" w:color="auto" w:fill="284993"/>
          </w:tcPr>
          <w:p>
            <w:pPr>
              <w:spacing w:after="0"/>
              <w:rPr>
                <w:sz w:val="6"/>
                <w:szCs w:val="6"/>
                <w:color w:val="auto"/>
              </w:rPr>
            </w:pPr>
          </w:p>
        </w:tc>
        <w:tc>
          <w:tcPr>
            <w:tcW w:w="40" w:type="dxa"/>
            <w:vAlign w:val="bottom"/>
            <w:shd w:val="clear" w:color="auto" w:fill="284993"/>
          </w:tcPr>
          <w:p>
            <w:pPr>
              <w:spacing w:after="0"/>
              <w:rPr>
                <w:sz w:val="6"/>
                <w:szCs w:val="6"/>
                <w:color w:val="auto"/>
              </w:rPr>
            </w:pPr>
          </w:p>
        </w:tc>
        <w:tc>
          <w:tcPr>
            <w:tcW w:w="2140" w:type="dxa"/>
            <w:vAlign w:val="bottom"/>
            <w:gridSpan w:val="3"/>
            <w:vMerge w:val="continue"/>
            <w:shd w:val="clear" w:color="auto" w:fill="284993"/>
          </w:tcPr>
          <w:p>
            <w:pPr>
              <w:spacing w:after="0"/>
              <w:rPr>
                <w:sz w:val="6"/>
                <w:szCs w:val="6"/>
                <w:color w:val="auto"/>
              </w:rPr>
            </w:pPr>
          </w:p>
        </w:tc>
        <w:tc>
          <w:tcPr>
            <w:tcW w:w="2040" w:type="dxa"/>
            <w:vAlign w:val="bottom"/>
            <w:gridSpan w:val="3"/>
            <w:vMerge w:val="continue"/>
            <w:shd w:val="clear" w:color="auto" w:fill="284993"/>
          </w:tcPr>
          <w:p>
            <w:pPr>
              <w:spacing w:after="0"/>
              <w:rPr>
                <w:sz w:val="6"/>
                <w:szCs w:val="6"/>
                <w:color w:val="auto"/>
              </w:rPr>
            </w:pPr>
          </w:p>
        </w:tc>
        <w:tc>
          <w:tcPr>
            <w:tcW w:w="740" w:type="dxa"/>
            <w:vAlign w:val="bottom"/>
            <w:gridSpan w:val="2"/>
            <w:vMerge w:val="restart"/>
            <w:shd w:val="clear" w:color="auto" w:fill="284993"/>
          </w:tcPr>
          <w:p>
            <w:pPr>
              <w:jc w:val="center"/>
              <w:ind w:right="1"/>
              <w:spacing w:after="0" w:line="130" w:lineRule="exact"/>
              <w:rPr>
                <w:sz w:val="20"/>
                <w:szCs w:val="20"/>
                <w:color w:val="auto"/>
              </w:rPr>
            </w:pPr>
            <w:r>
              <w:rPr>
                <w:rFonts w:ascii="Arial" w:cs="Arial" w:eastAsia="Arial" w:hAnsi="Arial"/>
                <w:sz w:val="12"/>
                <w:szCs w:val="12"/>
                <w:b w:val="1"/>
                <w:bCs w:val="1"/>
                <w:color w:val="FFFFFF"/>
                <w:w w:val="99"/>
              </w:rPr>
              <w:t>Number of</w:t>
            </w:r>
          </w:p>
        </w:tc>
        <w:tc>
          <w:tcPr>
            <w:tcW w:w="780" w:type="dxa"/>
            <w:vAlign w:val="bottom"/>
            <w:vMerge w:val="restart"/>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8"/>
              </w:rPr>
              <w:t>Value of</w:t>
            </w:r>
          </w:p>
        </w:tc>
        <w:tc>
          <w:tcPr>
            <w:tcW w:w="0" w:type="dxa"/>
            <w:vAlign w:val="bottom"/>
          </w:tcPr>
          <w:p>
            <w:pPr>
              <w:spacing w:after="0"/>
              <w:rPr>
                <w:sz w:val="1"/>
                <w:szCs w:val="1"/>
                <w:color w:val="auto"/>
              </w:rPr>
            </w:pPr>
          </w:p>
        </w:tc>
      </w:tr>
      <w:tr>
        <w:trPr>
          <w:trHeight w:val="57"/>
        </w:trPr>
        <w:tc>
          <w:tcPr>
            <w:tcW w:w="2740" w:type="dxa"/>
            <w:vAlign w:val="bottom"/>
            <w:shd w:val="clear" w:color="auto" w:fill="284993"/>
          </w:tcPr>
          <w:p>
            <w:pPr>
              <w:spacing w:after="0"/>
              <w:rPr>
                <w:sz w:val="4"/>
                <w:szCs w:val="4"/>
                <w:color w:val="auto"/>
              </w:rPr>
            </w:pPr>
          </w:p>
        </w:tc>
        <w:tc>
          <w:tcPr>
            <w:tcW w:w="80" w:type="dxa"/>
            <w:vAlign w:val="bottom"/>
            <w:shd w:val="clear" w:color="auto" w:fill="284993"/>
          </w:tcPr>
          <w:p>
            <w:pPr>
              <w:spacing w:after="0"/>
              <w:rPr>
                <w:sz w:val="4"/>
                <w:szCs w:val="4"/>
                <w:color w:val="auto"/>
              </w:rPr>
            </w:pPr>
          </w:p>
        </w:tc>
        <w:tc>
          <w:tcPr>
            <w:tcW w:w="780" w:type="dxa"/>
            <w:vAlign w:val="bottom"/>
            <w:shd w:val="clear" w:color="auto" w:fill="284993"/>
          </w:tcPr>
          <w:p>
            <w:pPr>
              <w:spacing w:after="0"/>
              <w:rPr>
                <w:sz w:val="4"/>
                <w:szCs w:val="4"/>
                <w:color w:val="auto"/>
              </w:rPr>
            </w:pPr>
          </w:p>
        </w:tc>
        <w:tc>
          <w:tcPr>
            <w:tcW w:w="40" w:type="dxa"/>
            <w:vAlign w:val="bottom"/>
            <w:shd w:val="clear" w:color="auto" w:fill="284993"/>
          </w:tcPr>
          <w:p>
            <w:pPr>
              <w:spacing w:after="0"/>
              <w:rPr>
                <w:sz w:val="4"/>
                <w:szCs w:val="4"/>
                <w:color w:val="auto"/>
              </w:rPr>
            </w:pPr>
          </w:p>
        </w:tc>
        <w:tc>
          <w:tcPr>
            <w:tcW w:w="600" w:type="dxa"/>
            <w:vAlign w:val="bottom"/>
            <w:shd w:val="clear" w:color="auto" w:fill="284993"/>
          </w:tcPr>
          <w:p>
            <w:pPr>
              <w:spacing w:after="0"/>
              <w:rPr>
                <w:sz w:val="4"/>
                <w:szCs w:val="4"/>
                <w:color w:val="auto"/>
              </w:rPr>
            </w:pPr>
          </w:p>
        </w:tc>
        <w:tc>
          <w:tcPr>
            <w:tcW w:w="780" w:type="dxa"/>
            <w:vAlign w:val="bottom"/>
            <w:vMerge w:val="restart"/>
            <w:shd w:val="clear" w:color="auto" w:fill="284993"/>
          </w:tcPr>
          <w:p>
            <w:pPr>
              <w:jc w:val="right"/>
              <w:ind w:right="13"/>
              <w:spacing w:after="0" w:line="161" w:lineRule="exact"/>
              <w:rPr>
                <w:sz w:val="20"/>
                <w:szCs w:val="20"/>
                <w:color w:val="auto"/>
              </w:rPr>
            </w:pPr>
            <w:r>
              <w:rPr>
                <w:rFonts w:ascii="Arial" w:cs="Arial" w:eastAsia="Arial" w:hAnsi="Arial"/>
                <w:sz w:val="12"/>
                <w:szCs w:val="12"/>
                <w:b w:val="1"/>
                <w:bCs w:val="1"/>
                <w:color w:val="FFFFFF"/>
              </w:rPr>
              <w:t>Awards</w:t>
            </w:r>
            <w:r>
              <w:rPr>
                <w:rFonts w:ascii="Arial" w:cs="Arial" w:eastAsia="Arial" w:hAnsi="Arial"/>
                <w:sz w:val="18"/>
                <w:szCs w:val="18"/>
                <w:b w:val="1"/>
                <w:bCs w:val="1"/>
                <w:color w:val="FFFFFF"/>
                <w:vertAlign w:val="superscript"/>
              </w:rPr>
              <w:t>(1)</w:t>
            </w:r>
          </w:p>
        </w:tc>
        <w:tc>
          <w:tcPr>
            <w:tcW w:w="760" w:type="dxa"/>
            <w:vAlign w:val="bottom"/>
            <w:shd w:val="clear" w:color="auto" w:fill="284993"/>
          </w:tcPr>
          <w:p>
            <w:pPr>
              <w:spacing w:after="0"/>
              <w:rPr>
                <w:sz w:val="4"/>
                <w:szCs w:val="4"/>
                <w:color w:val="auto"/>
              </w:rPr>
            </w:pPr>
          </w:p>
        </w:tc>
        <w:tc>
          <w:tcPr>
            <w:tcW w:w="700" w:type="dxa"/>
            <w:vAlign w:val="bottom"/>
            <w:shd w:val="clear" w:color="auto" w:fill="284993"/>
          </w:tcPr>
          <w:p>
            <w:pPr>
              <w:spacing w:after="0"/>
              <w:rPr>
                <w:sz w:val="4"/>
                <w:szCs w:val="4"/>
                <w:color w:val="auto"/>
              </w:rPr>
            </w:pPr>
          </w:p>
        </w:tc>
        <w:tc>
          <w:tcPr>
            <w:tcW w:w="640" w:type="dxa"/>
            <w:vAlign w:val="bottom"/>
            <w:vMerge w:val="restart"/>
            <w:shd w:val="clear" w:color="auto" w:fill="284993"/>
          </w:tcPr>
          <w:p>
            <w:pPr>
              <w:jc w:val="center"/>
              <w:spacing w:after="0" w:line="161" w:lineRule="exact"/>
              <w:rPr>
                <w:sz w:val="20"/>
                <w:szCs w:val="20"/>
                <w:color w:val="auto"/>
              </w:rPr>
            </w:pPr>
            <w:r>
              <w:rPr>
                <w:rFonts w:ascii="Arial" w:cs="Arial" w:eastAsia="Arial" w:hAnsi="Arial"/>
                <w:sz w:val="12"/>
                <w:szCs w:val="12"/>
                <w:b w:val="1"/>
                <w:bCs w:val="1"/>
                <w:color w:val="FFFFFF"/>
                <w:w w:val="96"/>
              </w:rPr>
              <w:t>Awards</w:t>
            </w:r>
            <w:r>
              <w:rPr>
                <w:rFonts w:ascii="Arial" w:cs="Arial" w:eastAsia="Arial" w:hAnsi="Arial"/>
                <w:sz w:val="18"/>
                <w:szCs w:val="18"/>
                <w:b w:val="1"/>
                <w:bCs w:val="1"/>
                <w:color w:val="FFFFFF"/>
                <w:w w:val="96"/>
                <w:vertAlign w:val="superscript"/>
              </w:rPr>
              <w:t>(2)</w:t>
            </w:r>
          </w:p>
        </w:tc>
        <w:tc>
          <w:tcPr>
            <w:tcW w:w="700" w:type="dxa"/>
            <w:vAlign w:val="bottom"/>
            <w:shd w:val="clear" w:color="auto" w:fill="284993"/>
          </w:tcPr>
          <w:p>
            <w:pPr>
              <w:spacing w:after="0"/>
              <w:rPr>
                <w:sz w:val="4"/>
                <w:szCs w:val="4"/>
                <w:color w:val="auto"/>
              </w:rPr>
            </w:pPr>
          </w:p>
        </w:tc>
        <w:tc>
          <w:tcPr>
            <w:tcW w:w="740" w:type="dxa"/>
            <w:vAlign w:val="bottom"/>
            <w:gridSpan w:val="2"/>
            <w:vMerge w:val="continue"/>
            <w:shd w:val="clear" w:color="auto" w:fill="284993"/>
          </w:tcPr>
          <w:p>
            <w:pPr>
              <w:spacing w:after="0"/>
              <w:rPr>
                <w:sz w:val="4"/>
                <w:szCs w:val="4"/>
                <w:color w:val="auto"/>
              </w:rPr>
            </w:pPr>
          </w:p>
        </w:tc>
        <w:tc>
          <w:tcPr>
            <w:tcW w:w="780" w:type="dxa"/>
            <w:vAlign w:val="bottom"/>
            <w:vMerge w:val="continue"/>
            <w:shd w:val="clear" w:color="auto" w:fill="284993"/>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740" w:type="dxa"/>
            <w:vAlign w:val="bottom"/>
            <w:shd w:val="clear" w:color="auto" w:fill="284993"/>
          </w:tcPr>
          <w:p>
            <w:pPr>
              <w:spacing w:after="0"/>
              <w:rPr>
                <w:sz w:val="9"/>
                <w:szCs w:val="9"/>
                <w:color w:val="auto"/>
              </w:rPr>
            </w:pPr>
          </w:p>
        </w:tc>
        <w:tc>
          <w:tcPr>
            <w:tcW w:w="80" w:type="dxa"/>
            <w:vAlign w:val="bottom"/>
            <w:shd w:val="clear" w:color="auto" w:fill="284993"/>
          </w:tcPr>
          <w:p>
            <w:pPr>
              <w:spacing w:after="0"/>
              <w:rPr>
                <w:sz w:val="9"/>
                <w:szCs w:val="9"/>
                <w:color w:val="auto"/>
              </w:rPr>
            </w:pPr>
          </w:p>
        </w:tc>
        <w:tc>
          <w:tcPr>
            <w:tcW w:w="780" w:type="dxa"/>
            <w:vAlign w:val="bottom"/>
            <w:shd w:val="clear" w:color="auto" w:fill="284993"/>
          </w:tcPr>
          <w:p>
            <w:pPr>
              <w:spacing w:after="0"/>
              <w:rPr>
                <w:sz w:val="9"/>
                <w:szCs w:val="9"/>
                <w:color w:val="auto"/>
              </w:rPr>
            </w:pPr>
          </w:p>
        </w:tc>
        <w:tc>
          <w:tcPr>
            <w:tcW w:w="40" w:type="dxa"/>
            <w:vAlign w:val="bottom"/>
            <w:shd w:val="clear" w:color="auto" w:fill="284993"/>
          </w:tcPr>
          <w:p>
            <w:pPr>
              <w:spacing w:after="0"/>
              <w:rPr>
                <w:sz w:val="9"/>
                <w:szCs w:val="9"/>
                <w:color w:val="auto"/>
              </w:rPr>
            </w:pPr>
          </w:p>
        </w:tc>
        <w:tc>
          <w:tcPr>
            <w:tcW w:w="600" w:type="dxa"/>
            <w:vAlign w:val="bottom"/>
            <w:shd w:val="clear" w:color="auto" w:fill="284993"/>
          </w:tcPr>
          <w:p>
            <w:pPr>
              <w:spacing w:after="0"/>
              <w:rPr>
                <w:sz w:val="9"/>
                <w:szCs w:val="9"/>
                <w:color w:val="auto"/>
              </w:rPr>
            </w:pPr>
          </w:p>
        </w:tc>
        <w:tc>
          <w:tcPr>
            <w:tcW w:w="780" w:type="dxa"/>
            <w:vAlign w:val="bottom"/>
            <w:vMerge w:val="continue"/>
            <w:shd w:val="clear" w:color="auto" w:fill="284993"/>
          </w:tcPr>
          <w:p>
            <w:pPr>
              <w:spacing w:after="0"/>
              <w:rPr>
                <w:sz w:val="9"/>
                <w:szCs w:val="9"/>
                <w:color w:val="auto"/>
              </w:rPr>
            </w:pPr>
          </w:p>
        </w:tc>
        <w:tc>
          <w:tcPr>
            <w:tcW w:w="760" w:type="dxa"/>
            <w:vAlign w:val="bottom"/>
            <w:shd w:val="clear" w:color="auto" w:fill="284993"/>
          </w:tcPr>
          <w:p>
            <w:pPr>
              <w:spacing w:after="0"/>
              <w:rPr>
                <w:sz w:val="9"/>
                <w:szCs w:val="9"/>
                <w:color w:val="auto"/>
              </w:rPr>
            </w:pPr>
          </w:p>
        </w:tc>
        <w:tc>
          <w:tcPr>
            <w:tcW w:w="700" w:type="dxa"/>
            <w:vAlign w:val="bottom"/>
            <w:shd w:val="clear" w:color="auto" w:fill="284993"/>
          </w:tcPr>
          <w:p>
            <w:pPr>
              <w:spacing w:after="0"/>
              <w:rPr>
                <w:sz w:val="9"/>
                <w:szCs w:val="9"/>
                <w:color w:val="auto"/>
              </w:rPr>
            </w:pPr>
          </w:p>
        </w:tc>
        <w:tc>
          <w:tcPr>
            <w:tcW w:w="640" w:type="dxa"/>
            <w:vAlign w:val="bottom"/>
            <w:vMerge w:val="continue"/>
            <w:shd w:val="clear" w:color="auto" w:fill="284993"/>
          </w:tcPr>
          <w:p>
            <w:pPr>
              <w:spacing w:after="0"/>
              <w:rPr>
                <w:sz w:val="9"/>
                <w:szCs w:val="9"/>
                <w:color w:val="auto"/>
              </w:rPr>
            </w:pPr>
          </w:p>
        </w:tc>
        <w:tc>
          <w:tcPr>
            <w:tcW w:w="700" w:type="dxa"/>
            <w:vAlign w:val="bottom"/>
            <w:shd w:val="clear" w:color="auto" w:fill="284993"/>
          </w:tcPr>
          <w:p>
            <w:pPr>
              <w:spacing w:after="0"/>
              <w:rPr>
                <w:sz w:val="9"/>
                <w:szCs w:val="9"/>
                <w:color w:val="auto"/>
              </w:rPr>
            </w:pPr>
          </w:p>
        </w:tc>
        <w:tc>
          <w:tcPr>
            <w:tcW w:w="40" w:type="dxa"/>
            <w:vAlign w:val="bottom"/>
            <w:shd w:val="clear" w:color="auto" w:fill="284993"/>
          </w:tcPr>
          <w:p>
            <w:pPr>
              <w:spacing w:after="0"/>
              <w:rPr>
                <w:sz w:val="9"/>
                <w:szCs w:val="9"/>
                <w:color w:val="auto"/>
              </w:rPr>
            </w:pPr>
          </w:p>
        </w:tc>
        <w:tc>
          <w:tcPr>
            <w:tcW w:w="700" w:type="dxa"/>
            <w:vAlign w:val="bottom"/>
            <w:vMerge w:val="restart"/>
            <w:shd w:val="clear" w:color="auto" w:fill="284993"/>
          </w:tcPr>
          <w:p>
            <w:pPr>
              <w:jc w:val="center"/>
              <w:ind w:right="41"/>
              <w:spacing w:after="0" w:line="130" w:lineRule="exact"/>
              <w:rPr>
                <w:sz w:val="20"/>
                <w:szCs w:val="20"/>
                <w:color w:val="auto"/>
              </w:rPr>
            </w:pPr>
            <w:r>
              <w:rPr>
                <w:rFonts w:ascii="Arial" w:cs="Arial" w:eastAsia="Arial" w:hAnsi="Arial"/>
                <w:sz w:val="12"/>
                <w:szCs w:val="12"/>
                <w:b w:val="1"/>
                <w:bCs w:val="1"/>
                <w:color w:val="FFFFFF"/>
              </w:rPr>
              <w:t>Shares of</w:t>
            </w:r>
          </w:p>
        </w:tc>
        <w:tc>
          <w:tcPr>
            <w:tcW w:w="780" w:type="dxa"/>
            <w:vAlign w:val="bottom"/>
            <w:vMerge w:val="restart"/>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Stock and</w:t>
            </w:r>
          </w:p>
        </w:tc>
        <w:tc>
          <w:tcPr>
            <w:tcW w:w="0" w:type="dxa"/>
            <w:vAlign w:val="bottom"/>
          </w:tcPr>
          <w:p>
            <w:pPr>
              <w:spacing w:after="0"/>
              <w:rPr>
                <w:sz w:val="1"/>
                <w:szCs w:val="1"/>
                <w:color w:val="auto"/>
              </w:rPr>
            </w:pPr>
          </w:p>
        </w:tc>
      </w:tr>
      <w:tr>
        <w:trPr>
          <w:trHeight w:val="26"/>
        </w:trPr>
        <w:tc>
          <w:tcPr>
            <w:tcW w:w="2740" w:type="dxa"/>
            <w:vAlign w:val="bottom"/>
            <w:shd w:val="clear" w:color="auto" w:fill="284993"/>
          </w:tcPr>
          <w:p>
            <w:pPr>
              <w:spacing w:after="0"/>
              <w:rPr>
                <w:sz w:val="2"/>
                <w:szCs w:val="2"/>
                <w:color w:val="auto"/>
              </w:rPr>
            </w:pPr>
          </w:p>
        </w:tc>
        <w:tc>
          <w:tcPr>
            <w:tcW w:w="80" w:type="dxa"/>
            <w:vAlign w:val="bottom"/>
            <w:shd w:val="clear" w:color="auto" w:fill="284993"/>
          </w:tcPr>
          <w:p>
            <w:pPr>
              <w:spacing w:after="0"/>
              <w:rPr>
                <w:sz w:val="2"/>
                <w:szCs w:val="2"/>
                <w:color w:val="auto"/>
              </w:rPr>
            </w:pPr>
          </w:p>
        </w:tc>
        <w:tc>
          <w:tcPr>
            <w:tcW w:w="780" w:type="dxa"/>
            <w:vAlign w:val="bottom"/>
            <w:shd w:val="clear" w:color="auto" w:fill="284993"/>
          </w:tcPr>
          <w:p>
            <w:pPr>
              <w:spacing w:after="0"/>
              <w:rPr>
                <w:sz w:val="2"/>
                <w:szCs w:val="2"/>
                <w:color w:val="auto"/>
              </w:rPr>
            </w:pPr>
          </w:p>
        </w:tc>
        <w:tc>
          <w:tcPr>
            <w:tcW w:w="40" w:type="dxa"/>
            <w:vAlign w:val="bottom"/>
            <w:shd w:val="clear" w:color="auto" w:fill="284993"/>
          </w:tcPr>
          <w:p>
            <w:pPr>
              <w:spacing w:after="0"/>
              <w:rPr>
                <w:sz w:val="2"/>
                <w:szCs w:val="2"/>
                <w:color w:val="auto"/>
              </w:rPr>
            </w:pPr>
          </w:p>
        </w:tc>
        <w:tc>
          <w:tcPr>
            <w:tcW w:w="600" w:type="dxa"/>
            <w:vAlign w:val="bottom"/>
            <w:shd w:val="clear" w:color="auto" w:fill="284993"/>
          </w:tcPr>
          <w:p>
            <w:pPr>
              <w:spacing w:after="0"/>
              <w:rPr>
                <w:sz w:val="2"/>
                <w:szCs w:val="2"/>
                <w:color w:val="auto"/>
              </w:rPr>
            </w:pPr>
          </w:p>
        </w:tc>
        <w:tc>
          <w:tcPr>
            <w:tcW w:w="780" w:type="dxa"/>
            <w:vAlign w:val="bottom"/>
            <w:shd w:val="clear" w:color="auto" w:fill="284993"/>
          </w:tcPr>
          <w:p>
            <w:pPr>
              <w:spacing w:after="0"/>
              <w:rPr>
                <w:sz w:val="2"/>
                <w:szCs w:val="2"/>
                <w:color w:val="auto"/>
              </w:rPr>
            </w:pPr>
          </w:p>
        </w:tc>
        <w:tc>
          <w:tcPr>
            <w:tcW w:w="760" w:type="dxa"/>
            <w:vAlign w:val="bottom"/>
            <w:shd w:val="clear" w:color="auto" w:fill="284993"/>
          </w:tcPr>
          <w:p>
            <w:pPr>
              <w:spacing w:after="0"/>
              <w:rPr>
                <w:sz w:val="2"/>
                <w:szCs w:val="2"/>
                <w:color w:val="auto"/>
              </w:rPr>
            </w:pPr>
          </w:p>
        </w:tc>
        <w:tc>
          <w:tcPr>
            <w:tcW w:w="700" w:type="dxa"/>
            <w:vAlign w:val="bottom"/>
            <w:shd w:val="clear" w:color="auto" w:fill="284993"/>
          </w:tcPr>
          <w:p>
            <w:pPr>
              <w:spacing w:after="0"/>
              <w:rPr>
                <w:sz w:val="2"/>
                <w:szCs w:val="2"/>
                <w:color w:val="auto"/>
              </w:rPr>
            </w:pPr>
          </w:p>
        </w:tc>
        <w:tc>
          <w:tcPr>
            <w:tcW w:w="640" w:type="dxa"/>
            <w:vAlign w:val="bottom"/>
            <w:shd w:val="clear" w:color="auto" w:fill="284993"/>
          </w:tcPr>
          <w:p>
            <w:pPr>
              <w:spacing w:after="0"/>
              <w:rPr>
                <w:sz w:val="2"/>
                <w:szCs w:val="2"/>
                <w:color w:val="auto"/>
              </w:rPr>
            </w:pPr>
          </w:p>
        </w:tc>
        <w:tc>
          <w:tcPr>
            <w:tcW w:w="700" w:type="dxa"/>
            <w:vAlign w:val="bottom"/>
            <w:shd w:val="clear" w:color="auto" w:fill="284993"/>
          </w:tcPr>
          <w:p>
            <w:pPr>
              <w:spacing w:after="0"/>
              <w:rPr>
                <w:sz w:val="2"/>
                <w:szCs w:val="2"/>
                <w:color w:val="auto"/>
              </w:rPr>
            </w:pPr>
          </w:p>
        </w:tc>
        <w:tc>
          <w:tcPr>
            <w:tcW w:w="40" w:type="dxa"/>
            <w:vAlign w:val="bottom"/>
            <w:shd w:val="clear" w:color="auto" w:fill="284993"/>
          </w:tcPr>
          <w:p>
            <w:pPr>
              <w:spacing w:after="0"/>
              <w:rPr>
                <w:sz w:val="2"/>
                <w:szCs w:val="2"/>
                <w:color w:val="auto"/>
              </w:rPr>
            </w:pPr>
          </w:p>
        </w:tc>
        <w:tc>
          <w:tcPr>
            <w:tcW w:w="700" w:type="dxa"/>
            <w:vAlign w:val="bottom"/>
            <w:vMerge w:val="continue"/>
            <w:shd w:val="clear" w:color="auto" w:fill="284993"/>
          </w:tcPr>
          <w:p>
            <w:pPr>
              <w:spacing w:after="0"/>
              <w:rPr>
                <w:sz w:val="2"/>
                <w:szCs w:val="2"/>
                <w:color w:val="auto"/>
              </w:rPr>
            </w:pPr>
          </w:p>
        </w:tc>
        <w:tc>
          <w:tcPr>
            <w:tcW w:w="780" w:type="dxa"/>
            <w:vAlign w:val="bottom"/>
            <w:vMerge w:val="continue"/>
            <w:shd w:val="clear" w:color="auto" w:fill="28499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740" w:type="dxa"/>
            <w:vAlign w:val="bottom"/>
            <w:shd w:val="clear" w:color="auto" w:fill="284993"/>
          </w:tcPr>
          <w:p>
            <w:pPr>
              <w:spacing w:after="0"/>
              <w:rPr>
                <w:sz w:val="11"/>
                <w:szCs w:val="11"/>
                <w:color w:val="auto"/>
              </w:rPr>
            </w:pPr>
          </w:p>
        </w:tc>
        <w:tc>
          <w:tcPr>
            <w:tcW w:w="80" w:type="dxa"/>
            <w:vAlign w:val="bottom"/>
            <w:shd w:val="clear" w:color="auto" w:fill="284993"/>
          </w:tcPr>
          <w:p>
            <w:pPr>
              <w:spacing w:after="0"/>
              <w:rPr>
                <w:sz w:val="11"/>
                <w:szCs w:val="11"/>
                <w:color w:val="auto"/>
              </w:rPr>
            </w:pPr>
          </w:p>
        </w:tc>
        <w:tc>
          <w:tcPr>
            <w:tcW w:w="780" w:type="dxa"/>
            <w:vAlign w:val="bottom"/>
            <w:vMerge w:val="restart"/>
            <w:shd w:val="clear" w:color="auto" w:fill="284993"/>
          </w:tcPr>
          <w:p>
            <w:pPr>
              <w:jc w:val="center"/>
              <w:ind w:right="74"/>
              <w:spacing w:after="0"/>
              <w:rPr>
                <w:sz w:val="20"/>
                <w:szCs w:val="20"/>
                <w:color w:val="auto"/>
              </w:rPr>
            </w:pPr>
            <w:r>
              <w:rPr>
                <w:rFonts w:ascii="Arial" w:cs="Arial" w:eastAsia="Arial" w:hAnsi="Arial"/>
                <w:sz w:val="12"/>
                <w:szCs w:val="12"/>
                <w:b w:val="1"/>
                <w:bCs w:val="1"/>
                <w:color w:val="FFFFFF"/>
                <w:w w:val="99"/>
              </w:rPr>
              <w:t>Grant</w:t>
            </w:r>
          </w:p>
        </w:tc>
        <w:tc>
          <w:tcPr>
            <w:tcW w:w="40" w:type="dxa"/>
            <w:vAlign w:val="bottom"/>
            <w:shd w:val="clear" w:color="auto" w:fill="284993"/>
          </w:tcPr>
          <w:p>
            <w:pPr>
              <w:spacing w:after="0"/>
              <w:rPr>
                <w:sz w:val="11"/>
                <w:szCs w:val="11"/>
                <w:color w:val="auto"/>
              </w:rPr>
            </w:pPr>
          </w:p>
        </w:tc>
        <w:tc>
          <w:tcPr>
            <w:tcW w:w="600" w:type="dxa"/>
            <w:vAlign w:val="bottom"/>
            <w:vMerge w:val="restart"/>
            <w:shd w:val="clear" w:color="auto" w:fill="284993"/>
          </w:tcPr>
          <w:p>
            <w:pPr>
              <w:jc w:val="right"/>
              <w:spacing w:after="0"/>
              <w:rPr>
                <w:sz w:val="20"/>
                <w:szCs w:val="20"/>
                <w:color w:val="auto"/>
              </w:rPr>
            </w:pPr>
            <w:r>
              <w:rPr>
                <w:rFonts w:ascii="Arial" w:cs="Arial" w:eastAsia="Arial" w:hAnsi="Arial"/>
                <w:sz w:val="12"/>
                <w:szCs w:val="12"/>
                <w:b w:val="1"/>
                <w:bCs w:val="1"/>
                <w:color w:val="FFFFFF"/>
                <w:w w:val="96"/>
              </w:rPr>
              <w:t>Threshold</w:t>
            </w:r>
          </w:p>
        </w:tc>
        <w:tc>
          <w:tcPr>
            <w:tcW w:w="780" w:type="dxa"/>
            <w:vAlign w:val="bottom"/>
            <w:vMerge w:val="restart"/>
            <w:shd w:val="clear" w:color="auto" w:fill="284993"/>
          </w:tcPr>
          <w:p>
            <w:pPr>
              <w:jc w:val="right"/>
              <w:ind w:right="133"/>
              <w:spacing w:after="0"/>
              <w:rPr>
                <w:sz w:val="20"/>
                <w:szCs w:val="20"/>
                <w:color w:val="auto"/>
              </w:rPr>
            </w:pPr>
            <w:r>
              <w:rPr>
                <w:rFonts w:ascii="Arial" w:cs="Arial" w:eastAsia="Arial" w:hAnsi="Arial"/>
                <w:sz w:val="12"/>
                <w:szCs w:val="12"/>
                <w:b w:val="1"/>
                <w:bCs w:val="1"/>
                <w:color w:val="FFFFFF"/>
              </w:rPr>
              <w:t>Target</w:t>
            </w:r>
          </w:p>
        </w:tc>
        <w:tc>
          <w:tcPr>
            <w:tcW w:w="760" w:type="dxa"/>
            <w:vAlign w:val="bottom"/>
            <w:vMerge w:val="restart"/>
            <w:shd w:val="clear" w:color="auto" w:fill="284993"/>
          </w:tcPr>
          <w:p>
            <w:pPr>
              <w:jc w:val="right"/>
              <w:ind w:right="52"/>
              <w:spacing w:after="0"/>
              <w:rPr>
                <w:sz w:val="20"/>
                <w:szCs w:val="20"/>
                <w:color w:val="auto"/>
              </w:rPr>
            </w:pPr>
            <w:r>
              <w:rPr>
                <w:rFonts w:ascii="Arial" w:cs="Arial" w:eastAsia="Arial" w:hAnsi="Arial"/>
                <w:sz w:val="12"/>
                <w:szCs w:val="12"/>
                <w:b w:val="1"/>
                <w:bCs w:val="1"/>
                <w:color w:val="FFFFFF"/>
              </w:rPr>
              <w:t>Maximum</w:t>
            </w:r>
          </w:p>
        </w:tc>
        <w:tc>
          <w:tcPr>
            <w:tcW w:w="70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w w:val="99"/>
              </w:rPr>
              <w:t>Threshold</w:t>
            </w:r>
          </w:p>
        </w:tc>
        <w:tc>
          <w:tcPr>
            <w:tcW w:w="64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w w:val="98"/>
              </w:rPr>
              <w:t>Target</w:t>
            </w:r>
          </w:p>
        </w:tc>
        <w:tc>
          <w:tcPr>
            <w:tcW w:w="700" w:type="dxa"/>
            <w:vAlign w:val="bottom"/>
            <w:vMerge w:val="restart"/>
            <w:shd w:val="clear" w:color="auto" w:fill="284993"/>
          </w:tcPr>
          <w:p>
            <w:pPr>
              <w:jc w:val="right"/>
              <w:ind w:right="32"/>
              <w:spacing w:after="0"/>
              <w:rPr>
                <w:sz w:val="20"/>
                <w:szCs w:val="20"/>
                <w:color w:val="auto"/>
              </w:rPr>
            </w:pPr>
            <w:r>
              <w:rPr>
                <w:rFonts w:ascii="Arial" w:cs="Arial" w:eastAsia="Arial" w:hAnsi="Arial"/>
                <w:sz w:val="12"/>
                <w:szCs w:val="12"/>
                <w:b w:val="1"/>
                <w:bCs w:val="1"/>
                <w:color w:val="FFFFFF"/>
              </w:rPr>
              <w:t>Maximum</w:t>
            </w:r>
          </w:p>
        </w:tc>
        <w:tc>
          <w:tcPr>
            <w:tcW w:w="40" w:type="dxa"/>
            <w:vAlign w:val="bottom"/>
            <w:shd w:val="clear" w:color="auto" w:fill="284993"/>
          </w:tcPr>
          <w:p>
            <w:pPr>
              <w:spacing w:after="0"/>
              <w:rPr>
                <w:sz w:val="11"/>
                <w:szCs w:val="11"/>
                <w:color w:val="auto"/>
              </w:rPr>
            </w:pPr>
          </w:p>
        </w:tc>
        <w:tc>
          <w:tcPr>
            <w:tcW w:w="700" w:type="dxa"/>
            <w:vAlign w:val="bottom"/>
            <w:shd w:val="clear" w:color="auto" w:fill="284993"/>
          </w:tcPr>
          <w:p>
            <w:pPr>
              <w:jc w:val="center"/>
              <w:ind w:right="41"/>
              <w:spacing w:after="0" w:line="130" w:lineRule="exact"/>
              <w:rPr>
                <w:sz w:val="20"/>
                <w:szCs w:val="20"/>
                <w:color w:val="auto"/>
              </w:rPr>
            </w:pPr>
            <w:r>
              <w:rPr>
                <w:rFonts w:ascii="Arial" w:cs="Arial" w:eastAsia="Arial" w:hAnsi="Arial"/>
                <w:sz w:val="12"/>
                <w:szCs w:val="12"/>
                <w:b w:val="1"/>
                <w:bCs w:val="1"/>
                <w:color w:val="FFFFFF"/>
                <w:w w:val="99"/>
              </w:rPr>
              <w:t>Stock or</w:t>
            </w:r>
          </w:p>
        </w:tc>
        <w:tc>
          <w:tcPr>
            <w:tcW w:w="7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8"/>
              </w:rPr>
              <w:t>Option</w:t>
            </w:r>
          </w:p>
        </w:tc>
        <w:tc>
          <w:tcPr>
            <w:tcW w:w="0" w:type="dxa"/>
            <w:vAlign w:val="bottom"/>
          </w:tcPr>
          <w:p>
            <w:pPr>
              <w:spacing w:after="0"/>
              <w:rPr>
                <w:sz w:val="1"/>
                <w:szCs w:val="1"/>
                <w:color w:val="auto"/>
              </w:rPr>
            </w:pPr>
          </w:p>
        </w:tc>
      </w:tr>
      <w:tr>
        <w:trPr>
          <w:trHeight w:val="130"/>
        </w:trPr>
        <w:tc>
          <w:tcPr>
            <w:tcW w:w="2740" w:type="dxa"/>
            <w:vAlign w:val="bottom"/>
            <w:vMerge w:val="restart"/>
            <w:shd w:val="clear" w:color="auto" w:fill="284993"/>
          </w:tcPr>
          <w:p>
            <w:pPr>
              <w:ind w:left="60"/>
              <w:spacing w:after="0"/>
              <w:rPr>
                <w:sz w:val="20"/>
                <w:szCs w:val="20"/>
                <w:color w:val="auto"/>
              </w:rPr>
            </w:pPr>
            <w:r>
              <w:rPr>
                <w:rFonts w:ascii="Arial" w:cs="Arial" w:eastAsia="Arial" w:hAnsi="Arial"/>
                <w:sz w:val="12"/>
                <w:szCs w:val="12"/>
                <w:b w:val="1"/>
                <w:bCs w:val="1"/>
                <w:color w:val="FFFFFF"/>
              </w:rPr>
              <w:t>Name</w:t>
            </w:r>
          </w:p>
        </w:tc>
        <w:tc>
          <w:tcPr>
            <w:tcW w:w="80" w:type="dxa"/>
            <w:vAlign w:val="bottom"/>
            <w:shd w:val="clear" w:color="auto" w:fill="284993"/>
          </w:tcPr>
          <w:p>
            <w:pPr>
              <w:spacing w:after="0"/>
              <w:rPr>
                <w:sz w:val="11"/>
                <w:szCs w:val="11"/>
                <w:color w:val="auto"/>
              </w:rPr>
            </w:pPr>
          </w:p>
        </w:tc>
        <w:tc>
          <w:tcPr>
            <w:tcW w:w="780" w:type="dxa"/>
            <w:vAlign w:val="bottom"/>
            <w:vMerge w:val="continue"/>
            <w:shd w:val="clear" w:color="auto" w:fill="284993"/>
          </w:tcPr>
          <w:p>
            <w:pPr>
              <w:spacing w:after="0"/>
              <w:rPr>
                <w:sz w:val="11"/>
                <w:szCs w:val="11"/>
                <w:color w:val="auto"/>
              </w:rPr>
            </w:pPr>
          </w:p>
        </w:tc>
        <w:tc>
          <w:tcPr>
            <w:tcW w:w="40" w:type="dxa"/>
            <w:vAlign w:val="bottom"/>
            <w:shd w:val="clear" w:color="auto" w:fill="284993"/>
          </w:tcPr>
          <w:p>
            <w:pPr>
              <w:spacing w:after="0"/>
              <w:rPr>
                <w:sz w:val="11"/>
                <w:szCs w:val="11"/>
                <w:color w:val="auto"/>
              </w:rPr>
            </w:pPr>
          </w:p>
        </w:tc>
        <w:tc>
          <w:tcPr>
            <w:tcW w:w="600" w:type="dxa"/>
            <w:vAlign w:val="bottom"/>
            <w:vMerge w:val="continue"/>
            <w:shd w:val="clear" w:color="auto" w:fill="284993"/>
          </w:tcPr>
          <w:p>
            <w:pPr>
              <w:spacing w:after="0"/>
              <w:rPr>
                <w:sz w:val="11"/>
                <w:szCs w:val="11"/>
                <w:color w:val="auto"/>
              </w:rPr>
            </w:pPr>
          </w:p>
        </w:tc>
        <w:tc>
          <w:tcPr>
            <w:tcW w:w="780" w:type="dxa"/>
            <w:vAlign w:val="bottom"/>
            <w:vMerge w:val="continue"/>
            <w:shd w:val="clear" w:color="auto" w:fill="284993"/>
          </w:tcPr>
          <w:p>
            <w:pPr>
              <w:spacing w:after="0"/>
              <w:rPr>
                <w:sz w:val="11"/>
                <w:szCs w:val="11"/>
                <w:color w:val="auto"/>
              </w:rPr>
            </w:pPr>
          </w:p>
        </w:tc>
        <w:tc>
          <w:tcPr>
            <w:tcW w:w="760" w:type="dxa"/>
            <w:vAlign w:val="bottom"/>
            <w:vMerge w:val="continue"/>
            <w:shd w:val="clear" w:color="auto" w:fill="284993"/>
          </w:tcPr>
          <w:p>
            <w:pPr>
              <w:spacing w:after="0"/>
              <w:rPr>
                <w:sz w:val="11"/>
                <w:szCs w:val="11"/>
                <w:color w:val="auto"/>
              </w:rPr>
            </w:pPr>
          </w:p>
        </w:tc>
        <w:tc>
          <w:tcPr>
            <w:tcW w:w="700" w:type="dxa"/>
            <w:vAlign w:val="bottom"/>
            <w:vMerge w:val="continue"/>
            <w:shd w:val="clear" w:color="auto" w:fill="284993"/>
          </w:tcPr>
          <w:p>
            <w:pPr>
              <w:spacing w:after="0"/>
              <w:rPr>
                <w:sz w:val="11"/>
                <w:szCs w:val="11"/>
                <w:color w:val="auto"/>
              </w:rPr>
            </w:pPr>
          </w:p>
        </w:tc>
        <w:tc>
          <w:tcPr>
            <w:tcW w:w="640" w:type="dxa"/>
            <w:vAlign w:val="bottom"/>
            <w:vMerge w:val="continue"/>
            <w:shd w:val="clear" w:color="auto" w:fill="284993"/>
          </w:tcPr>
          <w:p>
            <w:pPr>
              <w:spacing w:after="0"/>
              <w:rPr>
                <w:sz w:val="11"/>
                <w:szCs w:val="11"/>
                <w:color w:val="auto"/>
              </w:rPr>
            </w:pPr>
          </w:p>
        </w:tc>
        <w:tc>
          <w:tcPr>
            <w:tcW w:w="700" w:type="dxa"/>
            <w:vAlign w:val="bottom"/>
            <w:vMerge w:val="continue"/>
            <w:shd w:val="clear" w:color="auto" w:fill="284993"/>
          </w:tcPr>
          <w:p>
            <w:pPr>
              <w:spacing w:after="0"/>
              <w:rPr>
                <w:sz w:val="11"/>
                <w:szCs w:val="11"/>
                <w:color w:val="auto"/>
              </w:rPr>
            </w:pPr>
          </w:p>
        </w:tc>
        <w:tc>
          <w:tcPr>
            <w:tcW w:w="40" w:type="dxa"/>
            <w:vAlign w:val="bottom"/>
            <w:shd w:val="clear" w:color="auto" w:fill="284993"/>
          </w:tcPr>
          <w:p>
            <w:pPr>
              <w:spacing w:after="0"/>
              <w:rPr>
                <w:sz w:val="11"/>
                <w:szCs w:val="11"/>
                <w:color w:val="auto"/>
              </w:rPr>
            </w:pPr>
          </w:p>
        </w:tc>
        <w:tc>
          <w:tcPr>
            <w:tcW w:w="700" w:type="dxa"/>
            <w:vAlign w:val="bottom"/>
            <w:shd w:val="clear" w:color="auto" w:fill="284993"/>
          </w:tcPr>
          <w:p>
            <w:pPr>
              <w:jc w:val="center"/>
              <w:ind w:right="21"/>
              <w:spacing w:after="0" w:line="130" w:lineRule="exact"/>
              <w:rPr>
                <w:sz w:val="20"/>
                <w:szCs w:val="20"/>
                <w:color w:val="auto"/>
              </w:rPr>
            </w:pPr>
            <w:r>
              <w:rPr>
                <w:rFonts w:ascii="Arial" w:cs="Arial" w:eastAsia="Arial" w:hAnsi="Arial"/>
                <w:sz w:val="10"/>
                <w:szCs w:val="10"/>
                <w:b w:val="1"/>
                <w:bCs w:val="1"/>
                <w:color w:val="FFFFFF"/>
              </w:rPr>
              <w:t>Units</w:t>
            </w:r>
            <w:r>
              <w:rPr>
                <w:rFonts w:ascii="Arial" w:cs="Arial" w:eastAsia="Arial" w:hAnsi="Arial"/>
                <w:sz w:val="15"/>
                <w:szCs w:val="15"/>
                <w:b w:val="1"/>
                <w:bCs w:val="1"/>
                <w:color w:val="FFFFFF"/>
                <w:vertAlign w:val="superscript"/>
              </w:rPr>
              <w:t>(3)</w:t>
            </w:r>
          </w:p>
        </w:tc>
        <w:tc>
          <w:tcPr>
            <w:tcW w:w="780" w:type="dxa"/>
            <w:vAlign w:val="bottom"/>
            <w:shd w:val="clear" w:color="auto" w:fill="284993"/>
          </w:tcPr>
          <w:p>
            <w:pPr>
              <w:jc w:val="center"/>
              <w:spacing w:after="0" w:line="130"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5"/>
                <w:szCs w:val="15"/>
                <w:b w:val="1"/>
                <w:bCs w:val="1"/>
                <w:color w:val="FFFFFF"/>
                <w:vertAlign w:val="superscript"/>
              </w:rPr>
              <w:t>(3)</w:t>
            </w:r>
          </w:p>
        </w:tc>
        <w:tc>
          <w:tcPr>
            <w:tcW w:w="0" w:type="dxa"/>
            <w:vAlign w:val="bottom"/>
          </w:tcPr>
          <w:p>
            <w:pPr>
              <w:spacing w:after="0"/>
              <w:rPr>
                <w:sz w:val="1"/>
                <w:szCs w:val="1"/>
                <w:color w:val="auto"/>
              </w:rPr>
            </w:pPr>
          </w:p>
        </w:tc>
      </w:tr>
      <w:tr>
        <w:trPr>
          <w:trHeight w:val="156"/>
        </w:trPr>
        <w:tc>
          <w:tcPr>
            <w:tcW w:w="2740" w:type="dxa"/>
            <w:vAlign w:val="bottom"/>
            <w:vMerge w:val="continue"/>
            <w:shd w:val="clear" w:color="auto" w:fill="284993"/>
          </w:tcPr>
          <w:p>
            <w:pPr>
              <w:spacing w:after="0"/>
              <w:rPr>
                <w:sz w:val="13"/>
                <w:szCs w:val="13"/>
                <w:color w:val="auto"/>
              </w:rPr>
            </w:pPr>
          </w:p>
        </w:tc>
        <w:tc>
          <w:tcPr>
            <w:tcW w:w="80" w:type="dxa"/>
            <w:vAlign w:val="bottom"/>
            <w:shd w:val="clear" w:color="auto" w:fill="284993"/>
          </w:tcPr>
          <w:p>
            <w:pPr>
              <w:spacing w:after="0"/>
              <w:rPr>
                <w:sz w:val="13"/>
                <w:szCs w:val="13"/>
                <w:color w:val="auto"/>
              </w:rPr>
            </w:pPr>
          </w:p>
        </w:tc>
        <w:tc>
          <w:tcPr>
            <w:tcW w:w="780" w:type="dxa"/>
            <w:vAlign w:val="bottom"/>
            <w:shd w:val="clear" w:color="auto" w:fill="284993"/>
          </w:tcPr>
          <w:p>
            <w:pPr>
              <w:jc w:val="center"/>
              <w:ind w:right="54"/>
              <w:spacing w:after="0"/>
              <w:rPr>
                <w:sz w:val="20"/>
                <w:szCs w:val="20"/>
                <w:color w:val="auto"/>
              </w:rPr>
            </w:pPr>
            <w:r>
              <w:rPr>
                <w:rFonts w:ascii="Arial" w:cs="Arial" w:eastAsia="Arial" w:hAnsi="Arial"/>
                <w:sz w:val="12"/>
                <w:szCs w:val="12"/>
                <w:b w:val="1"/>
                <w:bCs w:val="1"/>
                <w:color w:val="FFFFFF"/>
                <w:w w:val="99"/>
              </w:rPr>
              <w:t>Date</w:t>
            </w:r>
          </w:p>
        </w:tc>
        <w:tc>
          <w:tcPr>
            <w:tcW w:w="40" w:type="dxa"/>
            <w:vAlign w:val="bottom"/>
            <w:shd w:val="clear" w:color="auto" w:fill="284993"/>
          </w:tcPr>
          <w:p>
            <w:pPr>
              <w:spacing w:after="0"/>
              <w:rPr>
                <w:sz w:val="13"/>
                <w:szCs w:val="13"/>
                <w:color w:val="auto"/>
              </w:rPr>
            </w:pPr>
          </w:p>
        </w:tc>
        <w:tc>
          <w:tcPr>
            <w:tcW w:w="600" w:type="dxa"/>
            <w:vAlign w:val="bottom"/>
            <w:shd w:val="clear" w:color="auto" w:fill="284993"/>
          </w:tcPr>
          <w:p>
            <w:pPr>
              <w:ind w:left="220"/>
              <w:spacing w:after="0"/>
              <w:rPr>
                <w:sz w:val="20"/>
                <w:szCs w:val="20"/>
                <w:color w:val="auto"/>
              </w:rPr>
            </w:pPr>
            <w:r>
              <w:rPr>
                <w:rFonts w:ascii="Arial" w:cs="Arial" w:eastAsia="Arial" w:hAnsi="Arial"/>
                <w:sz w:val="12"/>
                <w:szCs w:val="12"/>
                <w:b w:val="1"/>
                <w:bCs w:val="1"/>
                <w:color w:val="FFFFFF"/>
              </w:rPr>
              <w:t>($)</w:t>
            </w:r>
          </w:p>
        </w:tc>
        <w:tc>
          <w:tcPr>
            <w:tcW w:w="780" w:type="dxa"/>
            <w:vAlign w:val="bottom"/>
            <w:shd w:val="clear" w:color="auto" w:fill="284993"/>
          </w:tcPr>
          <w:p>
            <w:pPr>
              <w:jc w:val="right"/>
              <w:ind w:right="233"/>
              <w:spacing w:after="0"/>
              <w:rPr>
                <w:sz w:val="20"/>
                <w:szCs w:val="20"/>
                <w:color w:val="auto"/>
              </w:rPr>
            </w:pPr>
            <w:r>
              <w:rPr>
                <w:rFonts w:ascii="Arial" w:cs="Arial" w:eastAsia="Arial" w:hAnsi="Arial"/>
                <w:sz w:val="12"/>
                <w:szCs w:val="12"/>
                <w:b w:val="1"/>
                <w:bCs w:val="1"/>
                <w:color w:val="FFFFFF"/>
              </w:rPr>
              <w:t>($)</w:t>
            </w:r>
          </w:p>
        </w:tc>
        <w:tc>
          <w:tcPr>
            <w:tcW w:w="760" w:type="dxa"/>
            <w:vAlign w:val="bottom"/>
            <w:shd w:val="clear" w:color="auto" w:fill="284993"/>
          </w:tcPr>
          <w:p>
            <w:pPr>
              <w:jc w:val="right"/>
              <w:ind w:right="272"/>
              <w:spacing w:after="0"/>
              <w:rPr>
                <w:sz w:val="20"/>
                <w:szCs w:val="20"/>
                <w:color w:val="auto"/>
              </w:rPr>
            </w:pPr>
            <w:r>
              <w:rPr>
                <w:rFonts w:ascii="Arial" w:cs="Arial" w:eastAsia="Arial" w:hAnsi="Arial"/>
                <w:sz w:val="12"/>
                <w:szCs w:val="12"/>
                <w:b w:val="1"/>
                <w:bCs w:val="1"/>
                <w:color w:val="FFFFFF"/>
              </w:rPr>
              <w:t>($)</w:t>
            </w:r>
          </w:p>
        </w:tc>
        <w:tc>
          <w:tcPr>
            <w:tcW w:w="70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95"/>
              </w:rPr>
              <w:t>(#)</w:t>
            </w:r>
          </w:p>
        </w:tc>
        <w:tc>
          <w:tcPr>
            <w:tcW w:w="64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95"/>
              </w:rPr>
              <w:t>(#)</w:t>
            </w:r>
          </w:p>
        </w:tc>
        <w:tc>
          <w:tcPr>
            <w:tcW w:w="700" w:type="dxa"/>
            <w:vAlign w:val="bottom"/>
            <w:shd w:val="clear" w:color="auto" w:fill="284993"/>
          </w:tcPr>
          <w:p>
            <w:pPr>
              <w:jc w:val="right"/>
              <w:ind w:right="232"/>
              <w:spacing w:after="0"/>
              <w:rPr>
                <w:sz w:val="20"/>
                <w:szCs w:val="20"/>
                <w:color w:val="auto"/>
              </w:rPr>
            </w:pPr>
            <w:r>
              <w:rPr>
                <w:rFonts w:ascii="Arial" w:cs="Arial" w:eastAsia="Arial" w:hAnsi="Arial"/>
                <w:sz w:val="12"/>
                <w:szCs w:val="12"/>
                <w:b w:val="1"/>
                <w:bCs w:val="1"/>
                <w:color w:val="FFFFFF"/>
              </w:rPr>
              <w:t>(#)</w:t>
            </w:r>
          </w:p>
        </w:tc>
        <w:tc>
          <w:tcPr>
            <w:tcW w:w="740" w:type="dxa"/>
            <w:vAlign w:val="bottom"/>
            <w:gridSpan w:val="2"/>
            <w:shd w:val="clear" w:color="auto" w:fill="284993"/>
          </w:tcPr>
          <w:p>
            <w:pPr>
              <w:jc w:val="center"/>
              <w:spacing w:after="0"/>
              <w:rPr>
                <w:sz w:val="20"/>
                <w:szCs w:val="20"/>
                <w:color w:val="auto"/>
              </w:rPr>
            </w:pPr>
            <w:r>
              <w:rPr>
                <w:rFonts w:ascii="Arial" w:cs="Arial" w:eastAsia="Arial" w:hAnsi="Arial"/>
                <w:sz w:val="12"/>
                <w:szCs w:val="12"/>
                <w:b w:val="1"/>
                <w:bCs w:val="1"/>
                <w:color w:val="FFFFFF"/>
                <w:w w:val="95"/>
              </w:rPr>
              <w:t>(#)</w:t>
            </w:r>
          </w:p>
        </w:tc>
        <w:tc>
          <w:tcPr>
            <w:tcW w:w="78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95"/>
              </w:rPr>
              <w:t>($)</w:t>
            </w:r>
          </w:p>
        </w:tc>
        <w:tc>
          <w:tcPr>
            <w:tcW w:w="0" w:type="dxa"/>
            <w:vAlign w:val="bottom"/>
          </w:tcPr>
          <w:p>
            <w:pPr>
              <w:spacing w:after="0"/>
              <w:rPr>
                <w:sz w:val="1"/>
                <w:szCs w:val="1"/>
                <w:color w:val="auto"/>
              </w:rPr>
            </w:pPr>
          </w:p>
        </w:tc>
      </w:tr>
      <w:tr>
        <w:trPr>
          <w:trHeight w:val="143"/>
        </w:trPr>
        <w:tc>
          <w:tcPr>
            <w:tcW w:w="2740" w:type="dxa"/>
            <w:vAlign w:val="bottom"/>
            <w:shd w:val="clear" w:color="auto" w:fill="284993"/>
          </w:tcPr>
          <w:p>
            <w:pPr>
              <w:ind w:left="60"/>
              <w:spacing w:after="0"/>
              <w:rPr>
                <w:sz w:val="20"/>
                <w:szCs w:val="20"/>
                <w:color w:val="auto"/>
              </w:rPr>
            </w:pPr>
            <w:r>
              <w:rPr>
                <w:rFonts w:ascii="Arial" w:cs="Arial" w:eastAsia="Arial" w:hAnsi="Arial"/>
                <w:sz w:val="12"/>
                <w:szCs w:val="12"/>
                <w:b w:val="1"/>
                <w:bCs w:val="1"/>
                <w:color w:val="FFFFFF"/>
              </w:rPr>
              <w:t>(a)</w:t>
            </w:r>
          </w:p>
        </w:tc>
        <w:tc>
          <w:tcPr>
            <w:tcW w:w="80" w:type="dxa"/>
            <w:vAlign w:val="bottom"/>
            <w:shd w:val="clear" w:color="auto" w:fill="284993"/>
          </w:tcPr>
          <w:p>
            <w:pPr>
              <w:spacing w:after="0"/>
              <w:rPr>
                <w:sz w:val="12"/>
                <w:szCs w:val="12"/>
                <w:color w:val="auto"/>
              </w:rPr>
            </w:pPr>
          </w:p>
        </w:tc>
        <w:tc>
          <w:tcPr>
            <w:tcW w:w="780" w:type="dxa"/>
            <w:vAlign w:val="bottom"/>
            <w:shd w:val="clear" w:color="auto" w:fill="284993"/>
          </w:tcPr>
          <w:p>
            <w:pPr>
              <w:jc w:val="center"/>
              <w:ind w:right="74"/>
              <w:spacing w:after="0"/>
              <w:rPr>
                <w:sz w:val="20"/>
                <w:szCs w:val="20"/>
                <w:color w:val="auto"/>
              </w:rPr>
            </w:pPr>
            <w:r>
              <w:rPr>
                <w:rFonts w:ascii="Arial" w:cs="Arial" w:eastAsia="Arial" w:hAnsi="Arial"/>
                <w:sz w:val="12"/>
                <w:szCs w:val="12"/>
                <w:b w:val="1"/>
                <w:bCs w:val="1"/>
                <w:color w:val="FFFFFF"/>
              </w:rPr>
              <w:t>(b)</w:t>
            </w:r>
          </w:p>
        </w:tc>
        <w:tc>
          <w:tcPr>
            <w:tcW w:w="40" w:type="dxa"/>
            <w:vAlign w:val="bottom"/>
            <w:shd w:val="clear" w:color="auto" w:fill="284993"/>
          </w:tcPr>
          <w:p>
            <w:pPr>
              <w:spacing w:after="0"/>
              <w:rPr>
                <w:sz w:val="12"/>
                <w:szCs w:val="12"/>
                <w:color w:val="auto"/>
              </w:rPr>
            </w:pPr>
          </w:p>
        </w:tc>
        <w:tc>
          <w:tcPr>
            <w:tcW w:w="600" w:type="dxa"/>
            <w:vAlign w:val="bottom"/>
            <w:shd w:val="clear" w:color="auto" w:fill="284993"/>
          </w:tcPr>
          <w:p>
            <w:pPr>
              <w:ind w:left="220"/>
              <w:spacing w:after="0"/>
              <w:rPr>
                <w:sz w:val="20"/>
                <w:szCs w:val="20"/>
                <w:color w:val="auto"/>
              </w:rPr>
            </w:pPr>
            <w:r>
              <w:rPr>
                <w:rFonts w:ascii="Arial" w:cs="Arial" w:eastAsia="Arial" w:hAnsi="Arial"/>
                <w:sz w:val="12"/>
                <w:szCs w:val="12"/>
                <w:b w:val="1"/>
                <w:bCs w:val="1"/>
                <w:color w:val="FFFFFF"/>
              </w:rPr>
              <w:t>(c)</w:t>
            </w:r>
          </w:p>
        </w:tc>
        <w:tc>
          <w:tcPr>
            <w:tcW w:w="780" w:type="dxa"/>
            <w:vAlign w:val="bottom"/>
            <w:shd w:val="clear" w:color="auto" w:fill="284993"/>
          </w:tcPr>
          <w:p>
            <w:pPr>
              <w:jc w:val="right"/>
              <w:ind w:right="233"/>
              <w:spacing w:after="0"/>
              <w:rPr>
                <w:sz w:val="20"/>
                <w:szCs w:val="20"/>
                <w:color w:val="auto"/>
              </w:rPr>
            </w:pPr>
            <w:r>
              <w:rPr>
                <w:rFonts w:ascii="Arial" w:cs="Arial" w:eastAsia="Arial" w:hAnsi="Arial"/>
                <w:sz w:val="12"/>
                <w:szCs w:val="12"/>
                <w:b w:val="1"/>
                <w:bCs w:val="1"/>
                <w:color w:val="FFFFFF"/>
              </w:rPr>
              <w:t>(d)</w:t>
            </w:r>
          </w:p>
        </w:tc>
        <w:tc>
          <w:tcPr>
            <w:tcW w:w="760" w:type="dxa"/>
            <w:vAlign w:val="bottom"/>
            <w:shd w:val="clear" w:color="auto" w:fill="284993"/>
          </w:tcPr>
          <w:p>
            <w:pPr>
              <w:jc w:val="right"/>
              <w:ind w:right="272"/>
              <w:spacing w:after="0"/>
              <w:rPr>
                <w:sz w:val="20"/>
                <w:szCs w:val="20"/>
                <w:color w:val="auto"/>
              </w:rPr>
            </w:pPr>
            <w:r>
              <w:rPr>
                <w:rFonts w:ascii="Arial" w:cs="Arial" w:eastAsia="Arial" w:hAnsi="Arial"/>
                <w:sz w:val="12"/>
                <w:szCs w:val="12"/>
                <w:b w:val="1"/>
                <w:bCs w:val="1"/>
                <w:color w:val="FFFFFF"/>
              </w:rPr>
              <w:t>(e)</w:t>
            </w:r>
          </w:p>
        </w:tc>
        <w:tc>
          <w:tcPr>
            <w:tcW w:w="70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99"/>
              </w:rPr>
              <w:t>(f)</w:t>
            </w:r>
          </w:p>
        </w:tc>
        <w:tc>
          <w:tcPr>
            <w:tcW w:w="64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rPr>
              <w:t>(g)</w:t>
            </w:r>
          </w:p>
        </w:tc>
        <w:tc>
          <w:tcPr>
            <w:tcW w:w="700" w:type="dxa"/>
            <w:vAlign w:val="bottom"/>
            <w:shd w:val="clear" w:color="auto" w:fill="284993"/>
          </w:tcPr>
          <w:p>
            <w:pPr>
              <w:jc w:val="right"/>
              <w:ind w:right="232"/>
              <w:spacing w:after="0"/>
              <w:rPr>
                <w:sz w:val="20"/>
                <w:szCs w:val="20"/>
                <w:color w:val="auto"/>
              </w:rPr>
            </w:pPr>
            <w:r>
              <w:rPr>
                <w:rFonts w:ascii="Arial" w:cs="Arial" w:eastAsia="Arial" w:hAnsi="Arial"/>
                <w:sz w:val="12"/>
                <w:szCs w:val="12"/>
                <w:b w:val="1"/>
                <w:bCs w:val="1"/>
                <w:color w:val="FFFFFF"/>
              </w:rPr>
              <w:t>(h)</w:t>
            </w:r>
          </w:p>
        </w:tc>
        <w:tc>
          <w:tcPr>
            <w:tcW w:w="40" w:type="dxa"/>
            <w:vAlign w:val="bottom"/>
            <w:shd w:val="clear" w:color="auto" w:fill="284993"/>
          </w:tcPr>
          <w:p>
            <w:pPr>
              <w:spacing w:after="0"/>
              <w:rPr>
                <w:sz w:val="12"/>
                <w:szCs w:val="12"/>
                <w:color w:val="auto"/>
              </w:rPr>
            </w:pPr>
          </w:p>
        </w:tc>
        <w:tc>
          <w:tcPr>
            <w:tcW w:w="700" w:type="dxa"/>
            <w:vAlign w:val="bottom"/>
            <w:shd w:val="clear" w:color="auto" w:fill="284993"/>
          </w:tcPr>
          <w:p>
            <w:pPr>
              <w:jc w:val="center"/>
              <w:ind w:right="41"/>
              <w:spacing w:after="0"/>
              <w:rPr>
                <w:sz w:val="20"/>
                <w:szCs w:val="20"/>
                <w:color w:val="auto"/>
              </w:rPr>
            </w:pPr>
            <w:r>
              <w:rPr>
                <w:rFonts w:ascii="Arial" w:cs="Arial" w:eastAsia="Arial" w:hAnsi="Arial"/>
                <w:sz w:val="12"/>
                <w:szCs w:val="12"/>
                <w:b w:val="1"/>
                <w:bCs w:val="1"/>
                <w:color w:val="FFFFFF"/>
              </w:rPr>
              <w:t>(i)</w:t>
            </w:r>
          </w:p>
        </w:tc>
        <w:tc>
          <w:tcPr>
            <w:tcW w:w="78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87"/>
              </w:rPr>
              <w:t>(l)</w:t>
            </w:r>
          </w:p>
        </w:tc>
        <w:tc>
          <w:tcPr>
            <w:tcW w:w="0" w:type="dxa"/>
            <w:vAlign w:val="bottom"/>
          </w:tcPr>
          <w:p>
            <w:pPr>
              <w:spacing w:after="0"/>
              <w:rPr>
                <w:sz w:val="1"/>
                <w:szCs w:val="1"/>
                <w:color w:val="auto"/>
              </w:rPr>
            </w:pPr>
          </w:p>
        </w:tc>
      </w:tr>
      <w:tr>
        <w:trPr>
          <w:trHeight w:val="156"/>
        </w:trPr>
        <w:tc>
          <w:tcPr>
            <w:tcW w:w="2740" w:type="dxa"/>
            <w:vAlign w:val="bottom"/>
            <w:shd w:val="clear" w:color="auto" w:fill="E9ECF4"/>
          </w:tcPr>
          <w:p>
            <w:pPr>
              <w:ind w:left="40"/>
              <w:spacing w:after="0" w:line="156" w:lineRule="exact"/>
              <w:rPr>
                <w:sz w:val="20"/>
                <w:szCs w:val="20"/>
                <w:color w:val="auto"/>
              </w:rPr>
            </w:pPr>
            <w:r>
              <w:rPr>
                <w:rFonts w:ascii="Arial" w:cs="Arial" w:eastAsia="Arial" w:hAnsi="Arial"/>
                <w:sz w:val="14"/>
                <w:szCs w:val="14"/>
                <w:color w:val="auto"/>
              </w:rPr>
              <w:t>Thomas W. Warsop, III,</w:t>
            </w:r>
          </w:p>
        </w:tc>
        <w:tc>
          <w:tcPr>
            <w:tcW w:w="80" w:type="dxa"/>
            <w:vAlign w:val="bottom"/>
            <w:shd w:val="clear" w:color="auto" w:fill="E9ECF4"/>
          </w:tcPr>
          <w:p>
            <w:pPr>
              <w:spacing w:after="0"/>
              <w:rPr>
                <w:sz w:val="13"/>
                <w:szCs w:val="13"/>
                <w:color w:val="auto"/>
              </w:rPr>
            </w:pPr>
          </w:p>
        </w:tc>
        <w:tc>
          <w:tcPr>
            <w:tcW w:w="780" w:type="dxa"/>
            <w:vAlign w:val="bottom"/>
            <w:shd w:val="clear" w:color="auto" w:fill="E9ECF4"/>
          </w:tcPr>
          <w:p>
            <w:pPr>
              <w:spacing w:after="0"/>
              <w:rPr>
                <w:sz w:val="13"/>
                <w:szCs w:val="13"/>
                <w:color w:val="auto"/>
              </w:rPr>
            </w:pPr>
          </w:p>
        </w:tc>
        <w:tc>
          <w:tcPr>
            <w:tcW w:w="40" w:type="dxa"/>
            <w:vAlign w:val="bottom"/>
            <w:shd w:val="clear" w:color="auto" w:fill="E9ECF4"/>
          </w:tcPr>
          <w:p>
            <w:pPr>
              <w:spacing w:after="0"/>
              <w:rPr>
                <w:sz w:val="13"/>
                <w:szCs w:val="13"/>
                <w:color w:val="auto"/>
              </w:rPr>
            </w:pPr>
          </w:p>
        </w:tc>
        <w:tc>
          <w:tcPr>
            <w:tcW w:w="600" w:type="dxa"/>
            <w:vAlign w:val="bottom"/>
            <w:shd w:val="clear" w:color="auto" w:fill="E9ECF4"/>
          </w:tcPr>
          <w:p>
            <w:pPr>
              <w:spacing w:after="0"/>
              <w:rPr>
                <w:sz w:val="13"/>
                <w:szCs w:val="13"/>
                <w:color w:val="auto"/>
              </w:rPr>
            </w:pPr>
          </w:p>
        </w:tc>
        <w:tc>
          <w:tcPr>
            <w:tcW w:w="780" w:type="dxa"/>
            <w:vAlign w:val="bottom"/>
            <w:shd w:val="clear" w:color="auto" w:fill="E9ECF4"/>
          </w:tcPr>
          <w:p>
            <w:pPr>
              <w:spacing w:after="0"/>
              <w:rPr>
                <w:sz w:val="13"/>
                <w:szCs w:val="13"/>
                <w:color w:val="auto"/>
              </w:rPr>
            </w:pPr>
          </w:p>
        </w:tc>
        <w:tc>
          <w:tcPr>
            <w:tcW w:w="760" w:type="dxa"/>
            <w:vAlign w:val="bottom"/>
            <w:shd w:val="clear" w:color="auto" w:fill="E9ECF4"/>
          </w:tcPr>
          <w:p>
            <w:pPr>
              <w:spacing w:after="0"/>
              <w:rPr>
                <w:sz w:val="13"/>
                <w:szCs w:val="13"/>
                <w:color w:val="auto"/>
              </w:rPr>
            </w:pPr>
          </w:p>
        </w:tc>
        <w:tc>
          <w:tcPr>
            <w:tcW w:w="700" w:type="dxa"/>
            <w:vAlign w:val="bottom"/>
            <w:shd w:val="clear" w:color="auto" w:fill="E9ECF4"/>
          </w:tcPr>
          <w:p>
            <w:pPr>
              <w:spacing w:after="0"/>
              <w:rPr>
                <w:sz w:val="13"/>
                <w:szCs w:val="13"/>
                <w:color w:val="auto"/>
              </w:rPr>
            </w:pPr>
          </w:p>
        </w:tc>
        <w:tc>
          <w:tcPr>
            <w:tcW w:w="640" w:type="dxa"/>
            <w:vAlign w:val="bottom"/>
            <w:shd w:val="clear" w:color="auto" w:fill="E9ECF4"/>
          </w:tcPr>
          <w:p>
            <w:pPr>
              <w:spacing w:after="0"/>
              <w:rPr>
                <w:sz w:val="13"/>
                <w:szCs w:val="13"/>
                <w:color w:val="auto"/>
              </w:rPr>
            </w:pPr>
          </w:p>
        </w:tc>
        <w:tc>
          <w:tcPr>
            <w:tcW w:w="700" w:type="dxa"/>
            <w:vAlign w:val="bottom"/>
            <w:shd w:val="clear" w:color="auto" w:fill="E9ECF4"/>
          </w:tcPr>
          <w:p>
            <w:pPr>
              <w:spacing w:after="0"/>
              <w:rPr>
                <w:sz w:val="13"/>
                <w:szCs w:val="13"/>
                <w:color w:val="auto"/>
              </w:rPr>
            </w:pPr>
          </w:p>
        </w:tc>
        <w:tc>
          <w:tcPr>
            <w:tcW w:w="40" w:type="dxa"/>
            <w:vAlign w:val="bottom"/>
            <w:shd w:val="clear" w:color="auto" w:fill="E9ECF4"/>
          </w:tcPr>
          <w:p>
            <w:pPr>
              <w:spacing w:after="0"/>
              <w:rPr>
                <w:sz w:val="13"/>
                <w:szCs w:val="13"/>
                <w:color w:val="auto"/>
              </w:rPr>
            </w:pPr>
          </w:p>
        </w:tc>
        <w:tc>
          <w:tcPr>
            <w:tcW w:w="700" w:type="dxa"/>
            <w:vAlign w:val="bottom"/>
            <w:shd w:val="clear" w:color="auto" w:fill="E9ECF4"/>
          </w:tcPr>
          <w:p>
            <w:pPr>
              <w:spacing w:after="0"/>
              <w:rPr>
                <w:sz w:val="13"/>
                <w:szCs w:val="13"/>
                <w:color w:val="auto"/>
              </w:rPr>
            </w:pPr>
          </w:p>
        </w:tc>
        <w:tc>
          <w:tcPr>
            <w:tcW w:w="780" w:type="dxa"/>
            <w:vAlign w:val="bottom"/>
            <w:shd w:val="clear" w:color="auto" w:fill="E9EC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40" w:type="dxa"/>
            <w:vAlign w:val="bottom"/>
          </w:tcPr>
          <w:p>
            <w:pPr>
              <w:ind w:left="200"/>
              <w:spacing w:after="0" w:line="156" w:lineRule="exact"/>
              <w:rPr>
                <w:sz w:val="20"/>
                <w:szCs w:val="20"/>
                <w:color w:val="auto"/>
              </w:rPr>
            </w:pPr>
            <w:r>
              <w:rPr>
                <w:rFonts w:ascii="Arial" w:cs="Arial" w:eastAsia="Arial" w:hAnsi="Arial"/>
                <w:sz w:val="14"/>
                <w:szCs w:val="14"/>
                <w:color w:val="auto"/>
              </w:rPr>
              <w:t>-2023 STIP</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109,932</w:t>
            </w:r>
          </w:p>
        </w:tc>
        <w:tc>
          <w:tcPr>
            <w:tcW w:w="780" w:type="dxa"/>
            <w:vAlign w:val="bottom"/>
          </w:tcPr>
          <w:p>
            <w:pPr>
              <w:jc w:val="right"/>
              <w:ind w:right="33"/>
              <w:spacing w:after="0" w:line="156" w:lineRule="exact"/>
              <w:rPr>
                <w:sz w:val="20"/>
                <w:szCs w:val="20"/>
                <w:color w:val="auto"/>
              </w:rPr>
            </w:pPr>
            <w:r>
              <w:rPr>
                <w:rFonts w:ascii="Arial" w:cs="Arial" w:eastAsia="Arial" w:hAnsi="Arial"/>
                <w:sz w:val="14"/>
                <w:szCs w:val="14"/>
                <w:color w:val="auto"/>
              </w:rPr>
              <w:t>439,726</w:t>
            </w:r>
          </w:p>
        </w:tc>
        <w:tc>
          <w:tcPr>
            <w:tcW w:w="760" w:type="dxa"/>
            <w:vAlign w:val="bottom"/>
          </w:tcPr>
          <w:p>
            <w:pPr>
              <w:jc w:val="right"/>
              <w:ind w:right="12"/>
              <w:spacing w:after="0" w:line="156" w:lineRule="exact"/>
              <w:rPr>
                <w:sz w:val="20"/>
                <w:szCs w:val="20"/>
                <w:color w:val="auto"/>
              </w:rPr>
            </w:pPr>
            <w:r>
              <w:rPr>
                <w:rFonts w:ascii="Arial" w:cs="Arial" w:eastAsia="Arial" w:hAnsi="Arial"/>
                <w:sz w:val="14"/>
                <w:szCs w:val="14"/>
                <w:color w:val="auto"/>
              </w:rPr>
              <w:t>879,452</w:t>
            </w:r>
          </w:p>
        </w:tc>
        <w:tc>
          <w:tcPr>
            <w:tcW w:w="7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33"/>
              <w:spacing w:after="0" w:line="156"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56"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1"/>
              <w:spacing w:after="0" w:line="156"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4"/>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740" w:type="dxa"/>
            <w:vAlign w:val="bottom"/>
            <w:shd w:val="clear" w:color="auto" w:fill="E9ECF4"/>
          </w:tcPr>
          <w:p>
            <w:pPr>
              <w:ind w:left="200"/>
              <w:spacing w:after="0" w:line="156" w:lineRule="exact"/>
              <w:rPr>
                <w:sz w:val="20"/>
                <w:szCs w:val="20"/>
                <w:color w:val="auto"/>
              </w:rPr>
            </w:pPr>
            <w:r>
              <w:rPr>
                <w:rFonts w:ascii="Arial" w:cs="Arial" w:eastAsia="Arial" w:hAnsi="Arial"/>
                <w:sz w:val="14"/>
                <w:szCs w:val="14"/>
                <w:color w:val="auto"/>
              </w:rPr>
              <w:t>-Restricted Share Units</w:t>
            </w:r>
          </w:p>
        </w:tc>
        <w:tc>
          <w:tcPr>
            <w:tcW w:w="860" w:type="dxa"/>
            <w:vAlign w:val="bottom"/>
            <w:gridSpan w:val="2"/>
            <w:shd w:val="clear" w:color="auto" w:fill="E9ECF4"/>
          </w:tcPr>
          <w:p>
            <w:pPr>
              <w:jc w:val="right"/>
              <w:ind w:right="34"/>
              <w:spacing w:after="0" w:line="156" w:lineRule="exact"/>
              <w:rPr>
                <w:sz w:val="20"/>
                <w:szCs w:val="20"/>
                <w:color w:val="auto"/>
              </w:rPr>
            </w:pPr>
            <w:r>
              <w:rPr>
                <w:rFonts w:ascii="Arial" w:cs="Arial" w:eastAsia="Arial" w:hAnsi="Arial"/>
                <w:sz w:val="14"/>
                <w:szCs w:val="14"/>
                <w:color w:val="auto"/>
              </w:rPr>
              <w:t>6/1/2023</w:t>
            </w:r>
          </w:p>
        </w:tc>
        <w:tc>
          <w:tcPr>
            <w:tcW w:w="640" w:type="dxa"/>
            <w:vAlign w:val="bottom"/>
            <w:gridSpan w:val="2"/>
            <w:shd w:val="clear" w:color="auto" w:fill="E9ECF4"/>
          </w:tcPr>
          <w:p>
            <w:pPr>
              <w:jc w:val="right"/>
              <w:spacing w:after="0" w:line="156" w:lineRule="exact"/>
              <w:rPr>
                <w:sz w:val="20"/>
                <w:szCs w:val="20"/>
                <w:color w:val="auto"/>
              </w:rPr>
            </w:pPr>
            <w:r>
              <w:rPr>
                <w:rFonts w:ascii="Arial" w:cs="Arial" w:eastAsia="Arial" w:hAnsi="Arial"/>
                <w:sz w:val="14"/>
                <w:szCs w:val="14"/>
                <w:color w:val="auto"/>
              </w:rPr>
              <w:t>-</w:t>
            </w:r>
          </w:p>
        </w:tc>
        <w:tc>
          <w:tcPr>
            <w:tcW w:w="780" w:type="dxa"/>
            <w:vAlign w:val="bottom"/>
            <w:shd w:val="clear" w:color="auto" w:fill="E9ECF4"/>
          </w:tcPr>
          <w:p>
            <w:pPr>
              <w:jc w:val="right"/>
              <w:ind w:right="33"/>
              <w:spacing w:after="0" w:line="156" w:lineRule="exact"/>
              <w:rPr>
                <w:sz w:val="20"/>
                <w:szCs w:val="20"/>
                <w:color w:val="auto"/>
              </w:rPr>
            </w:pPr>
            <w:r>
              <w:rPr>
                <w:rFonts w:ascii="Arial" w:cs="Arial" w:eastAsia="Arial" w:hAnsi="Arial"/>
                <w:sz w:val="14"/>
                <w:szCs w:val="14"/>
                <w:color w:val="auto"/>
              </w:rPr>
              <w:t>-</w:t>
            </w:r>
          </w:p>
        </w:tc>
        <w:tc>
          <w:tcPr>
            <w:tcW w:w="760" w:type="dxa"/>
            <w:vAlign w:val="bottom"/>
            <w:shd w:val="clear" w:color="auto" w:fill="E9ECF4"/>
          </w:tcPr>
          <w:p>
            <w:pPr>
              <w:jc w:val="right"/>
              <w:ind w:right="12"/>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E9ECF4"/>
          </w:tcPr>
          <w:p>
            <w:pPr>
              <w:jc w:val="right"/>
              <w:spacing w:after="0" w:line="156" w:lineRule="exact"/>
              <w:rPr>
                <w:sz w:val="20"/>
                <w:szCs w:val="20"/>
                <w:color w:val="auto"/>
              </w:rPr>
            </w:pPr>
            <w:r>
              <w:rPr>
                <w:rFonts w:ascii="Arial" w:cs="Arial" w:eastAsia="Arial" w:hAnsi="Arial"/>
                <w:sz w:val="14"/>
                <w:szCs w:val="14"/>
                <w:color w:val="auto"/>
              </w:rPr>
              <w:t>-</w:t>
            </w:r>
          </w:p>
        </w:tc>
        <w:tc>
          <w:tcPr>
            <w:tcW w:w="640" w:type="dxa"/>
            <w:vAlign w:val="bottom"/>
            <w:shd w:val="clear" w:color="auto" w:fill="E9ECF4"/>
          </w:tcPr>
          <w:p>
            <w:pPr>
              <w:jc w:val="right"/>
              <w:ind w:right="33"/>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E9ECF4"/>
          </w:tcPr>
          <w:p>
            <w:pPr>
              <w:jc w:val="right"/>
              <w:ind w:right="12"/>
              <w:spacing w:after="0" w:line="156"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E9ECF4"/>
          </w:tcPr>
          <w:p>
            <w:pPr>
              <w:jc w:val="right"/>
              <w:ind w:right="21"/>
              <w:spacing w:after="0" w:line="156" w:lineRule="exact"/>
              <w:rPr>
                <w:sz w:val="20"/>
                <w:szCs w:val="20"/>
                <w:color w:val="auto"/>
              </w:rPr>
            </w:pPr>
            <w:r>
              <w:rPr>
                <w:rFonts w:ascii="Arial" w:cs="Arial" w:eastAsia="Arial" w:hAnsi="Arial"/>
                <w:sz w:val="14"/>
                <w:szCs w:val="14"/>
                <w:color w:val="auto"/>
              </w:rPr>
              <w:t>61,566</w:t>
            </w:r>
          </w:p>
        </w:tc>
        <w:tc>
          <w:tcPr>
            <w:tcW w:w="780" w:type="dxa"/>
            <w:vAlign w:val="bottom"/>
            <w:shd w:val="clear" w:color="auto" w:fill="E9ECF4"/>
          </w:tcPr>
          <w:p>
            <w:pPr>
              <w:jc w:val="right"/>
              <w:ind w:right="14"/>
              <w:spacing w:after="0" w:line="156" w:lineRule="exact"/>
              <w:rPr>
                <w:sz w:val="20"/>
                <w:szCs w:val="20"/>
                <w:color w:val="auto"/>
              </w:rPr>
            </w:pPr>
            <w:r>
              <w:rPr>
                <w:rFonts w:ascii="Arial" w:cs="Arial" w:eastAsia="Arial" w:hAnsi="Arial"/>
                <w:sz w:val="14"/>
                <w:szCs w:val="14"/>
                <w:color w:val="auto"/>
              </w:rPr>
              <w:t>1,400,011</w:t>
            </w:r>
          </w:p>
        </w:tc>
        <w:tc>
          <w:tcPr>
            <w:tcW w:w="0" w:type="dxa"/>
            <w:vAlign w:val="bottom"/>
          </w:tcPr>
          <w:p>
            <w:pPr>
              <w:spacing w:after="0"/>
              <w:rPr>
                <w:sz w:val="1"/>
                <w:szCs w:val="1"/>
                <w:color w:val="auto"/>
              </w:rPr>
            </w:pPr>
          </w:p>
        </w:tc>
      </w:tr>
      <w:tr>
        <w:trPr>
          <w:trHeight w:val="156"/>
        </w:trPr>
        <w:tc>
          <w:tcPr>
            <w:tcW w:w="2740" w:type="dxa"/>
            <w:vAlign w:val="bottom"/>
          </w:tcPr>
          <w:p>
            <w:pPr>
              <w:ind w:left="200"/>
              <w:spacing w:after="0" w:line="156" w:lineRule="exact"/>
              <w:rPr>
                <w:sz w:val="20"/>
                <w:szCs w:val="20"/>
                <w:color w:val="auto"/>
              </w:rPr>
            </w:pPr>
            <w:r>
              <w:rPr>
                <w:rFonts w:ascii="Arial" w:cs="Arial" w:eastAsia="Arial" w:hAnsi="Arial"/>
                <w:sz w:val="14"/>
                <w:szCs w:val="14"/>
                <w:color w:val="auto"/>
              </w:rPr>
              <w:t>-Performance Share Units</w:t>
            </w:r>
          </w:p>
        </w:tc>
        <w:tc>
          <w:tcPr>
            <w:tcW w:w="860" w:type="dxa"/>
            <w:vAlign w:val="bottom"/>
            <w:gridSpan w:val="2"/>
          </w:tcPr>
          <w:p>
            <w:pPr>
              <w:jc w:val="right"/>
              <w:ind w:right="34"/>
              <w:spacing w:after="0" w:line="156" w:lineRule="exact"/>
              <w:rPr>
                <w:sz w:val="20"/>
                <w:szCs w:val="20"/>
                <w:color w:val="auto"/>
              </w:rPr>
            </w:pPr>
            <w:r>
              <w:rPr>
                <w:rFonts w:ascii="Arial" w:cs="Arial" w:eastAsia="Arial" w:hAnsi="Arial"/>
                <w:sz w:val="14"/>
                <w:szCs w:val="14"/>
                <w:color w:val="auto"/>
              </w:rPr>
              <w:t>6/1/2023</w:t>
            </w:r>
          </w:p>
        </w:tc>
        <w:tc>
          <w:tcPr>
            <w:tcW w:w="64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line="156"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line="156"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6" w:lineRule="exact"/>
              <w:rPr>
                <w:sz w:val="20"/>
                <w:szCs w:val="20"/>
                <w:color w:val="auto"/>
              </w:rPr>
            </w:pPr>
            <w:r>
              <w:rPr>
                <w:rFonts w:ascii="Arial" w:cs="Arial" w:eastAsia="Arial" w:hAnsi="Arial"/>
                <w:sz w:val="14"/>
                <w:szCs w:val="14"/>
                <w:color w:val="auto"/>
              </w:rPr>
              <w:t>19,056</w:t>
            </w:r>
          </w:p>
        </w:tc>
        <w:tc>
          <w:tcPr>
            <w:tcW w:w="640" w:type="dxa"/>
            <w:vAlign w:val="bottom"/>
          </w:tcPr>
          <w:p>
            <w:pPr>
              <w:jc w:val="right"/>
              <w:ind w:right="33"/>
              <w:spacing w:after="0" w:line="156" w:lineRule="exact"/>
              <w:rPr>
                <w:sz w:val="20"/>
                <w:szCs w:val="20"/>
                <w:color w:val="auto"/>
              </w:rPr>
            </w:pPr>
            <w:r>
              <w:rPr>
                <w:rFonts w:ascii="Arial" w:cs="Arial" w:eastAsia="Arial" w:hAnsi="Arial"/>
                <w:sz w:val="14"/>
                <w:szCs w:val="14"/>
                <w:color w:val="auto"/>
              </w:rPr>
              <w:t>38,112</w:t>
            </w:r>
          </w:p>
        </w:tc>
        <w:tc>
          <w:tcPr>
            <w:tcW w:w="700" w:type="dxa"/>
            <w:vAlign w:val="bottom"/>
          </w:tcPr>
          <w:p>
            <w:pPr>
              <w:jc w:val="right"/>
              <w:ind w:right="12"/>
              <w:spacing w:after="0" w:line="156" w:lineRule="exact"/>
              <w:rPr>
                <w:sz w:val="20"/>
                <w:szCs w:val="20"/>
                <w:color w:val="auto"/>
              </w:rPr>
            </w:pPr>
            <w:r>
              <w:rPr>
                <w:rFonts w:ascii="Arial" w:cs="Arial" w:eastAsia="Arial" w:hAnsi="Arial"/>
                <w:sz w:val="14"/>
                <w:szCs w:val="14"/>
                <w:color w:val="auto"/>
              </w:rPr>
              <w:t>76,224</w:t>
            </w:r>
          </w:p>
        </w:tc>
        <w:tc>
          <w:tcPr>
            <w:tcW w:w="740" w:type="dxa"/>
            <w:vAlign w:val="bottom"/>
            <w:gridSpan w:val="2"/>
          </w:tcPr>
          <w:p>
            <w:pPr>
              <w:jc w:val="right"/>
              <w:ind w:right="21"/>
              <w:spacing w:after="0" w:line="156"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4"/>
              <w:spacing w:after="0" w:line="156" w:lineRule="exact"/>
              <w:rPr>
                <w:sz w:val="20"/>
                <w:szCs w:val="20"/>
                <w:color w:val="auto"/>
              </w:rPr>
            </w:pPr>
            <w:r>
              <w:rPr>
                <w:rFonts w:ascii="Arial" w:cs="Arial" w:eastAsia="Arial" w:hAnsi="Arial"/>
                <w:sz w:val="14"/>
                <w:szCs w:val="14"/>
                <w:color w:val="auto"/>
              </w:rPr>
              <w:t>908,209</w:t>
            </w:r>
          </w:p>
        </w:tc>
        <w:tc>
          <w:tcPr>
            <w:tcW w:w="0" w:type="dxa"/>
            <w:vAlign w:val="bottom"/>
          </w:tcPr>
          <w:p>
            <w:pPr>
              <w:spacing w:after="0"/>
              <w:rPr>
                <w:sz w:val="1"/>
                <w:szCs w:val="1"/>
                <w:color w:val="auto"/>
              </w:rPr>
            </w:pPr>
          </w:p>
        </w:tc>
      </w:tr>
      <w:tr>
        <w:trPr>
          <w:trHeight w:val="156"/>
        </w:trPr>
        <w:tc>
          <w:tcPr>
            <w:tcW w:w="2740" w:type="dxa"/>
            <w:vAlign w:val="bottom"/>
            <w:shd w:val="clear" w:color="auto" w:fill="9DBDE4"/>
          </w:tcPr>
          <w:p>
            <w:pPr>
              <w:ind w:left="40"/>
              <w:spacing w:after="0" w:line="156" w:lineRule="exact"/>
              <w:rPr>
                <w:sz w:val="20"/>
                <w:szCs w:val="20"/>
                <w:color w:val="auto"/>
              </w:rPr>
            </w:pPr>
            <w:r>
              <w:rPr>
                <w:rFonts w:ascii="Arial" w:cs="Arial" w:eastAsia="Arial" w:hAnsi="Arial"/>
                <w:sz w:val="14"/>
                <w:szCs w:val="14"/>
                <w:color w:val="auto"/>
              </w:rPr>
              <w:t>Scott W. Behrens</w:t>
            </w:r>
          </w:p>
        </w:tc>
        <w:tc>
          <w:tcPr>
            <w:tcW w:w="80" w:type="dxa"/>
            <w:vAlign w:val="bottom"/>
            <w:shd w:val="clear" w:color="auto" w:fill="9DBDE4"/>
          </w:tcPr>
          <w:p>
            <w:pPr>
              <w:spacing w:after="0"/>
              <w:rPr>
                <w:sz w:val="13"/>
                <w:szCs w:val="13"/>
                <w:color w:val="auto"/>
              </w:rPr>
            </w:pPr>
          </w:p>
        </w:tc>
        <w:tc>
          <w:tcPr>
            <w:tcW w:w="780" w:type="dxa"/>
            <w:vAlign w:val="bottom"/>
            <w:shd w:val="clear" w:color="auto" w:fill="9DBDE4"/>
          </w:tcPr>
          <w:p>
            <w:pPr>
              <w:spacing w:after="0"/>
              <w:rPr>
                <w:sz w:val="13"/>
                <w:szCs w:val="13"/>
                <w:color w:val="auto"/>
              </w:rPr>
            </w:pPr>
          </w:p>
        </w:tc>
        <w:tc>
          <w:tcPr>
            <w:tcW w:w="40" w:type="dxa"/>
            <w:vAlign w:val="bottom"/>
            <w:shd w:val="clear" w:color="auto" w:fill="9DBDE4"/>
          </w:tcPr>
          <w:p>
            <w:pPr>
              <w:spacing w:after="0"/>
              <w:rPr>
                <w:sz w:val="13"/>
                <w:szCs w:val="13"/>
                <w:color w:val="auto"/>
              </w:rPr>
            </w:pPr>
          </w:p>
        </w:tc>
        <w:tc>
          <w:tcPr>
            <w:tcW w:w="600" w:type="dxa"/>
            <w:vAlign w:val="bottom"/>
            <w:shd w:val="clear" w:color="auto" w:fill="9DBDE4"/>
          </w:tcPr>
          <w:p>
            <w:pPr>
              <w:spacing w:after="0"/>
              <w:rPr>
                <w:sz w:val="13"/>
                <w:szCs w:val="13"/>
                <w:color w:val="auto"/>
              </w:rPr>
            </w:pPr>
          </w:p>
        </w:tc>
        <w:tc>
          <w:tcPr>
            <w:tcW w:w="780" w:type="dxa"/>
            <w:vAlign w:val="bottom"/>
            <w:shd w:val="clear" w:color="auto" w:fill="9DBDE4"/>
          </w:tcPr>
          <w:p>
            <w:pPr>
              <w:spacing w:after="0"/>
              <w:rPr>
                <w:sz w:val="13"/>
                <w:szCs w:val="13"/>
                <w:color w:val="auto"/>
              </w:rPr>
            </w:pPr>
          </w:p>
        </w:tc>
        <w:tc>
          <w:tcPr>
            <w:tcW w:w="760" w:type="dxa"/>
            <w:vAlign w:val="bottom"/>
            <w:shd w:val="clear" w:color="auto" w:fill="9DBDE4"/>
          </w:tcPr>
          <w:p>
            <w:pPr>
              <w:spacing w:after="0"/>
              <w:rPr>
                <w:sz w:val="13"/>
                <w:szCs w:val="13"/>
                <w:color w:val="auto"/>
              </w:rPr>
            </w:pPr>
          </w:p>
        </w:tc>
        <w:tc>
          <w:tcPr>
            <w:tcW w:w="700" w:type="dxa"/>
            <w:vAlign w:val="bottom"/>
            <w:shd w:val="clear" w:color="auto" w:fill="9DBDE4"/>
          </w:tcPr>
          <w:p>
            <w:pPr>
              <w:spacing w:after="0"/>
              <w:rPr>
                <w:sz w:val="13"/>
                <w:szCs w:val="13"/>
                <w:color w:val="auto"/>
              </w:rPr>
            </w:pPr>
          </w:p>
        </w:tc>
        <w:tc>
          <w:tcPr>
            <w:tcW w:w="640" w:type="dxa"/>
            <w:vAlign w:val="bottom"/>
            <w:shd w:val="clear" w:color="auto" w:fill="9DBDE4"/>
          </w:tcPr>
          <w:p>
            <w:pPr>
              <w:spacing w:after="0"/>
              <w:rPr>
                <w:sz w:val="13"/>
                <w:szCs w:val="13"/>
                <w:color w:val="auto"/>
              </w:rPr>
            </w:pPr>
          </w:p>
        </w:tc>
        <w:tc>
          <w:tcPr>
            <w:tcW w:w="700" w:type="dxa"/>
            <w:vAlign w:val="bottom"/>
            <w:shd w:val="clear" w:color="auto" w:fill="9DBDE4"/>
          </w:tcPr>
          <w:p>
            <w:pPr>
              <w:spacing w:after="0"/>
              <w:rPr>
                <w:sz w:val="13"/>
                <w:szCs w:val="13"/>
                <w:color w:val="auto"/>
              </w:rPr>
            </w:pPr>
          </w:p>
        </w:tc>
        <w:tc>
          <w:tcPr>
            <w:tcW w:w="40" w:type="dxa"/>
            <w:vAlign w:val="bottom"/>
            <w:shd w:val="clear" w:color="auto" w:fill="9DBDE4"/>
          </w:tcPr>
          <w:p>
            <w:pPr>
              <w:spacing w:after="0"/>
              <w:rPr>
                <w:sz w:val="13"/>
                <w:szCs w:val="13"/>
                <w:color w:val="auto"/>
              </w:rPr>
            </w:pPr>
          </w:p>
        </w:tc>
        <w:tc>
          <w:tcPr>
            <w:tcW w:w="700" w:type="dxa"/>
            <w:vAlign w:val="bottom"/>
            <w:shd w:val="clear" w:color="auto" w:fill="9DBDE4"/>
          </w:tcPr>
          <w:p>
            <w:pPr>
              <w:spacing w:after="0"/>
              <w:rPr>
                <w:sz w:val="13"/>
                <w:szCs w:val="13"/>
                <w:color w:val="auto"/>
              </w:rPr>
            </w:pPr>
          </w:p>
        </w:tc>
        <w:tc>
          <w:tcPr>
            <w:tcW w:w="780" w:type="dxa"/>
            <w:vAlign w:val="bottom"/>
            <w:shd w:val="clear" w:color="auto" w:fill="9DBDE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40" w:type="dxa"/>
            <w:vAlign w:val="bottom"/>
            <w:shd w:val="clear" w:color="auto" w:fill="9DBDE4"/>
          </w:tcPr>
          <w:p>
            <w:pPr>
              <w:ind w:left="200"/>
              <w:spacing w:after="0" w:line="156" w:lineRule="exact"/>
              <w:rPr>
                <w:sz w:val="20"/>
                <w:szCs w:val="20"/>
                <w:color w:val="auto"/>
              </w:rPr>
            </w:pPr>
            <w:r>
              <w:rPr>
                <w:rFonts w:ascii="Arial" w:cs="Arial" w:eastAsia="Arial" w:hAnsi="Arial"/>
                <w:sz w:val="14"/>
                <w:szCs w:val="14"/>
                <w:color w:val="auto"/>
              </w:rPr>
              <w:t>-2023 STIP</w:t>
            </w:r>
          </w:p>
        </w:tc>
        <w:tc>
          <w:tcPr>
            <w:tcW w:w="80" w:type="dxa"/>
            <w:vAlign w:val="bottom"/>
            <w:shd w:val="clear" w:color="auto" w:fill="9DBDE4"/>
          </w:tcPr>
          <w:p>
            <w:pPr>
              <w:spacing w:after="0"/>
              <w:rPr>
                <w:sz w:val="13"/>
                <w:szCs w:val="13"/>
                <w:color w:val="auto"/>
              </w:rPr>
            </w:pPr>
          </w:p>
        </w:tc>
        <w:tc>
          <w:tcPr>
            <w:tcW w:w="780" w:type="dxa"/>
            <w:vAlign w:val="bottom"/>
            <w:shd w:val="clear" w:color="auto" w:fill="9DBDE4"/>
          </w:tcPr>
          <w:p>
            <w:pPr>
              <w:spacing w:after="0"/>
              <w:rPr>
                <w:sz w:val="13"/>
                <w:szCs w:val="13"/>
                <w:color w:val="auto"/>
              </w:rPr>
            </w:pPr>
          </w:p>
        </w:tc>
        <w:tc>
          <w:tcPr>
            <w:tcW w:w="640" w:type="dxa"/>
            <w:vAlign w:val="bottom"/>
            <w:gridSpan w:val="2"/>
            <w:shd w:val="clear" w:color="auto" w:fill="9DBDE4"/>
          </w:tcPr>
          <w:p>
            <w:pPr>
              <w:jc w:val="right"/>
              <w:spacing w:after="0" w:line="156" w:lineRule="exact"/>
              <w:rPr>
                <w:sz w:val="20"/>
                <w:szCs w:val="20"/>
                <w:color w:val="auto"/>
              </w:rPr>
            </w:pPr>
            <w:r>
              <w:rPr>
                <w:rFonts w:ascii="Arial" w:cs="Arial" w:eastAsia="Arial" w:hAnsi="Arial"/>
                <w:sz w:val="14"/>
                <w:szCs w:val="14"/>
                <w:color w:val="auto"/>
              </w:rPr>
              <w:t>128,750</w:t>
            </w:r>
          </w:p>
        </w:tc>
        <w:tc>
          <w:tcPr>
            <w:tcW w:w="780" w:type="dxa"/>
            <w:vAlign w:val="bottom"/>
            <w:shd w:val="clear" w:color="auto" w:fill="9DBDE4"/>
          </w:tcPr>
          <w:p>
            <w:pPr>
              <w:jc w:val="right"/>
              <w:ind w:right="33"/>
              <w:spacing w:after="0" w:line="156" w:lineRule="exact"/>
              <w:rPr>
                <w:sz w:val="20"/>
                <w:szCs w:val="20"/>
                <w:color w:val="auto"/>
              </w:rPr>
            </w:pPr>
            <w:r>
              <w:rPr>
                <w:rFonts w:ascii="Arial" w:cs="Arial" w:eastAsia="Arial" w:hAnsi="Arial"/>
                <w:sz w:val="14"/>
                <w:szCs w:val="14"/>
                <w:color w:val="auto"/>
              </w:rPr>
              <w:t>515,000</w:t>
            </w:r>
          </w:p>
        </w:tc>
        <w:tc>
          <w:tcPr>
            <w:tcW w:w="760" w:type="dxa"/>
            <w:vAlign w:val="bottom"/>
            <w:shd w:val="clear" w:color="auto" w:fill="9DBDE4"/>
          </w:tcPr>
          <w:p>
            <w:pPr>
              <w:jc w:val="right"/>
              <w:ind w:right="12"/>
              <w:spacing w:after="0" w:line="156" w:lineRule="exact"/>
              <w:rPr>
                <w:sz w:val="20"/>
                <w:szCs w:val="20"/>
                <w:color w:val="auto"/>
              </w:rPr>
            </w:pPr>
            <w:r>
              <w:rPr>
                <w:rFonts w:ascii="Arial" w:cs="Arial" w:eastAsia="Arial" w:hAnsi="Arial"/>
                <w:sz w:val="14"/>
                <w:szCs w:val="14"/>
                <w:color w:val="auto"/>
              </w:rPr>
              <w:t>1,030,000</w:t>
            </w:r>
          </w:p>
        </w:tc>
        <w:tc>
          <w:tcPr>
            <w:tcW w:w="700" w:type="dxa"/>
            <w:vAlign w:val="bottom"/>
            <w:shd w:val="clear" w:color="auto" w:fill="9DBDE4"/>
          </w:tcPr>
          <w:p>
            <w:pPr>
              <w:jc w:val="right"/>
              <w:spacing w:after="0" w:line="156" w:lineRule="exact"/>
              <w:rPr>
                <w:sz w:val="20"/>
                <w:szCs w:val="20"/>
                <w:color w:val="auto"/>
              </w:rPr>
            </w:pPr>
            <w:r>
              <w:rPr>
                <w:rFonts w:ascii="Arial" w:cs="Arial" w:eastAsia="Arial" w:hAnsi="Arial"/>
                <w:sz w:val="14"/>
                <w:szCs w:val="14"/>
                <w:color w:val="auto"/>
              </w:rPr>
              <w:t>-</w:t>
            </w:r>
          </w:p>
        </w:tc>
        <w:tc>
          <w:tcPr>
            <w:tcW w:w="640" w:type="dxa"/>
            <w:vAlign w:val="bottom"/>
            <w:shd w:val="clear" w:color="auto" w:fill="9DBDE4"/>
          </w:tcPr>
          <w:p>
            <w:pPr>
              <w:jc w:val="right"/>
              <w:ind w:right="33"/>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9DBDE4"/>
          </w:tcPr>
          <w:p>
            <w:pPr>
              <w:jc w:val="right"/>
              <w:ind w:right="12"/>
              <w:spacing w:after="0" w:line="156"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9DBDE4"/>
          </w:tcPr>
          <w:p>
            <w:pPr>
              <w:jc w:val="right"/>
              <w:ind w:right="21"/>
              <w:spacing w:after="0" w:line="156" w:lineRule="exact"/>
              <w:rPr>
                <w:sz w:val="20"/>
                <w:szCs w:val="20"/>
                <w:color w:val="auto"/>
              </w:rPr>
            </w:pPr>
            <w:r>
              <w:rPr>
                <w:rFonts w:ascii="Arial" w:cs="Arial" w:eastAsia="Arial" w:hAnsi="Arial"/>
                <w:sz w:val="14"/>
                <w:szCs w:val="14"/>
                <w:color w:val="auto"/>
              </w:rPr>
              <w:t>-</w:t>
            </w:r>
          </w:p>
        </w:tc>
        <w:tc>
          <w:tcPr>
            <w:tcW w:w="780" w:type="dxa"/>
            <w:vAlign w:val="bottom"/>
            <w:shd w:val="clear" w:color="auto" w:fill="9DBDE4"/>
          </w:tcPr>
          <w:p>
            <w:pPr>
              <w:jc w:val="right"/>
              <w:ind w:right="14"/>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740" w:type="dxa"/>
            <w:vAlign w:val="bottom"/>
            <w:shd w:val="clear" w:color="auto" w:fill="9DBDE4"/>
          </w:tcPr>
          <w:p>
            <w:pPr>
              <w:ind w:left="200"/>
              <w:spacing w:after="0" w:line="156" w:lineRule="exact"/>
              <w:rPr>
                <w:sz w:val="20"/>
                <w:szCs w:val="20"/>
                <w:color w:val="auto"/>
              </w:rPr>
            </w:pPr>
            <w:r>
              <w:rPr>
                <w:rFonts w:ascii="Arial" w:cs="Arial" w:eastAsia="Arial" w:hAnsi="Arial"/>
                <w:sz w:val="14"/>
                <w:szCs w:val="14"/>
                <w:color w:val="auto"/>
              </w:rPr>
              <w:t>-Restricted Share Units</w:t>
            </w:r>
          </w:p>
        </w:tc>
        <w:tc>
          <w:tcPr>
            <w:tcW w:w="80" w:type="dxa"/>
            <w:vAlign w:val="bottom"/>
            <w:shd w:val="clear" w:color="auto" w:fill="9DBDE4"/>
          </w:tcPr>
          <w:p>
            <w:pPr>
              <w:spacing w:after="0"/>
              <w:rPr>
                <w:sz w:val="13"/>
                <w:szCs w:val="13"/>
                <w:color w:val="auto"/>
              </w:rPr>
            </w:pPr>
          </w:p>
        </w:tc>
        <w:tc>
          <w:tcPr>
            <w:tcW w:w="780" w:type="dxa"/>
            <w:vAlign w:val="bottom"/>
            <w:shd w:val="clear" w:color="auto" w:fill="9DBDE4"/>
          </w:tcPr>
          <w:p>
            <w:pPr>
              <w:jc w:val="right"/>
              <w:ind w:right="34"/>
              <w:spacing w:after="0" w:line="156" w:lineRule="exact"/>
              <w:rPr>
                <w:sz w:val="20"/>
                <w:szCs w:val="20"/>
                <w:color w:val="auto"/>
              </w:rPr>
            </w:pPr>
            <w:r>
              <w:rPr>
                <w:rFonts w:ascii="Arial" w:cs="Arial" w:eastAsia="Arial" w:hAnsi="Arial"/>
                <w:sz w:val="14"/>
                <w:szCs w:val="14"/>
                <w:color w:val="auto"/>
              </w:rPr>
              <w:t>5/11/2023</w:t>
            </w:r>
          </w:p>
        </w:tc>
        <w:tc>
          <w:tcPr>
            <w:tcW w:w="640" w:type="dxa"/>
            <w:vAlign w:val="bottom"/>
            <w:gridSpan w:val="2"/>
            <w:shd w:val="clear" w:color="auto" w:fill="9DBDE4"/>
          </w:tcPr>
          <w:p>
            <w:pPr>
              <w:jc w:val="right"/>
              <w:spacing w:after="0" w:line="156" w:lineRule="exact"/>
              <w:rPr>
                <w:sz w:val="20"/>
                <w:szCs w:val="20"/>
                <w:color w:val="auto"/>
              </w:rPr>
            </w:pPr>
            <w:r>
              <w:rPr>
                <w:rFonts w:ascii="Arial" w:cs="Arial" w:eastAsia="Arial" w:hAnsi="Arial"/>
                <w:sz w:val="14"/>
                <w:szCs w:val="14"/>
                <w:color w:val="auto"/>
              </w:rPr>
              <w:t>-</w:t>
            </w:r>
          </w:p>
        </w:tc>
        <w:tc>
          <w:tcPr>
            <w:tcW w:w="780" w:type="dxa"/>
            <w:vAlign w:val="bottom"/>
            <w:shd w:val="clear" w:color="auto" w:fill="9DBDE4"/>
          </w:tcPr>
          <w:p>
            <w:pPr>
              <w:jc w:val="right"/>
              <w:ind w:right="33"/>
              <w:spacing w:after="0" w:line="156" w:lineRule="exact"/>
              <w:rPr>
                <w:sz w:val="20"/>
                <w:szCs w:val="20"/>
                <w:color w:val="auto"/>
              </w:rPr>
            </w:pPr>
            <w:r>
              <w:rPr>
                <w:rFonts w:ascii="Arial" w:cs="Arial" w:eastAsia="Arial" w:hAnsi="Arial"/>
                <w:sz w:val="14"/>
                <w:szCs w:val="14"/>
                <w:color w:val="auto"/>
              </w:rPr>
              <w:t>-</w:t>
            </w:r>
          </w:p>
        </w:tc>
        <w:tc>
          <w:tcPr>
            <w:tcW w:w="760" w:type="dxa"/>
            <w:vAlign w:val="bottom"/>
            <w:shd w:val="clear" w:color="auto" w:fill="9DBDE4"/>
          </w:tcPr>
          <w:p>
            <w:pPr>
              <w:jc w:val="right"/>
              <w:ind w:right="12"/>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9DBDE4"/>
          </w:tcPr>
          <w:p>
            <w:pPr>
              <w:jc w:val="right"/>
              <w:spacing w:after="0" w:line="156" w:lineRule="exact"/>
              <w:rPr>
                <w:sz w:val="20"/>
                <w:szCs w:val="20"/>
                <w:color w:val="auto"/>
              </w:rPr>
            </w:pPr>
            <w:r>
              <w:rPr>
                <w:rFonts w:ascii="Arial" w:cs="Arial" w:eastAsia="Arial" w:hAnsi="Arial"/>
                <w:sz w:val="14"/>
                <w:szCs w:val="14"/>
                <w:color w:val="auto"/>
              </w:rPr>
              <w:t>-</w:t>
            </w:r>
          </w:p>
        </w:tc>
        <w:tc>
          <w:tcPr>
            <w:tcW w:w="640" w:type="dxa"/>
            <w:vAlign w:val="bottom"/>
            <w:shd w:val="clear" w:color="auto" w:fill="9DBDE4"/>
          </w:tcPr>
          <w:p>
            <w:pPr>
              <w:jc w:val="right"/>
              <w:ind w:right="33"/>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9DBDE4"/>
          </w:tcPr>
          <w:p>
            <w:pPr>
              <w:jc w:val="right"/>
              <w:ind w:right="12"/>
              <w:spacing w:after="0" w:line="156"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9DBDE4"/>
          </w:tcPr>
          <w:p>
            <w:pPr>
              <w:jc w:val="right"/>
              <w:ind w:right="21"/>
              <w:spacing w:after="0" w:line="156" w:lineRule="exact"/>
              <w:rPr>
                <w:sz w:val="20"/>
                <w:szCs w:val="20"/>
                <w:color w:val="auto"/>
              </w:rPr>
            </w:pPr>
            <w:r>
              <w:rPr>
                <w:rFonts w:ascii="Arial" w:cs="Arial" w:eastAsia="Arial" w:hAnsi="Arial"/>
                <w:sz w:val="14"/>
                <w:szCs w:val="14"/>
                <w:color w:val="auto"/>
              </w:rPr>
              <w:t>55,933</w:t>
            </w:r>
          </w:p>
        </w:tc>
        <w:tc>
          <w:tcPr>
            <w:tcW w:w="780" w:type="dxa"/>
            <w:vAlign w:val="bottom"/>
            <w:shd w:val="clear" w:color="auto" w:fill="9DBDE4"/>
          </w:tcPr>
          <w:p>
            <w:pPr>
              <w:jc w:val="right"/>
              <w:ind w:right="14"/>
              <w:spacing w:after="0" w:line="156" w:lineRule="exact"/>
              <w:rPr>
                <w:sz w:val="20"/>
                <w:szCs w:val="20"/>
                <w:color w:val="auto"/>
              </w:rPr>
            </w:pPr>
            <w:r>
              <w:rPr>
                <w:rFonts w:ascii="Arial" w:cs="Arial" w:eastAsia="Arial" w:hAnsi="Arial"/>
                <w:sz w:val="14"/>
                <w:szCs w:val="14"/>
                <w:color w:val="auto"/>
              </w:rPr>
              <w:t>1,400,003</w:t>
            </w:r>
          </w:p>
        </w:tc>
        <w:tc>
          <w:tcPr>
            <w:tcW w:w="0" w:type="dxa"/>
            <w:vAlign w:val="bottom"/>
          </w:tcPr>
          <w:p>
            <w:pPr>
              <w:spacing w:after="0"/>
              <w:rPr>
                <w:sz w:val="1"/>
                <w:szCs w:val="1"/>
                <w:color w:val="auto"/>
              </w:rPr>
            </w:pPr>
          </w:p>
        </w:tc>
      </w:tr>
      <w:tr>
        <w:trPr>
          <w:trHeight w:val="156"/>
        </w:trPr>
        <w:tc>
          <w:tcPr>
            <w:tcW w:w="2740" w:type="dxa"/>
            <w:vAlign w:val="bottom"/>
            <w:shd w:val="clear" w:color="auto" w:fill="9DBDE4"/>
          </w:tcPr>
          <w:p>
            <w:pPr>
              <w:ind w:left="200"/>
              <w:spacing w:after="0" w:line="156" w:lineRule="exact"/>
              <w:rPr>
                <w:sz w:val="20"/>
                <w:szCs w:val="20"/>
                <w:color w:val="auto"/>
              </w:rPr>
            </w:pPr>
            <w:r>
              <w:rPr>
                <w:rFonts w:ascii="Arial" w:cs="Arial" w:eastAsia="Arial" w:hAnsi="Arial"/>
                <w:sz w:val="14"/>
                <w:szCs w:val="14"/>
                <w:color w:val="auto"/>
              </w:rPr>
              <w:t>-Performance Share Units</w:t>
            </w:r>
          </w:p>
        </w:tc>
        <w:tc>
          <w:tcPr>
            <w:tcW w:w="80" w:type="dxa"/>
            <w:vAlign w:val="bottom"/>
            <w:shd w:val="clear" w:color="auto" w:fill="9DBDE4"/>
          </w:tcPr>
          <w:p>
            <w:pPr>
              <w:spacing w:after="0"/>
              <w:rPr>
                <w:sz w:val="13"/>
                <w:szCs w:val="13"/>
                <w:color w:val="auto"/>
              </w:rPr>
            </w:pPr>
          </w:p>
        </w:tc>
        <w:tc>
          <w:tcPr>
            <w:tcW w:w="780" w:type="dxa"/>
            <w:vAlign w:val="bottom"/>
            <w:shd w:val="clear" w:color="auto" w:fill="9DBDE4"/>
          </w:tcPr>
          <w:p>
            <w:pPr>
              <w:jc w:val="right"/>
              <w:ind w:right="34"/>
              <w:spacing w:after="0" w:line="156" w:lineRule="exact"/>
              <w:rPr>
                <w:sz w:val="20"/>
                <w:szCs w:val="20"/>
                <w:color w:val="auto"/>
              </w:rPr>
            </w:pPr>
            <w:r>
              <w:rPr>
                <w:rFonts w:ascii="Arial" w:cs="Arial" w:eastAsia="Arial" w:hAnsi="Arial"/>
                <w:sz w:val="14"/>
                <w:szCs w:val="14"/>
                <w:color w:val="auto"/>
              </w:rPr>
              <w:t>5/11/2023</w:t>
            </w:r>
          </w:p>
        </w:tc>
        <w:tc>
          <w:tcPr>
            <w:tcW w:w="640" w:type="dxa"/>
            <w:vAlign w:val="bottom"/>
            <w:gridSpan w:val="2"/>
            <w:shd w:val="clear" w:color="auto" w:fill="9DBDE4"/>
          </w:tcPr>
          <w:p>
            <w:pPr>
              <w:jc w:val="right"/>
              <w:spacing w:after="0" w:line="156" w:lineRule="exact"/>
              <w:rPr>
                <w:sz w:val="20"/>
                <w:szCs w:val="20"/>
                <w:color w:val="auto"/>
              </w:rPr>
            </w:pPr>
            <w:r>
              <w:rPr>
                <w:rFonts w:ascii="Arial" w:cs="Arial" w:eastAsia="Arial" w:hAnsi="Arial"/>
                <w:sz w:val="14"/>
                <w:szCs w:val="14"/>
                <w:color w:val="auto"/>
              </w:rPr>
              <w:t>-</w:t>
            </w:r>
          </w:p>
        </w:tc>
        <w:tc>
          <w:tcPr>
            <w:tcW w:w="780" w:type="dxa"/>
            <w:vAlign w:val="bottom"/>
            <w:shd w:val="clear" w:color="auto" w:fill="9DBDE4"/>
          </w:tcPr>
          <w:p>
            <w:pPr>
              <w:jc w:val="right"/>
              <w:ind w:right="33"/>
              <w:spacing w:after="0" w:line="156" w:lineRule="exact"/>
              <w:rPr>
                <w:sz w:val="20"/>
                <w:szCs w:val="20"/>
                <w:color w:val="auto"/>
              </w:rPr>
            </w:pPr>
            <w:r>
              <w:rPr>
                <w:rFonts w:ascii="Arial" w:cs="Arial" w:eastAsia="Arial" w:hAnsi="Arial"/>
                <w:sz w:val="14"/>
                <w:szCs w:val="14"/>
                <w:color w:val="auto"/>
              </w:rPr>
              <w:t>-</w:t>
            </w:r>
          </w:p>
        </w:tc>
        <w:tc>
          <w:tcPr>
            <w:tcW w:w="760" w:type="dxa"/>
            <w:vAlign w:val="bottom"/>
            <w:shd w:val="clear" w:color="auto" w:fill="9DBDE4"/>
          </w:tcPr>
          <w:p>
            <w:pPr>
              <w:jc w:val="right"/>
              <w:ind w:right="12"/>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9DBDE4"/>
          </w:tcPr>
          <w:p>
            <w:pPr>
              <w:jc w:val="right"/>
              <w:spacing w:after="0" w:line="156" w:lineRule="exact"/>
              <w:rPr>
                <w:sz w:val="20"/>
                <w:szCs w:val="20"/>
                <w:color w:val="auto"/>
              </w:rPr>
            </w:pPr>
            <w:r>
              <w:rPr>
                <w:rFonts w:ascii="Arial" w:cs="Arial" w:eastAsia="Arial" w:hAnsi="Arial"/>
                <w:sz w:val="14"/>
                <w:szCs w:val="14"/>
                <w:color w:val="auto"/>
              </w:rPr>
              <w:t>9,323</w:t>
            </w:r>
          </w:p>
        </w:tc>
        <w:tc>
          <w:tcPr>
            <w:tcW w:w="640" w:type="dxa"/>
            <w:vAlign w:val="bottom"/>
            <w:shd w:val="clear" w:color="auto" w:fill="9DBDE4"/>
          </w:tcPr>
          <w:p>
            <w:pPr>
              <w:jc w:val="right"/>
              <w:ind w:right="33"/>
              <w:spacing w:after="0" w:line="156" w:lineRule="exact"/>
              <w:rPr>
                <w:sz w:val="20"/>
                <w:szCs w:val="20"/>
                <w:color w:val="auto"/>
              </w:rPr>
            </w:pPr>
            <w:r>
              <w:rPr>
                <w:rFonts w:ascii="Arial" w:cs="Arial" w:eastAsia="Arial" w:hAnsi="Arial"/>
                <w:sz w:val="14"/>
                <w:szCs w:val="14"/>
                <w:color w:val="auto"/>
              </w:rPr>
              <w:t>18,645</w:t>
            </w:r>
          </w:p>
        </w:tc>
        <w:tc>
          <w:tcPr>
            <w:tcW w:w="700" w:type="dxa"/>
            <w:vAlign w:val="bottom"/>
            <w:shd w:val="clear" w:color="auto" w:fill="9DBDE4"/>
          </w:tcPr>
          <w:p>
            <w:pPr>
              <w:jc w:val="right"/>
              <w:ind w:right="12"/>
              <w:spacing w:after="0" w:line="156" w:lineRule="exact"/>
              <w:rPr>
                <w:sz w:val="20"/>
                <w:szCs w:val="20"/>
                <w:color w:val="auto"/>
              </w:rPr>
            </w:pPr>
            <w:r>
              <w:rPr>
                <w:rFonts w:ascii="Arial" w:cs="Arial" w:eastAsia="Arial" w:hAnsi="Arial"/>
                <w:sz w:val="14"/>
                <w:szCs w:val="14"/>
                <w:color w:val="auto"/>
              </w:rPr>
              <w:t>37,290</w:t>
            </w:r>
          </w:p>
        </w:tc>
        <w:tc>
          <w:tcPr>
            <w:tcW w:w="740" w:type="dxa"/>
            <w:vAlign w:val="bottom"/>
            <w:gridSpan w:val="2"/>
            <w:shd w:val="clear" w:color="auto" w:fill="9DBDE4"/>
          </w:tcPr>
          <w:p>
            <w:pPr>
              <w:jc w:val="right"/>
              <w:ind w:right="21"/>
              <w:spacing w:after="0" w:line="156" w:lineRule="exact"/>
              <w:rPr>
                <w:sz w:val="20"/>
                <w:szCs w:val="20"/>
                <w:color w:val="auto"/>
              </w:rPr>
            </w:pPr>
            <w:r>
              <w:rPr>
                <w:rFonts w:ascii="Arial" w:cs="Arial" w:eastAsia="Arial" w:hAnsi="Arial"/>
                <w:sz w:val="14"/>
                <w:szCs w:val="14"/>
                <w:color w:val="auto"/>
              </w:rPr>
              <w:t>-</w:t>
            </w:r>
          </w:p>
        </w:tc>
        <w:tc>
          <w:tcPr>
            <w:tcW w:w="780" w:type="dxa"/>
            <w:vAlign w:val="bottom"/>
            <w:shd w:val="clear" w:color="auto" w:fill="9DBDE4"/>
          </w:tcPr>
          <w:p>
            <w:pPr>
              <w:jc w:val="right"/>
              <w:ind w:right="14"/>
              <w:spacing w:after="0" w:line="156" w:lineRule="exact"/>
              <w:rPr>
                <w:sz w:val="20"/>
                <w:szCs w:val="20"/>
                <w:color w:val="auto"/>
              </w:rPr>
            </w:pPr>
            <w:r>
              <w:rPr>
                <w:rFonts w:ascii="Arial" w:cs="Arial" w:eastAsia="Arial" w:hAnsi="Arial"/>
                <w:sz w:val="14"/>
                <w:szCs w:val="14"/>
                <w:color w:val="auto"/>
              </w:rPr>
              <w:t>502,296</w:t>
            </w:r>
          </w:p>
        </w:tc>
        <w:tc>
          <w:tcPr>
            <w:tcW w:w="0" w:type="dxa"/>
            <w:vAlign w:val="bottom"/>
          </w:tcPr>
          <w:p>
            <w:pPr>
              <w:spacing w:after="0"/>
              <w:rPr>
                <w:sz w:val="1"/>
                <w:szCs w:val="1"/>
                <w:color w:val="auto"/>
              </w:rPr>
            </w:pPr>
          </w:p>
        </w:tc>
      </w:tr>
      <w:tr>
        <w:trPr>
          <w:trHeight w:val="156"/>
        </w:trPr>
        <w:tc>
          <w:tcPr>
            <w:tcW w:w="2740" w:type="dxa"/>
            <w:vAlign w:val="bottom"/>
            <w:shd w:val="clear" w:color="auto" w:fill="E9ECF4"/>
          </w:tcPr>
          <w:p>
            <w:pPr>
              <w:ind w:left="40"/>
              <w:spacing w:after="0" w:line="156" w:lineRule="exact"/>
              <w:rPr>
                <w:sz w:val="20"/>
                <w:szCs w:val="20"/>
                <w:color w:val="auto"/>
              </w:rPr>
            </w:pPr>
            <w:r>
              <w:rPr>
                <w:rFonts w:ascii="Arial" w:cs="Arial" w:eastAsia="Arial" w:hAnsi="Arial"/>
                <w:sz w:val="14"/>
                <w:szCs w:val="14"/>
                <w:color w:val="auto"/>
              </w:rPr>
              <w:t>Alessandro Silva</w:t>
            </w:r>
          </w:p>
        </w:tc>
        <w:tc>
          <w:tcPr>
            <w:tcW w:w="80" w:type="dxa"/>
            <w:vAlign w:val="bottom"/>
            <w:shd w:val="clear" w:color="auto" w:fill="E9ECF4"/>
          </w:tcPr>
          <w:p>
            <w:pPr>
              <w:spacing w:after="0"/>
              <w:rPr>
                <w:sz w:val="13"/>
                <w:szCs w:val="13"/>
                <w:color w:val="auto"/>
              </w:rPr>
            </w:pPr>
          </w:p>
        </w:tc>
        <w:tc>
          <w:tcPr>
            <w:tcW w:w="780" w:type="dxa"/>
            <w:vAlign w:val="bottom"/>
            <w:shd w:val="clear" w:color="auto" w:fill="E9ECF4"/>
          </w:tcPr>
          <w:p>
            <w:pPr>
              <w:spacing w:after="0"/>
              <w:rPr>
                <w:sz w:val="13"/>
                <w:szCs w:val="13"/>
                <w:color w:val="auto"/>
              </w:rPr>
            </w:pPr>
          </w:p>
        </w:tc>
        <w:tc>
          <w:tcPr>
            <w:tcW w:w="40" w:type="dxa"/>
            <w:vAlign w:val="bottom"/>
            <w:shd w:val="clear" w:color="auto" w:fill="E9ECF4"/>
          </w:tcPr>
          <w:p>
            <w:pPr>
              <w:spacing w:after="0"/>
              <w:rPr>
                <w:sz w:val="13"/>
                <w:szCs w:val="13"/>
                <w:color w:val="auto"/>
              </w:rPr>
            </w:pPr>
          </w:p>
        </w:tc>
        <w:tc>
          <w:tcPr>
            <w:tcW w:w="600" w:type="dxa"/>
            <w:vAlign w:val="bottom"/>
            <w:shd w:val="clear" w:color="auto" w:fill="E9ECF4"/>
          </w:tcPr>
          <w:p>
            <w:pPr>
              <w:spacing w:after="0"/>
              <w:rPr>
                <w:sz w:val="13"/>
                <w:szCs w:val="13"/>
                <w:color w:val="auto"/>
              </w:rPr>
            </w:pPr>
          </w:p>
        </w:tc>
        <w:tc>
          <w:tcPr>
            <w:tcW w:w="780" w:type="dxa"/>
            <w:vAlign w:val="bottom"/>
            <w:shd w:val="clear" w:color="auto" w:fill="E9ECF4"/>
          </w:tcPr>
          <w:p>
            <w:pPr>
              <w:spacing w:after="0"/>
              <w:rPr>
                <w:sz w:val="13"/>
                <w:szCs w:val="13"/>
                <w:color w:val="auto"/>
              </w:rPr>
            </w:pPr>
          </w:p>
        </w:tc>
        <w:tc>
          <w:tcPr>
            <w:tcW w:w="760" w:type="dxa"/>
            <w:vAlign w:val="bottom"/>
            <w:shd w:val="clear" w:color="auto" w:fill="E9ECF4"/>
          </w:tcPr>
          <w:p>
            <w:pPr>
              <w:spacing w:after="0"/>
              <w:rPr>
                <w:sz w:val="13"/>
                <w:szCs w:val="13"/>
                <w:color w:val="auto"/>
              </w:rPr>
            </w:pPr>
          </w:p>
        </w:tc>
        <w:tc>
          <w:tcPr>
            <w:tcW w:w="700" w:type="dxa"/>
            <w:vAlign w:val="bottom"/>
            <w:shd w:val="clear" w:color="auto" w:fill="E9ECF4"/>
          </w:tcPr>
          <w:p>
            <w:pPr>
              <w:spacing w:after="0"/>
              <w:rPr>
                <w:sz w:val="13"/>
                <w:szCs w:val="13"/>
                <w:color w:val="auto"/>
              </w:rPr>
            </w:pPr>
          </w:p>
        </w:tc>
        <w:tc>
          <w:tcPr>
            <w:tcW w:w="640" w:type="dxa"/>
            <w:vAlign w:val="bottom"/>
            <w:shd w:val="clear" w:color="auto" w:fill="E9ECF4"/>
          </w:tcPr>
          <w:p>
            <w:pPr>
              <w:spacing w:after="0"/>
              <w:rPr>
                <w:sz w:val="13"/>
                <w:szCs w:val="13"/>
                <w:color w:val="auto"/>
              </w:rPr>
            </w:pPr>
          </w:p>
        </w:tc>
        <w:tc>
          <w:tcPr>
            <w:tcW w:w="700" w:type="dxa"/>
            <w:vAlign w:val="bottom"/>
            <w:shd w:val="clear" w:color="auto" w:fill="E9ECF4"/>
          </w:tcPr>
          <w:p>
            <w:pPr>
              <w:spacing w:after="0"/>
              <w:rPr>
                <w:sz w:val="13"/>
                <w:szCs w:val="13"/>
                <w:color w:val="auto"/>
              </w:rPr>
            </w:pPr>
          </w:p>
        </w:tc>
        <w:tc>
          <w:tcPr>
            <w:tcW w:w="40" w:type="dxa"/>
            <w:vAlign w:val="bottom"/>
            <w:shd w:val="clear" w:color="auto" w:fill="E9ECF4"/>
          </w:tcPr>
          <w:p>
            <w:pPr>
              <w:spacing w:after="0"/>
              <w:rPr>
                <w:sz w:val="13"/>
                <w:szCs w:val="13"/>
                <w:color w:val="auto"/>
              </w:rPr>
            </w:pPr>
          </w:p>
        </w:tc>
        <w:tc>
          <w:tcPr>
            <w:tcW w:w="700" w:type="dxa"/>
            <w:vAlign w:val="bottom"/>
            <w:shd w:val="clear" w:color="auto" w:fill="E9ECF4"/>
          </w:tcPr>
          <w:p>
            <w:pPr>
              <w:spacing w:after="0"/>
              <w:rPr>
                <w:sz w:val="13"/>
                <w:szCs w:val="13"/>
                <w:color w:val="auto"/>
              </w:rPr>
            </w:pPr>
          </w:p>
        </w:tc>
        <w:tc>
          <w:tcPr>
            <w:tcW w:w="780" w:type="dxa"/>
            <w:vAlign w:val="bottom"/>
            <w:shd w:val="clear" w:color="auto" w:fill="E9EC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40" w:type="dxa"/>
            <w:vAlign w:val="bottom"/>
          </w:tcPr>
          <w:p>
            <w:pPr>
              <w:ind w:left="200"/>
              <w:spacing w:after="0" w:line="156" w:lineRule="exact"/>
              <w:rPr>
                <w:sz w:val="20"/>
                <w:szCs w:val="20"/>
                <w:color w:val="auto"/>
              </w:rPr>
            </w:pPr>
            <w:r>
              <w:rPr>
                <w:rFonts w:ascii="Arial" w:cs="Arial" w:eastAsia="Arial" w:hAnsi="Arial"/>
                <w:sz w:val="14"/>
                <w:szCs w:val="14"/>
                <w:color w:val="auto"/>
              </w:rPr>
              <w:t>-2023 STIP</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57,500</w:t>
            </w:r>
          </w:p>
        </w:tc>
        <w:tc>
          <w:tcPr>
            <w:tcW w:w="780" w:type="dxa"/>
            <w:vAlign w:val="bottom"/>
          </w:tcPr>
          <w:p>
            <w:pPr>
              <w:jc w:val="right"/>
              <w:ind w:right="33"/>
              <w:spacing w:after="0" w:line="156" w:lineRule="exact"/>
              <w:rPr>
                <w:sz w:val="20"/>
                <w:szCs w:val="20"/>
                <w:color w:val="auto"/>
              </w:rPr>
            </w:pPr>
            <w:r>
              <w:rPr>
                <w:rFonts w:ascii="Arial" w:cs="Arial" w:eastAsia="Arial" w:hAnsi="Arial"/>
                <w:sz w:val="14"/>
                <w:szCs w:val="14"/>
                <w:color w:val="auto"/>
              </w:rPr>
              <w:t>230,000</w:t>
            </w:r>
          </w:p>
        </w:tc>
        <w:tc>
          <w:tcPr>
            <w:tcW w:w="760" w:type="dxa"/>
            <w:vAlign w:val="bottom"/>
          </w:tcPr>
          <w:p>
            <w:pPr>
              <w:jc w:val="right"/>
              <w:ind w:right="12"/>
              <w:spacing w:after="0" w:line="156" w:lineRule="exact"/>
              <w:rPr>
                <w:sz w:val="20"/>
                <w:szCs w:val="20"/>
                <w:color w:val="auto"/>
              </w:rPr>
            </w:pPr>
            <w:r>
              <w:rPr>
                <w:rFonts w:ascii="Arial" w:cs="Arial" w:eastAsia="Arial" w:hAnsi="Arial"/>
                <w:sz w:val="14"/>
                <w:szCs w:val="14"/>
                <w:color w:val="auto"/>
              </w:rPr>
              <w:t>460,000</w:t>
            </w:r>
          </w:p>
        </w:tc>
        <w:tc>
          <w:tcPr>
            <w:tcW w:w="7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33"/>
              <w:spacing w:after="0" w:line="156"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56"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1"/>
              <w:spacing w:after="0" w:line="156"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4"/>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740" w:type="dxa"/>
            <w:vAlign w:val="bottom"/>
            <w:shd w:val="clear" w:color="auto" w:fill="E9ECF4"/>
          </w:tcPr>
          <w:p>
            <w:pPr>
              <w:ind w:left="200"/>
              <w:spacing w:after="0" w:line="156" w:lineRule="exact"/>
              <w:rPr>
                <w:sz w:val="20"/>
                <w:szCs w:val="20"/>
                <w:color w:val="auto"/>
              </w:rPr>
            </w:pPr>
            <w:r>
              <w:rPr>
                <w:rFonts w:ascii="Arial" w:cs="Arial" w:eastAsia="Arial" w:hAnsi="Arial"/>
                <w:sz w:val="14"/>
                <w:szCs w:val="14"/>
                <w:color w:val="auto"/>
              </w:rPr>
              <w:t>-SIP</w:t>
            </w:r>
          </w:p>
        </w:tc>
        <w:tc>
          <w:tcPr>
            <w:tcW w:w="80" w:type="dxa"/>
            <w:vAlign w:val="bottom"/>
            <w:shd w:val="clear" w:color="auto" w:fill="E9ECF4"/>
          </w:tcPr>
          <w:p>
            <w:pPr>
              <w:spacing w:after="0"/>
              <w:rPr>
                <w:sz w:val="13"/>
                <w:szCs w:val="13"/>
                <w:color w:val="auto"/>
              </w:rPr>
            </w:pPr>
          </w:p>
        </w:tc>
        <w:tc>
          <w:tcPr>
            <w:tcW w:w="780" w:type="dxa"/>
            <w:vAlign w:val="bottom"/>
            <w:shd w:val="clear" w:color="auto" w:fill="E9ECF4"/>
          </w:tcPr>
          <w:p>
            <w:pPr>
              <w:spacing w:after="0"/>
              <w:rPr>
                <w:sz w:val="13"/>
                <w:szCs w:val="13"/>
                <w:color w:val="auto"/>
              </w:rPr>
            </w:pPr>
          </w:p>
        </w:tc>
        <w:tc>
          <w:tcPr>
            <w:tcW w:w="40" w:type="dxa"/>
            <w:vAlign w:val="bottom"/>
            <w:shd w:val="clear" w:color="auto" w:fill="E9ECF4"/>
          </w:tcPr>
          <w:p>
            <w:pPr>
              <w:spacing w:after="0"/>
              <w:rPr>
                <w:sz w:val="13"/>
                <w:szCs w:val="13"/>
                <w:color w:val="auto"/>
              </w:rPr>
            </w:pPr>
          </w:p>
        </w:tc>
        <w:tc>
          <w:tcPr>
            <w:tcW w:w="600" w:type="dxa"/>
            <w:vAlign w:val="bottom"/>
            <w:shd w:val="clear" w:color="auto" w:fill="E9ECF4"/>
          </w:tcPr>
          <w:p>
            <w:pPr>
              <w:spacing w:after="0"/>
              <w:rPr>
                <w:sz w:val="13"/>
                <w:szCs w:val="13"/>
                <w:color w:val="auto"/>
              </w:rPr>
            </w:pPr>
          </w:p>
        </w:tc>
        <w:tc>
          <w:tcPr>
            <w:tcW w:w="780" w:type="dxa"/>
            <w:vAlign w:val="bottom"/>
            <w:shd w:val="clear" w:color="auto" w:fill="E9ECF4"/>
          </w:tcPr>
          <w:p>
            <w:pPr>
              <w:jc w:val="right"/>
              <w:ind w:right="33"/>
              <w:spacing w:after="0" w:line="156" w:lineRule="exact"/>
              <w:rPr>
                <w:sz w:val="20"/>
                <w:szCs w:val="20"/>
                <w:color w:val="auto"/>
              </w:rPr>
            </w:pPr>
            <w:r>
              <w:rPr>
                <w:rFonts w:ascii="Arial" w:cs="Arial" w:eastAsia="Arial" w:hAnsi="Arial"/>
                <w:sz w:val="14"/>
                <w:szCs w:val="14"/>
                <w:color w:val="auto"/>
              </w:rPr>
              <w:t>210,000</w:t>
            </w:r>
          </w:p>
        </w:tc>
        <w:tc>
          <w:tcPr>
            <w:tcW w:w="760" w:type="dxa"/>
            <w:vAlign w:val="bottom"/>
            <w:shd w:val="clear" w:color="auto" w:fill="E9ECF4"/>
          </w:tcPr>
          <w:p>
            <w:pPr>
              <w:spacing w:after="0"/>
              <w:rPr>
                <w:sz w:val="13"/>
                <w:szCs w:val="13"/>
                <w:color w:val="auto"/>
              </w:rPr>
            </w:pPr>
          </w:p>
        </w:tc>
        <w:tc>
          <w:tcPr>
            <w:tcW w:w="700" w:type="dxa"/>
            <w:vAlign w:val="bottom"/>
            <w:shd w:val="clear" w:color="auto" w:fill="E9ECF4"/>
          </w:tcPr>
          <w:p>
            <w:pPr>
              <w:spacing w:after="0"/>
              <w:rPr>
                <w:sz w:val="13"/>
                <w:szCs w:val="13"/>
                <w:color w:val="auto"/>
              </w:rPr>
            </w:pPr>
          </w:p>
        </w:tc>
        <w:tc>
          <w:tcPr>
            <w:tcW w:w="640" w:type="dxa"/>
            <w:vAlign w:val="bottom"/>
            <w:shd w:val="clear" w:color="auto" w:fill="E9ECF4"/>
          </w:tcPr>
          <w:p>
            <w:pPr>
              <w:spacing w:after="0"/>
              <w:rPr>
                <w:sz w:val="13"/>
                <w:szCs w:val="13"/>
                <w:color w:val="auto"/>
              </w:rPr>
            </w:pPr>
          </w:p>
        </w:tc>
        <w:tc>
          <w:tcPr>
            <w:tcW w:w="700" w:type="dxa"/>
            <w:vAlign w:val="bottom"/>
            <w:shd w:val="clear" w:color="auto" w:fill="E9ECF4"/>
          </w:tcPr>
          <w:p>
            <w:pPr>
              <w:spacing w:after="0"/>
              <w:rPr>
                <w:sz w:val="13"/>
                <w:szCs w:val="13"/>
                <w:color w:val="auto"/>
              </w:rPr>
            </w:pPr>
          </w:p>
        </w:tc>
        <w:tc>
          <w:tcPr>
            <w:tcW w:w="40" w:type="dxa"/>
            <w:vAlign w:val="bottom"/>
            <w:shd w:val="clear" w:color="auto" w:fill="E9ECF4"/>
          </w:tcPr>
          <w:p>
            <w:pPr>
              <w:spacing w:after="0"/>
              <w:rPr>
                <w:sz w:val="13"/>
                <w:szCs w:val="13"/>
                <w:color w:val="auto"/>
              </w:rPr>
            </w:pPr>
          </w:p>
        </w:tc>
        <w:tc>
          <w:tcPr>
            <w:tcW w:w="700" w:type="dxa"/>
            <w:vAlign w:val="bottom"/>
            <w:shd w:val="clear" w:color="auto" w:fill="E9ECF4"/>
          </w:tcPr>
          <w:p>
            <w:pPr>
              <w:spacing w:after="0"/>
              <w:rPr>
                <w:sz w:val="13"/>
                <w:szCs w:val="13"/>
                <w:color w:val="auto"/>
              </w:rPr>
            </w:pPr>
          </w:p>
        </w:tc>
        <w:tc>
          <w:tcPr>
            <w:tcW w:w="780" w:type="dxa"/>
            <w:vAlign w:val="bottom"/>
            <w:shd w:val="clear" w:color="auto" w:fill="E9EC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40" w:type="dxa"/>
            <w:vAlign w:val="bottom"/>
          </w:tcPr>
          <w:p>
            <w:pPr>
              <w:ind w:left="200"/>
              <w:spacing w:after="0" w:line="156" w:lineRule="exact"/>
              <w:rPr>
                <w:sz w:val="20"/>
                <w:szCs w:val="20"/>
                <w:color w:val="auto"/>
              </w:rPr>
            </w:pPr>
            <w:r>
              <w:rPr>
                <w:rFonts w:ascii="Arial" w:cs="Arial" w:eastAsia="Arial" w:hAnsi="Arial"/>
                <w:sz w:val="14"/>
                <w:szCs w:val="14"/>
                <w:color w:val="auto"/>
              </w:rPr>
              <w:t>-Restricted Share Units</w:t>
            </w:r>
          </w:p>
        </w:tc>
        <w:tc>
          <w:tcPr>
            <w:tcW w:w="860" w:type="dxa"/>
            <w:vAlign w:val="bottom"/>
            <w:gridSpan w:val="2"/>
          </w:tcPr>
          <w:p>
            <w:pPr>
              <w:jc w:val="right"/>
              <w:ind w:right="34"/>
              <w:spacing w:after="0" w:line="156" w:lineRule="exact"/>
              <w:rPr>
                <w:sz w:val="20"/>
                <w:szCs w:val="20"/>
                <w:color w:val="auto"/>
              </w:rPr>
            </w:pPr>
            <w:r>
              <w:rPr>
                <w:rFonts w:ascii="Arial" w:cs="Arial" w:eastAsia="Arial" w:hAnsi="Arial"/>
                <w:sz w:val="14"/>
                <w:szCs w:val="14"/>
                <w:color w:val="auto"/>
              </w:rPr>
              <w:t>5/11/2023</w:t>
            </w:r>
          </w:p>
        </w:tc>
        <w:tc>
          <w:tcPr>
            <w:tcW w:w="64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line="156"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line="156"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33"/>
              <w:spacing w:after="0" w:line="156"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56"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1"/>
              <w:spacing w:after="0" w:line="156" w:lineRule="exact"/>
              <w:rPr>
                <w:sz w:val="20"/>
                <w:szCs w:val="20"/>
                <w:color w:val="auto"/>
              </w:rPr>
            </w:pPr>
            <w:r>
              <w:rPr>
                <w:rFonts w:ascii="Arial" w:cs="Arial" w:eastAsia="Arial" w:hAnsi="Arial"/>
                <w:sz w:val="14"/>
                <w:szCs w:val="14"/>
                <w:color w:val="auto"/>
              </w:rPr>
              <w:t>29,964</w:t>
            </w:r>
          </w:p>
        </w:tc>
        <w:tc>
          <w:tcPr>
            <w:tcW w:w="780" w:type="dxa"/>
            <w:vAlign w:val="bottom"/>
          </w:tcPr>
          <w:p>
            <w:pPr>
              <w:jc w:val="right"/>
              <w:ind w:right="14"/>
              <w:spacing w:after="0" w:line="156" w:lineRule="exact"/>
              <w:rPr>
                <w:sz w:val="20"/>
                <w:szCs w:val="20"/>
                <w:color w:val="auto"/>
              </w:rPr>
            </w:pPr>
            <w:r>
              <w:rPr>
                <w:rFonts w:ascii="Arial" w:cs="Arial" w:eastAsia="Arial" w:hAnsi="Arial"/>
                <w:sz w:val="14"/>
                <w:szCs w:val="14"/>
                <w:color w:val="auto"/>
              </w:rPr>
              <w:t>749,999</w:t>
            </w:r>
          </w:p>
        </w:tc>
        <w:tc>
          <w:tcPr>
            <w:tcW w:w="0" w:type="dxa"/>
            <w:vAlign w:val="bottom"/>
          </w:tcPr>
          <w:p>
            <w:pPr>
              <w:spacing w:after="0"/>
              <w:rPr>
                <w:sz w:val="1"/>
                <w:szCs w:val="1"/>
                <w:color w:val="auto"/>
              </w:rPr>
            </w:pPr>
          </w:p>
        </w:tc>
      </w:tr>
      <w:tr>
        <w:trPr>
          <w:trHeight w:val="156"/>
        </w:trPr>
        <w:tc>
          <w:tcPr>
            <w:tcW w:w="2740" w:type="dxa"/>
            <w:vAlign w:val="bottom"/>
            <w:shd w:val="clear" w:color="auto" w:fill="E9ECF4"/>
          </w:tcPr>
          <w:p>
            <w:pPr>
              <w:ind w:left="200"/>
              <w:spacing w:after="0" w:line="156" w:lineRule="exact"/>
              <w:rPr>
                <w:sz w:val="20"/>
                <w:szCs w:val="20"/>
                <w:color w:val="auto"/>
              </w:rPr>
            </w:pPr>
            <w:r>
              <w:rPr>
                <w:rFonts w:ascii="Arial" w:cs="Arial" w:eastAsia="Arial" w:hAnsi="Arial"/>
                <w:sz w:val="14"/>
                <w:szCs w:val="14"/>
                <w:color w:val="auto"/>
              </w:rPr>
              <w:t>-Performance Share Units</w:t>
            </w:r>
          </w:p>
        </w:tc>
        <w:tc>
          <w:tcPr>
            <w:tcW w:w="860" w:type="dxa"/>
            <w:vAlign w:val="bottom"/>
            <w:gridSpan w:val="2"/>
            <w:shd w:val="clear" w:color="auto" w:fill="E9ECF4"/>
          </w:tcPr>
          <w:p>
            <w:pPr>
              <w:jc w:val="right"/>
              <w:ind w:right="34"/>
              <w:spacing w:after="0" w:line="156" w:lineRule="exact"/>
              <w:rPr>
                <w:sz w:val="20"/>
                <w:szCs w:val="20"/>
                <w:color w:val="auto"/>
              </w:rPr>
            </w:pPr>
            <w:r>
              <w:rPr>
                <w:rFonts w:ascii="Arial" w:cs="Arial" w:eastAsia="Arial" w:hAnsi="Arial"/>
                <w:sz w:val="14"/>
                <w:szCs w:val="14"/>
                <w:color w:val="auto"/>
              </w:rPr>
              <w:t>5/11/2023</w:t>
            </w:r>
          </w:p>
        </w:tc>
        <w:tc>
          <w:tcPr>
            <w:tcW w:w="640" w:type="dxa"/>
            <w:vAlign w:val="bottom"/>
            <w:gridSpan w:val="2"/>
            <w:shd w:val="clear" w:color="auto" w:fill="E9ECF4"/>
          </w:tcPr>
          <w:p>
            <w:pPr>
              <w:jc w:val="right"/>
              <w:spacing w:after="0" w:line="156" w:lineRule="exact"/>
              <w:rPr>
                <w:sz w:val="20"/>
                <w:szCs w:val="20"/>
                <w:color w:val="auto"/>
              </w:rPr>
            </w:pPr>
            <w:r>
              <w:rPr>
                <w:rFonts w:ascii="Arial" w:cs="Arial" w:eastAsia="Arial" w:hAnsi="Arial"/>
                <w:sz w:val="14"/>
                <w:szCs w:val="14"/>
                <w:color w:val="auto"/>
              </w:rPr>
              <w:t>-</w:t>
            </w:r>
          </w:p>
        </w:tc>
        <w:tc>
          <w:tcPr>
            <w:tcW w:w="780" w:type="dxa"/>
            <w:vAlign w:val="bottom"/>
            <w:shd w:val="clear" w:color="auto" w:fill="E9ECF4"/>
          </w:tcPr>
          <w:p>
            <w:pPr>
              <w:jc w:val="right"/>
              <w:ind w:right="33"/>
              <w:spacing w:after="0" w:line="156" w:lineRule="exact"/>
              <w:rPr>
                <w:sz w:val="20"/>
                <w:szCs w:val="20"/>
                <w:color w:val="auto"/>
              </w:rPr>
            </w:pPr>
            <w:r>
              <w:rPr>
                <w:rFonts w:ascii="Arial" w:cs="Arial" w:eastAsia="Arial" w:hAnsi="Arial"/>
                <w:sz w:val="14"/>
                <w:szCs w:val="14"/>
                <w:color w:val="auto"/>
              </w:rPr>
              <w:t>-</w:t>
            </w:r>
          </w:p>
        </w:tc>
        <w:tc>
          <w:tcPr>
            <w:tcW w:w="760" w:type="dxa"/>
            <w:vAlign w:val="bottom"/>
            <w:shd w:val="clear" w:color="auto" w:fill="E9ECF4"/>
          </w:tcPr>
          <w:p>
            <w:pPr>
              <w:jc w:val="right"/>
              <w:ind w:right="12"/>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E9ECF4"/>
          </w:tcPr>
          <w:p>
            <w:pPr>
              <w:jc w:val="right"/>
              <w:spacing w:after="0" w:line="156" w:lineRule="exact"/>
              <w:rPr>
                <w:sz w:val="20"/>
                <w:szCs w:val="20"/>
                <w:color w:val="auto"/>
              </w:rPr>
            </w:pPr>
            <w:r>
              <w:rPr>
                <w:rFonts w:ascii="Arial" w:cs="Arial" w:eastAsia="Arial" w:hAnsi="Arial"/>
                <w:sz w:val="14"/>
                <w:szCs w:val="14"/>
                <w:color w:val="auto"/>
              </w:rPr>
              <w:t>4,994</w:t>
            </w:r>
          </w:p>
        </w:tc>
        <w:tc>
          <w:tcPr>
            <w:tcW w:w="640" w:type="dxa"/>
            <w:vAlign w:val="bottom"/>
            <w:shd w:val="clear" w:color="auto" w:fill="E9ECF4"/>
          </w:tcPr>
          <w:p>
            <w:pPr>
              <w:jc w:val="right"/>
              <w:ind w:right="33"/>
              <w:spacing w:after="0" w:line="156" w:lineRule="exact"/>
              <w:rPr>
                <w:sz w:val="20"/>
                <w:szCs w:val="20"/>
                <w:color w:val="auto"/>
              </w:rPr>
            </w:pPr>
            <w:r>
              <w:rPr>
                <w:rFonts w:ascii="Arial" w:cs="Arial" w:eastAsia="Arial" w:hAnsi="Arial"/>
                <w:sz w:val="14"/>
                <w:szCs w:val="14"/>
                <w:color w:val="auto"/>
              </w:rPr>
              <w:t>9,988</w:t>
            </w:r>
          </w:p>
        </w:tc>
        <w:tc>
          <w:tcPr>
            <w:tcW w:w="700" w:type="dxa"/>
            <w:vAlign w:val="bottom"/>
            <w:shd w:val="clear" w:color="auto" w:fill="E9ECF4"/>
          </w:tcPr>
          <w:p>
            <w:pPr>
              <w:jc w:val="right"/>
              <w:ind w:right="12"/>
              <w:spacing w:after="0" w:line="156" w:lineRule="exact"/>
              <w:rPr>
                <w:sz w:val="20"/>
                <w:szCs w:val="20"/>
                <w:color w:val="auto"/>
              </w:rPr>
            </w:pPr>
            <w:r>
              <w:rPr>
                <w:rFonts w:ascii="Arial" w:cs="Arial" w:eastAsia="Arial" w:hAnsi="Arial"/>
                <w:sz w:val="14"/>
                <w:szCs w:val="14"/>
                <w:color w:val="auto"/>
              </w:rPr>
              <w:t>19,976</w:t>
            </w:r>
          </w:p>
        </w:tc>
        <w:tc>
          <w:tcPr>
            <w:tcW w:w="740" w:type="dxa"/>
            <w:vAlign w:val="bottom"/>
            <w:gridSpan w:val="2"/>
            <w:shd w:val="clear" w:color="auto" w:fill="E9ECF4"/>
          </w:tcPr>
          <w:p>
            <w:pPr>
              <w:jc w:val="right"/>
              <w:ind w:right="21"/>
              <w:spacing w:after="0" w:line="156" w:lineRule="exact"/>
              <w:rPr>
                <w:sz w:val="20"/>
                <w:szCs w:val="20"/>
                <w:color w:val="auto"/>
              </w:rPr>
            </w:pPr>
            <w:r>
              <w:rPr>
                <w:rFonts w:ascii="Arial" w:cs="Arial" w:eastAsia="Arial" w:hAnsi="Arial"/>
                <w:sz w:val="14"/>
                <w:szCs w:val="14"/>
                <w:color w:val="auto"/>
              </w:rPr>
              <w:t>-</w:t>
            </w:r>
          </w:p>
        </w:tc>
        <w:tc>
          <w:tcPr>
            <w:tcW w:w="780" w:type="dxa"/>
            <w:vAlign w:val="bottom"/>
            <w:shd w:val="clear" w:color="auto" w:fill="E9ECF4"/>
          </w:tcPr>
          <w:p>
            <w:pPr>
              <w:jc w:val="right"/>
              <w:ind w:right="14"/>
              <w:spacing w:after="0" w:line="156" w:lineRule="exact"/>
              <w:rPr>
                <w:sz w:val="20"/>
                <w:szCs w:val="20"/>
                <w:color w:val="auto"/>
              </w:rPr>
            </w:pPr>
            <w:r>
              <w:rPr>
                <w:rFonts w:ascii="Arial" w:cs="Arial" w:eastAsia="Arial" w:hAnsi="Arial"/>
                <w:sz w:val="14"/>
                <w:szCs w:val="14"/>
                <w:color w:val="auto"/>
              </w:rPr>
              <w:t>269,077</w:t>
            </w:r>
          </w:p>
        </w:tc>
        <w:tc>
          <w:tcPr>
            <w:tcW w:w="0" w:type="dxa"/>
            <w:vAlign w:val="bottom"/>
          </w:tcPr>
          <w:p>
            <w:pPr>
              <w:spacing w:after="0"/>
              <w:rPr>
                <w:sz w:val="1"/>
                <w:szCs w:val="1"/>
                <w:color w:val="auto"/>
              </w:rPr>
            </w:pPr>
          </w:p>
        </w:tc>
      </w:tr>
      <w:tr>
        <w:trPr>
          <w:trHeight w:val="156"/>
        </w:trPr>
        <w:tc>
          <w:tcPr>
            <w:tcW w:w="2740" w:type="dxa"/>
            <w:vAlign w:val="bottom"/>
            <w:shd w:val="clear" w:color="auto" w:fill="9DBDE4"/>
          </w:tcPr>
          <w:p>
            <w:pPr>
              <w:ind w:left="40"/>
              <w:spacing w:after="0" w:line="156" w:lineRule="exact"/>
              <w:rPr>
                <w:sz w:val="20"/>
                <w:szCs w:val="20"/>
                <w:color w:val="auto"/>
              </w:rPr>
            </w:pPr>
            <w:r>
              <w:rPr>
                <w:rFonts w:ascii="Arial" w:cs="Arial" w:eastAsia="Arial" w:hAnsi="Arial"/>
                <w:sz w:val="14"/>
                <w:szCs w:val="14"/>
                <w:color w:val="auto"/>
              </w:rPr>
              <w:t>Deborah L. Guerra</w:t>
            </w:r>
          </w:p>
        </w:tc>
        <w:tc>
          <w:tcPr>
            <w:tcW w:w="80" w:type="dxa"/>
            <w:vAlign w:val="bottom"/>
            <w:shd w:val="clear" w:color="auto" w:fill="9DBDE4"/>
          </w:tcPr>
          <w:p>
            <w:pPr>
              <w:spacing w:after="0"/>
              <w:rPr>
                <w:sz w:val="13"/>
                <w:szCs w:val="13"/>
                <w:color w:val="auto"/>
              </w:rPr>
            </w:pPr>
          </w:p>
        </w:tc>
        <w:tc>
          <w:tcPr>
            <w:tcW w:w="780" w:type="dxa"/>
            <w:vAlign w:val="bottom"/>
            <w:shd w:val="clear" w:color="auto" w:fill="9DBDE4"/>
          </w:tcPr>
          <w:p>
            <w:pPr>
              <w:spacing w:after="0"/>
              <w:rPr>
                <w:sz w:val="13"/>
                <w:szCs w:val="13"/>
                <w:color w:val="auto"/>
              </w:rPr>
            </w:pPr>
          </w:p>
        </w:tc>
        <w:tc>
          <w:tcPr>
            <w:tcW w:w="40" w:type="dxa"/>
            <w:vAlign w:val="bottom"/>
            <w:shd w:val="clear" w:color="auto" w:fill="9DBDE4"/>
          </w:tcPr>
          <w:p>
            <w:pPr>
              <w:spacing w:after="0"/>
              <w:rPr>
                <w:sz w:val="13"/>
                <w:szCs w:val="13"/>
                <w:color w:val="auto"/>
              </w:rPr>
            </w:pPr>
          </w:p>
        </w:tc>
        <w:tc>
          <w:tcPr>
            <w:tcW w:w="600" w:type="dxa"/>
            <w:vAlign w:val="bottom"/>
            <w:shd w:val="clear" w:color="auto" w:fill="9DBDE4"/>
          </w:tcPr>
          <w:p>
            <w:pPr>
              <w:spacing w:after="0"/>
              <w:rPr>
                <w:sz w:val="13"/>
                <w:szCs w:val="13"/>
                <w:color w:val="auto"/>
              </w:rPr>
            </w:pPr>
          </w:p>
        </w:tc>
        <w:tc>
          <w:tcPr>
            <w:tcW w:w="780" w:type="dxa"/>
            <w:vAlign w:val="bottom"/>
            <w:shd w:val="clear" w:color="auto" w:fill="9DBDE4"/>
          </w:tcPr>
          <w:p>
            <w:pPr>
              <w:spacing w:after="0"/>
              <w:rPr>
                <w:sz w:val="13"/>
                <w:szCs w:val="13"/>
                <w:color w:val="auto"/>
              </w:rPr>
            </w:pPr>
          </w:p>
        </w:tc>
        <w:tc>
          <w:tcPr>
            <w:tcW w:w="760" w:type="dxa"/>
            <w:vAlign w:val="bottom"/>
            <w:shd w:val="clear" w:color="auto" w:fill="9DBDE4"/>
          </w:tcPr>
          <w:p>
            <w:pPr>
              <w:spacing w:after="0"/>
              <w:rPr>
                <w:sz w:val="13"/>
                <w:szCs w:val="13"/>
                <w:color w:val="auto"/>
              </w:rPr>
            </w:pPr>
          </w:p>
        </w:tc>
        <w:tc>
          <w:tcPr>
            <w:tcW w:w="700" w:type="dxa"/>
            <w:vAlign w:val="bottom"/>
            <w:shd w:val="clear" w:color="auto" w:fill="9DBDE4"/>
          </w:tcPr>
          <w:p>
            <w:pPr>
              <w:spacing w:after="0"/>
              <w:rPr>
                <w:sz w:val="13"/>
                <w:szCs w:val="13"/>
                <w:color w:val="auto"/>
              </w:rPr>
            </w:pPr>
          </w:p>
        </w:tc>
        <w:tc>
          <w:tcPr>
            <w:tcW w:w="640" w:type="dxa"/>
            <w:vAlign w:val="bottom"/>
            <w:shd w:val="clear" w:color="auto" w:fill="9DBDE4"/>
          </w:tcPr>
          <w:p>
            <w:pPr>
              <w:spacing w:after="0"/>
              <w:rPr>
                <w:sz w:val="13"/>
                <w:szCs w:val="13"/>
                <w:color w:val="auto"/>
              </w:rPr>
            </w:pPr>
          </w:p>
        </w:tc>
        <w:tc>
          <w:tcPr>
            <w:tcW w:w="700" w:type="dxa"/>
            <w:vAlign w:val="bottom"/>
            <w:shd w:val="clear" w:color="auto" w:fill="9DBDE4"/>
          </w:tcPr>
          <w:p>
            <w:pPr>
              <w:spacing w:after="0"/>
              <w:rPr>
                <w:sz w:val="13"/>
                <w:szCs w:val="13"/>
                <w:color w:val="auto"/>
              </w:rPr>
            </w:pPr>
          </w:p>
        </w:tc>
        <w:tc>
          <w:tcPr>
            <w:tcW w:w="40" w:type="dxa"/>
            <w:vAlign w:val="bottom"/>
            <w:shd w:val="clear" w:color="auto" w:fill="9DBDE4"/>
          </w:tcPr>
          <w:p>
            <w:pPr>
              <w:spacing w:after="0"/>
              <w:rPr>
                <w:sz w:val="13"/>
                <w:szCs w:val="13"/>
                <w:color w:val="auto"/>
              </w:rPr>
            </w:pPr>
          </w:p>
        </w:tc>
        <w:tc>
          <w:tcPr>
            <w:tcW w:w="700" w:type="dxa"/>
            <w:vAlign w:val="bottom"/>
            <w:shd w:val="clear" w:color="auto" w:fill="9DBDE4"/>
          </w:tcPr>
          <w:p>
            <w:pPr>
              <w:spacing w:after="0"/>
              <w:rPr>
                <w:sz w:val="13"/>
                <w:szCs w:val="13"/>
                <w:color w:val="auto"/>
              </w:rPr>
            </w:pPr>
          </w:p>
        </w:tc>
        <w:tc>
          <w:tcPr>
            <w:tcW w:w="780" w:type="dxa"/>
            <w:vAlign w:val="bottom"/>
            <w:shd w:val="clear" w:color="auto" w:fill="9DBDE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40" w:type="dxa"/>
            <w:vAlign w:val="bottom"/>
            <w:shd w:val="clear" w:color="auto" w:fill="9DBDE4"/>
          </w:tcPr>
          <w:p>
            <w:pPr>
              <w:ind w:left="200"/>
              <w:spacing w:after="0" w:line="156" w:lineRule="exact"/>
              <w:rPr>
                <w:sz w:val="20"/>
                <w:szCs w:val="20"/>
                <w:color w:val="auto"/>
              </w:rPr>
            </w:pPr>
            <w:r>
              <w:rPr>
                <w:rFonts w:ascii="Arial" w:cs="Arial" w:eastAsia="Arial" w:hAnsi="Arial"/>
                <w:sz w:val="14"/>
                <w:szCs w:val="14"/>
                <w:color w:val="auto"/>
              </w:rPr>
              <w:t>-2023 STIP</w:t>
            </w:r>
          </w:p>
        </w:tc>
        <w:tc>
          <w:tcPr>
            <w:tcW w:w="860" w:type="dxa"/>
            <w:vAlign w:val="bottom"/>
            <w:gridSpan w:val="2"/>
            <w:shd w:val="clear" w:color="auto" w:fill="9DBDE4"/>
          </w:tcPr>
          <w:p>
            <w:pPr>
              <w:jc w:val="right"/>
              <w:ind w:right="34"/>
              <w:spacing w:after="0" w:line="156"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9DBDE4"/>
          </w:tcPr>
          <w:p>
            <w:pPr>
              <w:jc w:val="right"/>
              <w:spacing w:after="0" w:line="156" w:lineRule="exact"/>
              <w:rPr>
                <w:sz w:val="20"/>
                <w:szCs w:val="20"/>
                <w:color w:val="auto"/>
              </w:rPr>
            </w:pPr>
            <w:r>
              <w:rPr>
                <w:rFonts w:ascii="Arial" w:cs="Arial" w:eastAsia="Arial" w:hAnsi="Arial"/>
                <w:sz w:val="14"/>
                <w:szCs w:val="14"/>
                <w:color w:val="auto"/>
              </w:rPr>
              <w:t>100,000</w:t>
            </w:r>
          </w:p>
        </w:tc>
        <w:tc>
          <w:tcPr>
            <w:tcW w:w="780" w:type="dxa"/>
            <w:vAlign w:val="bottom"/>
            <w:shd w:val="clear" w:color="auto" w:fill="9DBDE4"/>
          </w:tcPr>
          <w:p>
            <w:pPr>
              <w:jc w:val="right"/>
              <w:ind w:right="33"/>
              <w:spacing w:after="0" w:line="156" w:lineRule="exact"/>
              <w:rPr>
                <w:sz w:val="20"/>
                <w:szCs w:val="20"/>
                <w:color w:val="auto"/>
              </w:rPr>
            </w:pPr>
            <w:r>
              <w:rPr>
                <w:rFonts w:ascii="Arial" w:cs="Arial" w:eastAsia="Arial" w:hAnsi="Arial"/>
                <w:sz w:val="14"/>
                <w:szCs w:val="14"/>
                <w:color w:val="auto"/>
              </w:rPr>
              <w:t>400,000</w:t>
            </w:r>
          </w:p>
        </w:tc>
        <w:tc>
          <w:tcPr>
            <w:tcW w:w="760" w:type="dxa"/>
            <w:vAlign w:val="bottom"/>
            <w:shd w:val="clear" w:color="auto" w:fill="9DBDE4"/>
          </w:tcPr>
          <w:p>
            <w:pPr>
              <w:jc w:val="right"/>
              <w:ind w:right="12"/>
              <w:spacing w:after="0" w:line="156" w:lineRule="exact"/>
              <w:rPr>
                <w:sz w:val="20"/>
                <w:szCs w:val="20"/>
                <w:color w:val="auto"/>
              </w:rPr>
            </w:pPr>
            <w:r>
              <w:rPr>
                <w:rFonts w:ascii="Arial" w:cs="Arial" w:eastAsia="Arial" w:hAnsi="Arial"/>
                <w:sz w:val="14"/>
                <w:szCs w:val="14"/>
                <w:color w:val="auto"/>
              </w:rPr>
              <w:t>800,000</w:t>
            </w:r>
          </w:p>
        </w:tc>
        <w:tc>
          <w:tcPr>
            <w:tcW w:w="700" w:type="dxa"/>
            <w:vAlign w:val="bottom"/>
            <w:shd w:val="clear" w:color="auto" w:fill="9DBDE4"/>
          </w:tcPr>
          <w:p>
            <w:pPr>
              <w:jc w:val="right"/>
              <w:spacing w:after="0" w:line="156" w:lineRule="exact"/>
              <w:rPr>
                <w:sz w:val="20"/>
                <w:szCs w:val="20"/>
                <w:color w:val="auto"/>
              </w:rPr>
            </w:pPr>
            <w:r>
              <w:rPr>
                <w:rFonts w:ascii="Arial" w:cs="Arial" w:eastAsia="Arial" w:hAnsi="Arial"/>
                <w:sz w:val="14"/>
                <w:szCs w:val="14"/>
                <w:color w:val="auto"/>
              </w:rPr>
              <w:t>-</w:t>
            </w:r>
          </w:p>
        </w:tc>
        <w:tc>
          <w:tcPr>
            <w:tcW w:w="640" w:type="dxa"/>
            <w:vAlign w:val="bottom"/>
            <w:shd w:val="clear" w:color="auto" w:fill="9DBDE4"/>
          </w:tcPr>
          <w:p>
            <w:pPr>
              <w:jc w:val="right"/>
              <w:ind w:right="33"/>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9DBDE4"/>
          </w:tcPr>
          <w:p>
            <w:pPr>
              <w:jc w:val="right"/>
              <w:ind w:right="12"/>
              <w:spacing w:after="0" w:line="156"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9DBDE4"/>
          </w:tcPr>
          <w:p>
            <w:pPr>
              <w:jc w:val="right"/>
              <w:ind w:right="21"/>
              <w:spacing w:after="0" w:line="156" w:lineRule="exact"/>
              <w:rPr>
                <w:sz w:val="20"/>
                <w:szCs w:val="20"/>
                <w:color w:val="auto"/>
              </w:rPr>
            </w:pPr>
            <w:r>
              <w:rPr>
                <w:rFonts w:ascii="Arial" w:cs="Arial" w:eastAsia="Arial" w:hAnsi="Arial"/>
                <w:sz w:val="14"/>
                <w:szCs w:val="14"/>
                <w:color w:val="auto"/>
              </w:rPr>
              <w:t>-</w:t>
            </w:r>
          </w:p>
        </w:tc>
        <w:tc>
          <w:tcPr>
            <w:tcW w:w="780" w:type="dxa"/>
            <w:vAlign w:val="bottom"/>
            <w:shd w:val="clear" w:color="auto" w:fill="9DBDE4"/>
          </w:tcPr>
          <w:p>
            <w:pPr>
              <w:jc w:val="right"/>
              <w:ind w:right="14"/>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740" w:type="dxa"/>
            <w:vAlign w:val="bottom"/>
            <w:shd w:val="clear" w:color="auto" w:fill="9DBDE4"/>
          </w:tcPr>
          <w:p>
            <w:pPr>
              <w:ind w:left="200"/>
              <w:spacing w:after="0" w:line="156" w:lineRule="exact"/>
              <w:rPr>
                <w:sz w:val="20"/>
                <w:szCs w:val="20"/>
                <w:color w:val="auto"/>
              </w:rPr>
            </w:pPr>
            <w:r>
              <w:rPr>
                <w:rFonts w:ascii="Arial" w:cs="Arial" w:eastAsia="Arial" w:hAnsi="Arial"/>
                <w:sz w:val="14"/>
                <w:szCs w:val="14"/>
                <w:color w:val="auto"/>
              </w:rPr>
              <w:t>-Restricted Share Units</w:t>
            </w:r>
          </w:p>
        </w:tc>
        <w:tc>
          <w:tcPr>
            <w:tcW w:w="80" w:type="dxa"/>
            <w:vAlign w:val="bottom"/>
            <w:shd w:val="clear" w:color="auto" w:fill="9DBDE4"/>
          </w:tcPr>
          <w:p>
            <w:pPr>
              <w:spacing w:after="0"/>
              <w:rPr>
                <w:sz w:val="13"/>
                <w:szCs w:val="13"/>
                <w:color w:val="auto"/>
              </w:rPr>
            </w:pPr>
          </w:p>
        </w:tc>
        <w:tc>
          <w:tcPr>
            <w:tcW w:w="780" w:type="dxa"/>
            <w:vAlign w:val="bottom"/>
            <w:shd w:val="clear" w:color="auto" w:fill="9DBDE4"/>
          </w:tcPr>
          <w:p>
            <w:pPr>
              <w:jc w:val="right"/>
              <w:ind w:right="34"/>
              <w:spacing w:after="0" w:line="156" w:lineRule="exact"/>
              <w:rPr>
                <w:sz w:val="20"/>
                <w:szCs w:val="20"/>
                <w:color w:val="auto"/>
              </w:rPr>
            </w:pPr>
            <w:r>
              <w:rPr>
                <w:rFonts w:ascii="Arial" w:cs="Arial" w:eastAsia="Arial" w:hAnsi="Arial"/>
                <w:sz w:val="14"/>
                <w:szCs w:val="14"/>
                <w:color w:val="auto"/>
              </w:rPr>
              <w:t>5/11/2023</w:t>
            </w:r>
          </w:p>
        </w:tc>
        <w:tc>
          <w:tcPr>
            <w:tcW w:w="640" w:type="dxa"/>
            <w:vAlign w:val="bottom"/>
            <w:gridSpan w:val="2"/>
            <w:shd w:val="clear" w:color="auto" w:fill="9DBDE4"/>
          </w:tcPr>
          <w:p>
            <w:pPr>
              <w:jc w:val="right"/>
              <w:spacing w:after="0" w:line="156" w:lineRule="exact"/>
              <w:rPr>
                <w:sz w:val="20"/>
                <w:szCs w:val="20"/>
                <w:color w:val="auto"/>
              </w:rPr>
            </w:pPr>
            <w:r>
              <w:rPr>
                <w:rFonts w:ascii="Arial" w:cs="Arial" w:eastAsia="Arial" w:hAnsi="Arial"/>
                <w:sz w:val="14"/>
                <w:szCs w:val="14"/>
                <w:color w:val="auto"/>
              </w:rPr>
              <w:t>-</w:t>
            </w:r>
          </w:p>
        </w:tc>
        <w:tc>
          <w:tcPr>
            <w:tcW w:w="780" w:type="dxa"/>
            <w:vAlign w:val="bottom"/>
            <w:shd w:val="clear" w:color="auto" w:fill="9DBDE4"/>
          </w:tcPr>
          <w:p>
            <w:pPr>
              <w:jc w:val="right"/>
              <w:ind w:right="33"/>
              <w:spacing w:after="0" w:line="156" w:lineRule="exact"/>
              <w:rPr>
                <w:sz w:val="20"/>
                <w:szCs w:val="20"/>
                <w:color w:val="auto"/>
              </w:rPr>
            </w:pPr>
            <w:r>
              <w:rPr>
                <w:rFonts w:ascii="Arial" w:cs="Arial" w:eastAsia="Arial" w:hAnsi="Arial"/>
                <w:sz w:val="14"/>
                <w:szCs w:val="14"/>
                <w:color w:val="auto"/>
              </w:rPr>
              <w:t>-</w:t>
            </w:r>
          </w:p>
        </w:tc>
        <w:tc>
          <w:tcPr>
            <w:tcW w:w="760" w:type="dxa"/>
            <w:vAlign w:val="bottom"/>
            <w:shd w:val="clear" w:color="auto" w:fill="9DBDE4"/>
          </w:tcPr>
          <w:p>
            <w:pPr>
              <w:jc w:val="right"/>
              <w:ind w:right="12"/>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9DBDE4"/>
          </w:tcPr>
          <w:p>
            <w:pPr>
              <w:jc w:val="right"/>
              <w:spacing w:after="0" w:line="156" w:lineRule="exact"/>
              <w:rPr>
                <w:sz w:val="20"/>
                <w:szCs w:val="20"/>
                <w:color w:val="auto"/>
              </w:rPr>
            </w:pPr>
            <w:r>
              <w:rPr>
                <w:rFonts w:ascii="Arial" w:cs="Arial" w:eastAsia="Arial" w:hAnsi="Arial"/>
                <w:sz w:val="14"/>
                <w:szCs w:val="14"/>
                <w:color w:val="auto"/>
              </w:rPr>
              <w:t>-</w:t>
            </w:r>
          </w:p>
        </w:tc>
        <w:tc>
          <w:tcPr>
            <w:tcW w:w="640" w:type="dxa"/>
            <w:vAlign w:val="bottom"/>
            <w:shd w:val="clear" w:color="auto" w:fill="9DBDE4"/>
          </w:tcPr>
          <w:p>
            <w:pPr>
              <w:jc w:val="right"/>
              <w:ind w:right="33"/>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9DBDE4"/>
          </w:tcPr>
          <w:p>
            <w:pPr>
              <w:jc w:val="right"/>
              <w:ind w:right="12"/>
              <w:spacing w:after="0" w:line="156"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9DBDE4"/>
          </w:tcPr>
          <w:p>
            <w:pPr>
              <w:jc w:val="right"/>
              <w:ind w:right="21"/>
              <w:spacing w:after="0" w:line="156" w:lineRule="exact"/>
              <w:rPr>
                <w:sz w:val="20"/>
                <w:szCs w:val="20"/>
                <w:color w:val="auto"/>
              </w:rPr>
            </w:pPr>
            <w:r>
              <w:rPr>
                <w:rFonts w:ascii="Arial" w:cs="Arial" w:eastAsia="Arial" w:hAnsi="Arial"/>
                <w:sz w:val="14"/>
                <w:szCs w:val="14"/>
                <w:color w:val="auto"/>
              </w:rPr>
              <w:t>29,964</w:t>
            </w:r>
          </w:p>
        </w:tc>
        <w:tc>
          <w:tcPr>
            <w:tcW w:w="780" w:type="dxa"/>
            <w:vAlign w:val="bottom"/>
            <w:shd w:val="clear" w:color="auto" w:fill="9DBDE4"/>
          </w:tcPr>
          <w:p>
            <w:pPr>
              <w:jc w:val="right"/>
              <w:ind w:right="14"/>
              <w:spacing w:after="0" w:line="156" w:lineRule="exact"/>
              <w:rPr>
                <w:sz w:val="20"/>
                <w:szCs w:val="20"/>
                <w:color w:val="auto"/>
              </w:rPr>
            </w:pPr>
            <w:r>
              <w:rPr>
                <w:rFonts w:ascii="Arial" w:cs="Arial" w:eastAsia="Arial" w:hAnsi="Arial"/>
                <w:sz w:val="14"/>
                <w:szCs w:val="14"/>
                <w:color w:val="auto"/>
              </w:rPr>
              <w:t>749,999</w:t>
            </w:r>
          </w:p>
        </w:tc>
        <w:tc>
          <w:tcPr>
            <w:tcW w:w="0" w:type="dxa"/>
            <w:vAlign w:val="bottom"/>
          </w:tcPr>
          <w:p>
            <w:pPr>
              <w:spacing w:after="0"/>
              <w:rPr>
                <w:sz w:val="1"/>
                <w:szCs w:val="1"/>
                <w:color w:val="auto"/>
              </w:rPr>
            </w:pPr>
          </w:p>
        </w:tc>
      </w:tr>
      <w:tr>
        <w:trPr>
          <w:trHeight w:val="156"/>
        </w:trPr>
        <w:tc>
          <w:tcPr>
            <w:tcW w:w="2740" w:type="dxa"/>
            <w:vAlign w:val="bottom"/>
            <w:shd w:val="clear" w:color="auto" w:fill="9DBDE4"/>
          </w:tcPr>
          <w:p>
            <w:pPr>
              <w:ind w:left="200"/>
              <w:spacing w:after="0" w:line="156" w:lineRule="exact"/>
              <w:rPr>
                <w:sz w:val="20"/>
                <w:szCs w:val="20"/>
                <w:color w:val="auto"/>
              </w:rPr>
            </w:pPr>
            <w:r>
              <w:rPr>
                <w:rFonts w:ascii="Arial" w:cs="Arial" w:eastAsia="Arial" w:hAnsi="Arial"/>
                <w:sz w:val="14"/>
                <w:szCs w:val="14"/>
                <w:color w:val="auto"/>
              </w:rPr>
              <w:t>-Performance Share Units</w:t>
            </w:r>
          </w:p>
        </w:tc>
        <w:tc>
          <w:tcPr>
            <w:tcW w:w="80" w:type="dxa"/>
            <w:vAlign w:val="bottom"/>
            <w:shd w:val="clear" w:color="auto" w:fill="9DBDE4"/>
          </w:tcPr>
          <w:p>
            <w:pPr>
              <w:spacing w:after="0"/>
              <w:rPr>
                <w:sz w:val="13"/>
                <w:szCs w:val="13"/>
                <w:color w:val="auto"/>
              </w:rPr>
            </w:pPr>
          </w:p>
        </w:tc>
        <w:tc>
          <w:tcPr>
            <w:tcW w:w="780" w:type="dxa"/>
            <w:vAlign w:val="bottom"/>
            <w:shd w:val="clear" w:color="auto" w:fill="9DBDE4"/>
          </w:tcPr>
          <w:p>
            <w:pPr>
              <w:jc w:val="right"/>
              <w:ind w:right="34"/>
              <w:spacing w:after="0" w:line="156" w:lineRule="exact"/>
              <w:rPr>
                <w:sz w:val="20"/>
                <w:szCs w:val="20"/>
                <w:color w:val="auto"/>
              </w:rPr>
            </w:pPr>
            <w:r>
              <w:rPr>
                <w:rFonts w:ascii="Arial" w:cs="Arial" w:eastAsia="Arial" w:hAnsi="Arial"/>
                <w:sz w:val="14"/>
                <w:szCs w:val="14"/>
                <w:color w:val="auto"/>
              </w:rPr>
              <w:t>5/11/2023</w:t>
            </w:r>
          </w:p>
        </w:tc>
        <w:tc>
          <w:tcPr>
            <w:tcW w:w="640" w:type="dxa"/>
            <w:vAlign w:val="bottom"/>
            <w:gridSpan w:val="2"/>
            <w:shd w:val="clear" w:color="auto" w:fill="9DBDE4"/>
          </w:tcPr>
          <w:p>
            <w:pPr>
              <w:jc w:val="right"/>
              <w:spacing w:after="0" w:line="156" w:lineRule="exact"/>
              <w:rPr>
                <w:sz w:val="20"/>
                <w:szCs w:val="20"/>
                <w:color w:val="auto"/>
              </w:rPr>
            </w:pPr>
            <w:r>
              <w:rPr>
                <w:rFonts w:ascii="Arial" w:cs="Arial" w:eastAsia="Arial" w:hAnsi="Arial"/>
                <w:sz w:val="14"/>
                <w:szCs w:val="14"/>
                <w:color w:val="auto"/>
              </w:rPr>
              <w:t>-</w:t>
            </w:r>
          </w:p>
        </w:tc>
        <w:tc>
          <w:tcPr>
            <w:tcW w:w="780" w:type="dxa"/>
            <w:vAlign w:val="bottom"/>
            <w:shd w:val="clear" w:color="auto" w:fill="9DBDE4"/>
          </w:tcPr>
          <w:p>
            <w:pPr>
              <w:jc w:val="right"/>
              <w:ind w:right="33"/>
              <w:spacing w:after="0" w:line="156" w:lineRule="exact"/>
              <w:rPr>
                <w:sz w:val="20"/>
                <w:szCs w:val="20"/>
                <w:color w:val="auto"/>
              </w:rPr>
            </w:pPr>
            <w:r>
              <w:rPr>
                <w:rFonts w:ascii="Arial" w:cs="Arial" w:eastAsia="Arial" w:hAnsi="Arial"/>
                <w:sz w:val="14"/>
                <w:szCs w:val="14"/>
                <w:color w:val="auto"/>
              </w:rPr>
              <w:t>-</w:t>
            </w:r>
          </w:p>
        </w:tc>
        <w:tc>
          <w:tcPr>
            <w:tcW w:w="760" w:type="dxa"/>
            <w:vAlign w:val="bottom"/>
            <w:shd w:val="clear" w:color="auto" w:fill="9DBDE4"/>
          </w:tcPr>
          <w:p>
            <w:pPr>
              <w:jc w:val="right"/>
              <w:ind w:right="12"/>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9DBDE4"/>
          </w:tcPr>
          <w:p>
            <w:pPr>
              <w:jc w:val="right"/>
              <w:spacing w:after="0" w:line="156" w:lineRule="exact"/>
              <w:rPr>
                <w:sz w:val="20"/>
                <w:szCs w:val="20"/>
                <w:color w:val="auto"/>
              </w:rPr>
            </w:pPr>
            <w:r>
              <w:rPr>
                <w:rFonts w:ascii="Arial" w:cs="Arial" w:eastAsia="Arial" w:hAnsi="Arial"/>
                <w:sz w:val="14"/>
                <w:szCs w:val="14"/>
                <w:color w:val="auto"/>
              </w:rPr>
              <w:t>4,994</w:t>
            </w:r>
          </w:p>
        </w:tc>
        <w:tc>
          <w:tcPr>
            <w:tcW w:w="640" w:type="dxa"/>
            <w:vAlign w:val="bottom"/>
            <w:shd w:val="clear" w:color="auto" w:fill="9DBDE4"/>
          </w:tcPr>
          <w:p>
            <w:pPr>
              <w:jc w:val="right"/>
              <w:ind w:right="33"/>
              <w:spacing w:after="0" w:line="156" w:lineRule="exact"/>
              <w:rPr>
                <w:sz w:val="20"/>
                <w:szCs w:val="20"/>
                <w:color w:val="auto"/>
              </w:rPr>
            </w:pPr>
            <w:r>
              <w:rPr>
                <w:rFonts w:ascii="Arial" w:cs="Arial" w:eastAsia="Arial" w:hAnsi="Arial"/>
                <w:sz w:val="14"/>
                <w:szCs w:val="14"/>
                <w:color w:val="auto"/>
              </w:rPr>
              <w:t>9,988</w:t>
            </w:r>
          </w:p>
        </w:tc>
        <w:tc>
          <w:tcPr>
            <w:tcW w:w="700" w:type="dxa"/>
            <w:vAlign w:val="bottom"/>
            <w:shd w:val="clear" w:color="auto" w:fill="9DBDE4"/>
          </w:tcPr>
          <w:p>
            <w:pPr>
              <w:jc w:val="right"/>
              <w:ind w:right="12"/>
              <w:spacing w:after="0" w:line="156" w:lineRule="exact"/>
              <w:rPr>
                <w:sz w:val="20"/>
                <w:szCs w:val="20"/>
                <w:color w:val="auto"/>
              </w:rPr>
            </w:pPr>
            <w:r>
              <w:rPr>
                <w:rFonts w:ascii="Arial" w:cs="Arial" w:eastAsia="Arial" w:hAnsi="Arial"/>
                <w:sz w:val="14"/>
                <w:szCs w:val="14"/>
                <w:color w:val="auto"/>
              </w:rPr>
              <w:t>19,976</w:t>
            </w:r>
          </w:p>
        </w:tc>
        <w:tc>
          <w:tcPr>
            <w:tcW w:w="740" w:type="dxa"/>
            <w:vAlign w:val="bottom"/>
            <w:gridSpan w:val="2"/>
            <w:shd w:val="clear" w:color="auto" w:fill="9DBDE4"/>
          </w:tcPr>
          <w:p>
            <w:pPr>
              <w:jc w:val="right"/>
              <w:ind w:right="21"/>
              <w:spacing w:after="0" w:line="156" w:lineRule="exact"/>
              <w:rPr>
                <w:sz w:val="20"/>
                <w:szCs w:val="20"/>
                <w:color w:val="auto"/>
              </w:rPr>
            </w:pPr>
            <w:r>
              <w:rPr>
                <w:rFonts w:ascii="Arial" w:cs="Arial" w:eastAsia="Arial" w:hAnsi="Arial"/>
                <w:sz w:val="14"/>
                <w:szCs w:val="14"/>
                <w:color w:val="auto"/>
              </w:rPr>
              <w:t>-</w:t>
            </w:r>
          </w:p>
        </w:tc>
        <w:tc>
          <w:tcPr>
            <w:tcW w:w="780" w:type="dxa"/>
            <w:vAlign w:val="bottom"/>
            <w:shd w:val="clear" w:color="auto" w:fill="9DBDE4"/>
          </w:tcPr>
          <w:p>
            <w:pPr>
              <w:jc w:val="right"/>
              <w:ind w:right="14"/>
              <w:spacing w:after="0" w:line="156" w:lineRule="exact"/>
              <w:rPr>
                <w:sz w:val="20"/>
                <w:szCs w:val="20"/>
                <w:color w:val="auto"/>
              </w:rPr>
            </w:pPr>
            <w:r>
              <w:rPr>
                <w:rFonts w:ascii="Arial" w:cs="Arial" w:eastAsia="Arial" w:hAnsi="Arial"/>
                <w:sz w:val="14"/>
                <w:szCs w:val="14"/>
                <w:color w:val="auto"/>
              </w:rPr>
              <w:t>269,077</w:t>
            </w:r>
          </w:p>
        </w:tc>
        <w:tc>
          <w:tcPr>
            <w:tcW w:w="0" w:type="dxa"/>
            <w:vAlign w:val="bottom"/>
          </w:tcPr>
          <w:p>
            <w:pPr>
              <w:spacing w:after="0"/>
              <w:rPr>
                <w:sz w:val="1"/>
                <w:szCs w:val="1"/>
                <w:color w:val="auto"/>
              </w:rPr>
            </w:pPr>
          </w:p>
        </w:tc>
      </w:tr>
      <w:tr>
        <w:trPr>
          <w:trHeight w:val="156"/>
        </w:trPr>
        <w:tc>
          <w:tcPr>
            <w:tcW w:w="2740" w:type="dxa"/>
            <w:vAlign w:val="bottom"/>
          </w:tcPr>
          <w:p>
            <w:pPr>
              <w:ind w:left="40"/>
              <w:spacing w:after="0" w:line="156" w:lineRule="exact"/>
              <w:rPr>
                <w:sz w:val="20"/>
                <w:szCs w:val="20"/>
                <w:color w:val="auto"/>
              </w:rPr>
            </w:pPr>
            <w:r>
              <w:rPr>
                <w:rFonts w:ascii="Arial" w:cs="Arial" w:eastAsia="Arial" w:hAnsi="Arial"/>
                <w:sz w:val="14"/>
                <w:szCs w:val="14"/>
                <w:color w:val="auto"/>
              </w:rPr>
              <w:t>Abraham Kuruvilla</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40" w:type="dxa"/>
            <w:vAlign w:val="bottom"/>
            <w:shd w:val="clear" w:color="auto" w:fill="E9ECF4"/>
          </w:tcPr>
          <w:p>
            <w:pPr>
              <w:ind w:left="200"/>
              <w:spacing w:after="0" w:line="156" w:lineRule="exact"/>
              <w:rPr>
                <w:sz w:val="20"/>
                <w:szCs w:val="20"/>
                <w:color w:val="auto"/>
              </w:rPr>
            </w:pPr>
            <w:r>
              <w:rPr>
                <w:rFonts w:ascii="Arial" w:cs="Arial" w:eastAsia="Arial" w:hAnsi="Arial"/>
                <w:sz w:val="14"/>
                <w:szCs w:val="14"/>
                <w:color w:val="auto"/>
              </w:rPr>
              <w:t>-2023 STIP</w:t>
            </w:r>
          </w:p>
        </w:tc>
        <w:tc>
          <w:tcPr>
            <w:tcW w:w="80" w:type="dxa"/>
            <w:vAlign w:val="bottom"/>
            <w:shd w:val="clear" w:color="auto" w:fill="E9ECF4"/>
          </w:tcPr>
          <w:p>
            <w:pPr>
              <w:spacing w:after="0"/>
              <w:rPr>
                <w:sz w:val="13"/>
                <w:szCs w:val="13"/>
                <w:color w:val="auto"/>
              </w:rPr>
            </w:pPr>
          </w:p>
        </w:tc>
        <w:tc>
          <w:tcPr>
            <w:tcW w:w="780" w:type="dxa"/>
            <w:vAlign w:val="bottom"/>
            <w:shd w:val="clear" w:color="auto" w:fill="E9ECF4"/>
          </w:tcPr>
          <w:p>
            <w:pPr>
              <w:spacing w:after="0"/>
              <w:rPr>
                <w:sz w:val="13"/>
                <w:szCs w:val="13"/>
                <w:color w:val="auto"/>
              </w:rPr>
            </w:pPr>
          </w:p>
        </w:tc>
        <w:tc>
          <w:tcPr>
            <w:tcW w:w="640" w:type="dxa"/>
            <w:vAlign w:val="bottom"/>
            <w:gridSpan w:val="2"/>
            <w:shd w:val="clear" w:color="auto" w:fill="E9ECF4"/>
          </w:tcPr>
          <w:p>
            <w:pPr>
              <w:jc w:val="right"/>
              <w:spacing w:after="0" w:line="156" w:lineRule="exact"/>
              <w:rPr>
                <w:sz w:val="20"/>
                <w:szCs w:val="20"/>
                <w:color w:val="auto"/>
              </w:rPr>
            </w:pPr>
            <w:r>
              <w:rPr>
                <w:rFonts w:ascii="Arial" w:cs="Arial" w:eastAsia="Arial" w:hAnsi="Arial"/>
                <w:sz w:val="14"/>
                <w:szCs w:val="14"/>
                <w:color w:val="auto"/>
              </w:rPr>
              <w:t>-</w:t>
            </w:r>
          </w:p>
        </w:tc>
        <w:tc>
          <w:tcPr>
            <w:tcW w:w="780" w:type="dxa"/>
            <w:vAlign w:val="bottom"/>
            <w:shd w:val="clear" w:color="auto" w:fill="E9ECF4"/>
          </w:tcPr>
          <w:p>
            <w:pPr>
              <w:jc w:val="right"/>
              <w:ind w:right="33"/>
              <w:spacing w:after="0" w:line="156" w:lineRule="exact"/>
              <w:rPr>
                <w:sz w:val="20"/>
                <w:szCs w:val="20"/>
                <w:color w:val="auto"/>
              </w:rPr>
            </w:pPr>
            <w:r>
              <w:rPr>
                <w:rFonts w:ascii="Arial" w:cs="Arial" w:eastAsia="Arial" w:hAnsi="Arial"/>
                <w:sz w:val="14"/>
                <w:szCs w:val="14"/>
                <w:color w:val="auto"/>
              </w:rPr>
              <w:t>-</w:t>
            </w:r>
          </w:p>
        </w:tc>
        <w:tc>
          <w:tcPr>
            <w:tcW w:w="760" w:type="dxa"/>
            <w:vAlign w:val="bottom"/>
            <w:shd w:val="clear" w:color="auto" w:fill="E9ECF4"/>
          </w:tcPr>
          <w:p>
            <w:pPr>
              <w:jc w:val="right"/>
              <w:ind w:right="12"/>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E9ECF4"/>
          </w:tcPr>
          <w:p>
            <w:pPr>
              <w:jc w:val="right"/>
              <w:spacing w:after="0" w:line="156" w:lineRule="exact"/>
              <w:rPr>
                <w:sz w:val="20"/>
                <w:szCs w:val="20"/>
                <w:color w:val="auto"/>
              </w:rPr>
            </w:pPr>
            <w:r>
              <w:rPr>
                <w:rFonts w:ascii="Arial" w:cs="Arial" w:eastAsia="Arial" w:hAnsi="Arial"/>
                <w:sz w:val="14"/>
                <w:szCs w:val="14"/>
                <w:color w:val="auto"/>
              </w:rPr>
              <w:t>-</w:t>
            </w:r>
          </w:p>
        </w:tc>
        <w:tc>
          <w:tcPr>
            <w:tcW w:w="640" w:type="dxa"/>
            <w:vAlign w:val="bottom"/>
            <w:shd w:val="clear" w:color="auto" w:fill="E9ECF4"/>
          </w:tcPr>
          <w:p>
            <w:pPr>
              <w:jc w:val="right"/>
              <w:ind w:right="33"/>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E9ECF4"/>
          </w:tcPr>
          <w:p>
            <w:pPr>
              <w:jc w:val="right"/>
              <w:ind w:right="12"/>
              <w:spacing w:after="0" w:line="156"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E9ECF4"/>
          </w:tcPr>
          <w:p>
            <w:pPr>
              <w:jc w:val="right"/>
              <w:ind w:right="21"/>
              <w:spacing w:after="0" w:line="156" w:lineRule="exact"/>
              <w:rPr>
                <w:sz w:val="20"/>
                <w:szCs w:val="20"/>
                <w:color w:val="auto"/>
              </w:rPr>
            </w:pPr>
            <w:r>
              <w:rPr>
                <w:rFonts w:ascii="Arial" w:cs="Arial" w:eastAsia="Arial" w:hAnsi="Arial"/>
                <w:sz w:val="14"/>
                <w:szCs w:val="14"/>
                <w:color w:val="auto"/>
              </w:rPr>
              <w:t>-</w:t>
            </w:r>
          </w:p>
        </w:tc>
        <w:tc>
          <w:tcPr>
            <w:tcW w:w="780" w:type="dxa"/>
            <w:vAlign w:val="bottom"/>
            <w:shd w:val="clear" w:color="auto" w:fill="E9ECF4"/>
          </w:tcPr>
          <w:p>
            <w:pPr>
              <w:jc w:val="right"/>
              <w:ind w:right="14"/>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740" w:type="dxa"/>
            <w:vAlign w:val="bottom"/>
            <w:tcBorders>
              <w:bottom w:val="single" w:sz="8" w:color="284993"/>
            </w:tcBorders>
          </w:tcPr>
          <w:p>
            <w:pPr>
              <w:ind w:left="200"/>
              <w:spacing w:after="0" w:line="156" w:lineRule="exact"/>
              <w:rPr>
                <w:sz w:val="20"/>
                <w:szCs w:val="20"/>
                <w:color w:val="auto"/>
              </w:rPr>
            </w:pPr>
            <w:r>
              <w:rPr>
                <w:rFonts w:ascii="Arial" w:cs="Arial" w:eastAsia="Arial" w:hAnsi="Arial"/>
                <w:sz w:val="14"/>
                <w:szCs w:val="14"/>
                <w:color w:val="auto"/>
              </w:rPr>
              <w:t>-Restricted Share Units</w:t>
            </w:r>
          </w:p>
        </w:tc>
        <w:tc>
          <w:tcPr>
            <w:tcW w:w="860" w:type="dxa"/>
            <w:vAlign w:val="bottom"/>
            <w:tcBorders>
              <w:bottom w:val="single" w:sz="8" w:color="284993"/>
            </w:tcBorders>
            <w:gridSpan w:val="2"/>
          </w:tcPr>
          <w:p>
            <w:pPr>
              <w:jc w:val="right"/>
              <w:ind w:right="34"/>
              <w:spacing w:after="0" w:line="156" w:lineRule="exact"/>
              <w:rPr>
                <w:sz w:val="20"/>
                <w:szCs w:val="20"/>
                <w:color w:val="auto"/>
              </w:rPr>
            </w:pPr>
            <w:r>
              <w:rPr>
                <w:rFonts w:ascii="Arial" w:cs="Arial" w:eastAsia="Arial" w:hAnsi="Arial"/>
                <w:sz w:val="14"/>
                <w:szCs w:val="14"/>
                <w:color w:val="auto"/>
              </w:rPr>
              <w:t>11/29/2023</w:t>
            </w:r>
          </w:p>
        </w:tc>
        <w:tc>
          <w:tcPr>
            <w:tcW w:w="640" w:type="dxa"/>
            <w:vAlign w:val="bottom"/>
            <w:tcBorders>
              <w:bottom w:val="single" w:sz="8" w:color="284993"/>
            </w:tcBorders>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284993"/>
            </w:tcBorders>
          </w:tcPr>
          <w:p>
            <w:pPr>
              <w:jc w:val="right"/>
              <w:ind w:right="33"/>
              <w:spacing w:after="0" w:line="156"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284993"/>
            </w:tcBorders>
          </w:tcPr>
          <w:p>
            <w:pPr>
              <w:jc w:val="right"/>
              <w:ind w:right="12"/>
              <w:spacing w:after="0" w:line="156"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284993"/>
            </w:tcBorders>
          </w:tcPr>
          <w:p>
            <w:pPr>
              <w:jc w:val="right"/>
              <w:spacing w:after="0" w:line="156"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284993"/>
            </w:tcBorders>
          </w:tcPr>
          <w:p>
            <w:pPr>
              <w:jc w:val="right"/>
              <w:ind w:right="33"/>
              <w:spacing w:after="0" w:line="156"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284993"/>
            </w:tcBorders>
          </w:tcPr>
          <w:p>
            <w:pPr>
              <w:jc w:val="right"/>
              <w:ind w:right="12"/>
              <w:spacing w:after="0" w:line="156"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284993"/>
            </w:tcBorders>
            <w:gridSpan w:val="2"/>
          </w:tcPr>
          <w:p>
            <w:pPr>
              <w:jc w:val="right"/>
              <w:ind w:right="21"/>
              <w:spacing w:after="0" w:line="156" w:lineRule="exact"/>
              <w:rPr>
                <w:sz w:val="20"/>
                <w:szCs w:val="20"/>
                <w:color w:val="auto"/>
              </w:rPr>
            </w:pPr>
            <w:r>
              <w:rPr>
                <w:rFonts w:ascii="Arial" w:cs="Arial" w:eastAsia="Arial" w:hAnsi="Arial"/>
                <w:sz w:val="14"/>
                <w:szCs w:val="14"/>
                <w:color w:val="auto"/>
              </w:rPr>
              <w:t>58,932</w:t>
            </w:r>
          </w:p>
        </w:tc>
        <w:tc>
          <w:tcPr>
            <w:tcW w:w="780" w:type="dxa"/>
            <w:vAlign w:val="bottom"/>
            <w:tcBorders>
              <w:bottom w:val="single" w:sz="8" w:color="284993"/>
            </w:tcBorders>
          </w:tcPr>
          <w:p>
            <w:pPr>
              <w:jc w:val="right"/>
              <w:ind w:right="14"/>
              <w:spacing w:after="0" w:line="156" w:lineRule="exact"/>
              <w:rPr>
                <w:sz w:val="20"/>
                <w:szCs w:val="20"/>
                <w:color w:val="auto"/>
              </w:rPr>
            </w:pPr>
            <w:r>
              <w:rPr>
                <w:rFonts w:ascii="Arial" w:cs="Arial" w:eastAsia="Arial" w:hAnsi="Arial"/>
                <w:sz w:val="14"/>
                <w:szCs w:val="14"/>
                <w:color w:val="auto"/>
              </w:rPr>
              <w:t>1,600,004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-2738755</wp:posOffset>
            </wp:positionV>
            <wp:extent cx="5941060" cy="27393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41060" cy="2739390"/>
                    </a:xfrm>
                    <a:prstGeom prst="rect">
                      <a:avLst/>
                    </a:prstGeom>
                    <a:noFill/>
                  </pic:spPr>
                </pic:pic>
              </a:graphicData>
            </a:graphic>
          </wp:anchor>
        </w:drawing>
      </w:r>
    </w:p>
    <w:p>
      <w:pPr>
        <w:spacing w:after="0" w:line="40" w:lineRule="exact"/>
        <w:rPr>
          <w:sz w:val="20"/>
          <w:szCs w:val="20"/>
          <w:color w:val="auto"/>
        </w:rPr>
      </w:pPr>
    </w:p>
    <w:p>
      <w:pPr>
        <w:ind w:left="280" w:right="180" w:hanging="274"/>
        <w:spacing w:after="0" w:line="199" w:lineRule="auto"/>
        <w:tabs>
          <w:tab w:leader="none" w:pos="280" w:val="left"/>
        </w:tabs>
        <w:numPr>
          <w:ilvl w:val="0"/>
          <w:numId w:val="47"/>
        </w:numPr>
        <w:rPr>
          <w:rFonts w:ascii="Arial" w:cs="Arial" w:eastAsia="Arial" w:hAnsi="Arial"/>
          <w:sz w:val="18"/>
          <w:szCs w:val="18"/>
          <w:color w:val="auto"/>
          <w:vertAlign w:val="superscript"/>
        </w:rPr>
      </w:pPr>
      <w:r>
        <w:rPr>
          <w:rFonts w:ascii="Arial" w:cs="Arial" w:eastAsia="Arial" w:hAnsi="Arial"/>
          <w:sz w:val="12"/>
          <w:szCs w:val="12"/>
          <w:color w:val="auto"/>
        </w:rPr>
        <w:t>The amounts shown are possible payouts under the 2023 STIP (and, for Mr. Silva, his sales incentive plan). Mr. Silva was also eligible for a sales incentive plan with a target amount that represents 50% of his salary as of January 1, 2023. For more information regarding these awards, see “Compensation Discussion and Analysis— Compensation Elements—Annual Cash Incentive Awards.”</w:t>
      </w:r>
    </w:p>
    <w:p>
      <w:pPr>
        <w:spacing w:after="0" w:line="1" w:lineRule="exact"/>
        <w:rPr>
          <w:rFonts w:ascii="Arial" w:cs="Arial" w:eastAsia="Arial" w:hAnsi="Arial"/>
          <w:sz w:val="18"/>
          <w:szCs w:val="18"/>
          <w:color w:val="auto"/>
          <w:vertAlign w:val="superscript"/>
        </w:rPr>
      </w:pPr>
    </w:p>
    <w:p>
      <w:pPr>
        <w:ind w:left="280" w:right="120" w:hanging="274"/>
        <w:spacing w:after="0" w:line="213" w:lineRule="auto"/>
        <w:tabs>
          <w:tab w:leader="none" w:pos="280" w:val="left"/>
        </w:tabs>
        <w:numPr>
          <w:ilvl w:val="0"/>
          <w:numId w:val="47"/>
        </w:numPr>
        <w:rPr>
          <w:rFonts w:ascii="Arial" w:cs="Arial" w:eastAsia="Arial" w:hAnsi="Arial"/>
          <w:sz w:val="18"/>
          <w:szCs w:val="18"/>
          <w:color w:val="auto"/>
          <w:vertAlign w:val="superscript"/>
        </w:rPr>
      </w:pPr>
      <w:r>
        <w:rPr>
          <w:rFonts w:ascii="Arial" w:cs="Arial" w:eastAsia="Arial" w:hAnsi="Arial"/>
          <w:sz w:val="12"/>
          <w:szCs w:val="12"/>
          <w:color w:val="auto"/>
        </w:rPr>
        <w:t>The awards shown in columns (f) through (h) reflect shares of our common stock issuable in connection with PSU awards granted to our Named Executive Officers in 2023. Consistent with the requirements of FASB ASC Topic 718, the amounts represent the first third of the PSU award made in fiscal 2023 for which the grant date fair value was established in fiscal 2023. The shares earned from this award are scheduled to vest at the end of the approximately three-year performance period based on achievement of the applicable performance objectives. These awards were granted pursuant to the terms of the 2020 Equity Plan (amended and restated effective June 1, 2023). The amount in column (f) is the number of shares issuable for threshold performance; the amount in column (g) is the number of shares issuable for on-target performance; and the amount in column (h) is the number of shares issuable for maximum performance.</w:t>
      </w:r>
    </w:p>
    <w:p>
      <w:pPr>
        <w:spacing w:after="0" w:line="123" w:lineRule="exact"/>
        <w:rPr>
          <w:sz w:val="20"/>
          <w:szCs w:val="20"/>
          <w:color w:val="auto"/>
        </w:rPr>
      </w:pPr>
    </w:p>
    <w:p>
      <w:pPr>
        <w:ind w:left="7460"/>
        <w:spacing w:after="0"/>
        <w:rPr>
          <w:sz w:val="20"/>
          <w:szCs w:val="20"/>
          <w:color w:val="auto"/>
        </w:rPr>
      </w:pPr>
      <w:r>
        <w:rPr>
          <w:rFonts w:ascii="Arial" w:cs="Arial" w:eastAsia="Arial" w:hAnsi="Arial"/>
          <w:sz w:val="13"/>
          <w:szCs w:val="13"/>
          <w:color w:val="auto"/>
        </w:rPr>
        <w:t>2024 PROXY STATEMENT</w:t>
      </w:r>
      <w:r>
        <w:rPr>
          <w:rFonts w:ascii="Arial" w:cs="Arial" w:eastAsia="Arial" w:hAnsi="Arial"/>
          <w:sz w:val="13"/>
          <w:szCs w:val="13"/>
          <w:b w:val="1"/>
          <w:bCs w:val="1"/>
          <w:color w:val="284993"/>
        </w:rPr>
        <w:t xml:space="preserve">  59</w:t>
      </w:r>
    </w:p>
    <w:p>
      <w:pPr>
        <w:sectPr>
          <w:pgSz w:w="11900" w:h="16838" w:orient="portrait"/>
          <w:cols w:equalWidth="0" w:num="1">
            <w:col w:w="9360"/>
          </w:cols>
          <w:pgMar w:left="1260" w:top="241" w:right="1279" w:bottom="1440" w:gutter="0" w:footer="0" w:header="0"/>
        </w:sectPr>
      </w:pPr>
    </w:p>
    <w:bookmarkStart w:id="65" w:name="page66"/>
    <w:bookmarkEnd w:id="65"/>
    <w:p>
      <w:pPr>
        <w:ind w:left="280" w:right="440" w:hanging="274"/>
        <w:spacing w:after="0" w:line="189" w:lineRule="auto"/>
        <w:tabs>
          <w:tab w:leader="none" w:pos="280" w:val="left"/>
        </w:tabs>
        <w:numPr>
          <w:ilvl w:val="0"/>
          <w:numId w:val="48"/>
        </w:numPr>
        <w:rPr>
          <w:rFonts w:ascii="Arial" w:cs="Arial" w:eastAsia="Arial" w:hAnsi="Arial"/>
          <w:sz w:val="18"/>
          <w:szCs w:val="18"/>
          <w:color w:val="auto"/>
          <w:vertAlign w:val="superscript"/>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The awards shown in column (i) reflect RSUs granted to our Named Executive Officers in 2023, as further described above under “Compensation Discussion and Analysis—Compensation Elements—Long-Term Incentive Compensation.”</w:t>
      </w:r>
    </w:p>
    <w:p>
      <w:pPr>
        <w:jc w:val="both"/>
        <w:ind w:left="280" w:right="60" w:hanging="274"/>
        <w:spacing w:after="0" w:line="211" w:lineRule="auto"/>
        <w:tabs>
          <w:tab w:leader="none" w:pos="280" w:val="left"/>
        </w:tabs>
        <w:numPr>
          <w:ilvl w:val="0"/>
          <w:numId w:val="48"/>
        </w:numPr>
        <w:rPr>
          <w:rFonts w:ascii="Arial" w:cs="Arial" w:eastAsia="Arial" w:hAnsi="Arial"/>
          <w:sz w:val="18"/>
          <w:szCs w:val="18"/>
          <w:color w:val="auto"/>
          <w:vertAlign w:val="superscript"/>
        </w:rPr>
      </w:pPr>
      <w:r>
        <w:rPr>
          <w:rFonts w:ascii="Arial" w:cs="Arial" w:eastAsia="Arial" w:hAnsi="Arial"/>
          <w:sz w:val="12"/>
          <w:szCs w:val="12"/>
          <w:color w:val="auto"/>
        </w:rPr>
        <w:t>The grant date fair value of each equity award granted during 2023 was computed in accordance with FASB ASC Topic 718, excluding the effect of estimated forfeitures. For equity awards that are subject to performance conditions, the amounts reflected in column (l) reflect the value at the grant date based upon the probable outcome of such conditions and this amount is consistent with the estimate of the aggregate compensation cost to be recognized over the service period determined as of the grant date under FASB ASC Topic 718, excluding the effect of estimated forfeitures. The probable outcome used for the calculation of the PSUs granted during 2023 is based on the achievement of target performance for each metric.</w:t>
      </w:r>
    </w:p>
    <w:p>
      <w:pPr>
        <w:spacing w:after="0" w:line="174"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Outstanding Equity Awards at 2023 Fiscal Year-End</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The following table sets forth the outstanding equity awards for each of our Named Executive Officers for the year ended December 31, 2023.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500" w:type="dxa"/>
            <w:vAlign w:val="bottom"/>
            <w:shd w:val="clear" w:color="auto" w:fill="284993"/>
          </w:tcPr>
          <w:p>
            <w:pPr>
              <w:spacing w:after="0"/>
              <w:rPr>
                <w:sz w:val="12"/>
                <w:szCs w:val="12"/>
                <w:color w:val="auto"/>
              </w:rPr>
            </w:pPr>
          </w:p>
        </w:tc>
        <w:tc>
          <w:tcPr>
            <w:tcW w:w="80" w:type="dxa"/>
            <w:vAlign w:val="bottom"/>
            <w:shd w:val="clear" w:color="auto" w:fill="284993"/>
          </w:tcPr>
          <w:p>
            <w:pPr>
              <w:spacing w:after="0"/>
              <w:rPr>
                <w:sz w:val="12"/>
                <w:szCs w:val="12"/>
                <w:color w:val="auto"/>
              </w:rPr>
            </w:pPr>
          </w:p>
        </w:tc>
        <w:tc>
          <w:tcPr>
            <w:tcW w:w="620" w:type="dxa"/>
            <w:vAlign w:val="bottom"/>
            <w:shd w:val="clear" w:color="auto" w:fill="284993"/>
          </w:tcPr>
          <w:p>
            <w:pPr>
              <w:spacing w:after="0"/>
              <w:rPr>
                <w:sz w:val="12"/>
                <w:szCs w:val="12"/>
                <w:color w:val="auto"/>
              </w:rPr>
            </w:pPr>
          </w:p>
        </w:tc>
        <w:tc>
          <w:tcPr>
            <w:tcW w:w="800" w:type="dxa"/>
            <w:vAlign w:val="bottom"/>
            <w:shd w:val="clear" w:color="auto" w:fill="284993"/>
          </w:tcPr>
          <w:p>
            <w:pPr>
              <w:spacing w:after="0"/>
              <w:rPr>
                <w:sz w:val="12"/>
                <w:szCs w:val="12"/>
                <w:color w:val="auto"/>
              </w:rPr>
            </w:pPr>
          </w:p>
        </w:tc>
        <w:tc>
          <w:tcPr>
            <w:tcW w:w="1020" w:type="dxa"/>
            <w:vAlign w:val="bottom"/>
            <w:shd w:val="clear" w:color="auto" w:fill="284993"/>
          </w:tcPr>
          <w:p>
            <w:pPr>
              <w:jc w:val="right"/>
              <w:ind w:right="79"/>
              <w:spacing w:after="0"/>
              <w:rPr>
                <w:sz w:val="20"/>
                <w:szCs w:val="20"/>
                <w:color w:val="auto"/>
              </w:rPr>
            </w:pPr>
            <w:r>
              <w:rPr>
                <w:rFonts w:ascii="Arial" w:cs="Arial" w:eastAsia="Arial" w:hAnsi="Arial"/>
                <w:sz w:val="12"/>
                <w:szCs w:val="12"/>
                <w:b w:val="1"/>
                <w:bCs w:val="1"/>
                <w:color w:val="FFFFFF"/>
              </w:rPr>
              <w:t>Option Awards</w:t>
            </w:r>
          </w:p>
        </w:tc>
        <w:tc>
          <w:tcPr>
            <w:tcW w:w="660" w:type="dxa"/>
            <w:vAlign w:val="bottom"/>
            <w:shd w:val="clear" w:color="auto" w:fill="284993"/>
          </w:tcPr>
          <w:p>
            <w:pPr>
              <w:spacing w:after="0"/>
              <w:rPr>
                <w:sz w:val="12"/>
                <w:szCs w:val="12"/>
                <w:color w:val="auto"/>
              </w:rPr>
            </w:pPr>
          </w:p>
        </w:tc>
        <w:tc>
          <w:tcPr>
            <w:tcW w:w="740" w:type="dxa"/>
            <w:vAlign w:val="bottom"/>
            <w:shd w:val="clear" w:color="auto" w:fill="284993"/>
          </w:tcPr>
          <w:p>
            <w:pPr>
              <w:spacing w:after="0"/>
              <w:rPr>
                <w:sz w:val="12"/>
                <w:szCs w:val="12"/>
                <w:color w:val="auto"/>
              </w:rPr>
            </w:pPr>
          </w:p>
        </w:tc>
        <w:tc>
          <w:tcPr>
            <w:tcW w:w="820" w:type="dxa"/>
            <w:vAlign w:val="bottom"/>
            <w:shd w:val="clear" w:color="auto" w:fill="284993"/>
          </w:tcPr>
          <w:p>
            <w:pPr>
              <w:spacing w:after="0"/>
              <w:rPr>
                <w:sz w:val="12"/>
                <w:szCs w:val="12"/>
                <w:color w:val="auto"/>
              </w:rPr>
            </w:pPr>
          </w:p>
        </w:tc>
        <w:tc>
          <w:tcPr>
            <w:tcW w:w="720" w:type="dxa"/>
            <w:vAlign w:val="bottom"/>
            <w:shd w:val="clear" w:color="auto" w:fill="284993"/>
          </w:tcPr>
          <w:p>
            <w:pPr>
              <w:spacing w:after="0"/>
              <w:rPr>
                <w:sz w:val="12"/>
                <w:szCs w:val="12"/>
                <w:color w:val="auto"/>
              </w:rPr>
            </w:pPr>
          </w:p>
        </w:tc>
        <w:tc>
          <w:tcPr>
            <w:tcW w:w="1200" w:type="dxa"/>
            <w:vAlign w:val="bottom"/>
            <w:shd w:val="clear" w:color="auto" w:fill="284993"/>
          </w:tcPr>
          <w:p>
            <w:pPr>
              <w:jc w:val="right"/>
              <w:ind w:right="321"/>
              <w:spacing w:after="0"/>
              <w:rPr>
                <w:sz w:val="20"/>
                <w:szCs w:val="20"/>
                <w:color w:val="auto"/>
              </w:rPr>
            </w:pPr>
            <w:r>
              <w:rPr>
                <w:rFonts w:ascii="Arial" w:cs="Arial" w:eastAsia="Arial" w:hAnsi="Arial"/>
                <w:sz w:val="12"/>
                <w:szCs w:val="12"/>
                <w:b w:val="1"/>
                <w:bCs w:val="1"/>
                <w:color w:val="FFFFFF"/>
              </w:rPr>
              <w:t>Stock Awards</w:t>
            </w:r>
          </w:p>
        </w:tc>
        <w:tc>
          <w:tcPr>
            <w:tcW w:w="1180" w:type="dxa"/>
            <w:vAlign w:val="bottom"/>
            <w:shd w:val="clear" w:color="auto" w:fill="284993"/>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00" w:type="dxa"/>
            <w:vAlign w:val="bottom"/>
            <w:shd w:val="clear" w:color="auto" w:fill="284993"/>
          </w:tcPr>
          <w:p>
            <w:pPr>
              <w:spacing w:after="0"/>
              <w:rPr>
                <w:sz w:val="10"/>
                <w:szCs w:val="10"/>
                <w:color w:val="auto"/>
              </w:rPr>
            </w:pPr>
          </w:p>
        </w:tc>
        <w:tc>
          <w:tcPr>
            <w:tcW w:w="80" w:type="dxa"/>
            <w:vAlign w:val="bottom"/>
            <w:shd w:val="clear" w:color="auto" w:fill="284993"/>
          </w:tcPr>
          <w:p>
            <w:pPr>
              <w:spacing w:after="0"/>
              <w:rPr>
                <w:sz w:val="10"/>
                <w:szCs w:val="10"/>
                <w:color w:val="auto"/>
              </w:rPr>
            </w:pPr>
          </w:p>
        </w:tc>
        <w:tc>
          <w:tcPr>
            <w:tcW w:w="620" w:type="dxa"/>
            <w:vAlign w:val="bottom"/>
            <w:shd w:val="clear" w:color="auto" w:fill="284993"/>
          </w:tcPr>
          <w:p>
            <w:pPr>
              <w:spacing w:after="0"/>
              <w:rPr>
                <w:sz w:val="10"/>
                <w:szCs w:val="10"/>
                <w:color w:val="auto"/>
              </w:rPr>
            </w:pPr>
          </w:p>
        </w:tc>
        <w:tc>
          <w:tcPr>
            <w:tcW w:w="800" w:type="dxa"/>
            <w:vAlign w:val="bottom"/>
            <w:shd w:val="clear" w:color="auto" w:fill="284993"/>
          </w:tcPr>
          <w:p>
            <w:pPr>
              <w:spacing w:after="0"/>
              <w:rPr>
                <w:sz w:val="10"/>
                <w:szCs w:val="10"/>
                <w:color w:val="auto"/>
              </w:rPr>
            </w:pPr>
          </w:p>
        </w:tc>
        <w:tc>
          <w:tcPr>
            <w:tcW w:w="1020" w:type="dxa"/>
            <w:vAlign w:val="bottom"/>
            <w:shd w:val="clear" w:color="auto" w:fill="284993"/>
          </w:tcPr>
          <w:p>
            <w:pPr>
              <w:spacing w:after="0"/>
              <w:rPr>
                <w:sz w:val="10"/>
                <w:szCs w:val="10"/>
                <w:color w:val="auto"/>
              </w:rPr>
            </w:pPr>
          </w:p>
        </w:tc>
        <w:tc>
          <w:tcPr>
            <w:tcW w:w="660" w:type="dxa"/>
            <w:vAlign w:val="bottom"/>
            <w:shd w:val="clear" w:color="auto" w:fill="284993"/>
          </w:tcPr>
          <w:p>
            <w:pPr>
              <w:spacing w:after="0"/>
              <w:rPr>
                <w:sz w:val="10"/>
                <w:szCs w:val="10"/>
                <w:color w:val="auto"/>
              </w:rPr>
            </w:pPr>
          </w:p>
        </w:tc>
        <w:tc>
          <w:tcPr>
            <w:tcW w:w="740" w:type="dxa"/>
            <w:vAlign w:val="bottom"/>
            <w:shd w:val="clear" w:color="auto" w:fill="284993"/>
          </w:tcPr>
          <w:p>
            <w:pPr>
              <w:spacing w:after="0"/>
              <w:rPr>
                <w:sz w:val="10"/>
                <w:szCs w:val="10"/>
                <w:color w:val="auto"/>
              </w:rPr>
            </w:pPr>
          </w:p>
        </w:tc>
        <w:tc>
          <w:tcPr>
            <w:tcW w:w="820" w:type="dxa"/>
            <w:vAlign w:val="bottom"/>
            <w:shd w:val="clear" w:color="auto" w:fill="284993"/>
          </w:tcPr>
          <w:p>
            <w:pPr>
              <w:spacing w:after="0"/>
              <w:rPr>
                <w:sz w:val="10"/>
                <w:szCs w:val="10"/>
                <w:color w:val="auto"/>
              </w:rPr>
            </w:pPr>
          </w:p>
        </w:tc>
        <w:tc>
          <w:tcPr>
            <w:tcW w:w="720" w:type="dxa"/>
            <w:vAlign w:val="bottom"/>
            <w:shd w:val="clear" w:color="auto" w:fill="284993"/>
          </w:tcPr>
          <w:p>
            <w:pPr>
              <w:spacing w:after="0"/>
              <w:rPr>
                <w:sz w:val="10"/>
                <w:szCs w:val="10"/>
                <w:color w:val="auto"/>
              </w:rPr>
            </w:pPr>
          </w:p>
        </w:tc>
        <w:tc>
          <w:tcPr>
            <w:tcW w:w="1200" w:type="dxa"/>
            <w:vAlign w:val="bottom"/>
            <w:shd w:val="clear" w:color="auto" w:fill="284993"/>
          </w:tcPr>
          <w:p>
            <w:pPr>
              <w:jc w:val="center"/>
              <w:ind w:right="1"/>
              <w:spacing w:after="0" w:line="125" w:lineRule="exact"/>
              <w:rPr>
                <w:sz w:val="20"/>
                <w:szCs w:val="20"/>
                <w:color w:val="auto"/>
              </w:rPr>
            </w:pPr>
            <w:r>
              <w:rPr>
                <w:rFonts w:ascii="Arial" w:cs="Arial" w:eastAsia="Arial" w:hAnsi="Arial"/>
                <w:sz w:val="12"/>
                <w:szCs w:val="12"/>
                <w:b w:val="1"/>
                <w:bCs w:val="1"/>
                <w:color w:val="FFFFFF"/>
              </w:rPr>
              <w:t>Equity</w:t>
            </w:r>
          </w:p>
        </w:tc>
        <w:tc>
          <w:tcPr>
            <w:tcW w:w="118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w w:val="99"/>
              </w:rPr>
              <w:t>Equity Incentive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284993"/>
          </w:tcPr>
          <w:p>
            <w:pPr>
              <w:spacing w:after="0"/>
              <w:rPr>
                <w:sz w:val="11"/>
                <w:szCs w:val="11"/>
                <w:color w:val="auto"/>
              </w:rPr>
            </w:pPr>
          </w:p>
        </w:tc>
        <w:tc>
          <w:tcPr>
            <w:tcW w:w="80" w:type="dxa"/>
            <w:vAlign w:val="bottom"/>
            <w:shd w:val="clear" w:color="auto" w:fill="284993"/>
          </w:tcPr>
          <w:p>
            <w:pPr>
              <w:spacing w:after="0"/>
              <w:rPr>
                <w:sz w:val="11"/>
                <w:szCs w:val="11"/>
                <w:color w:val="auto"/>
              </w:rPr>
            </w:pPr>
          </w:p>
        </w:tc>
        <w:tc>
          <w:tcPr>
            <w:tcW w:w="620" w:type="dxa"/>
            <w:vAlign w:val="bottom"/>
            <w:shd w:val="clear" w:color="auto" w:fill="284993"/>
          </w:tcPr>
          <w:p>
            <w:pPr>
              <w:spacing w:after="0"/>
              <w:rPr>
                <w:sz w:val="11"/>
                <w:szCs w:val="11"/>
                <w:color w:val="auto"/>
              </w:rPr>
            </w:pPr>
          </w:p>
        </w:tc>
        <w:tc>
          <w:tcPr>
            <w:tcW w:w="800" w:type="dxa"/>
            <w:vAlign w:val="bottom"/>
            <w:shd w:val="clear" w:color="auto" w:fill="284993"/>
          </w:tcPr>
          <w:p>
            <w:pPr>
              <w:spacing w:after="0"/>
              <w:rPr>
                <w:sz w:val="11"/>
                <w:szCs w:val="11"/>
                <w:color w:val="auto"/>
              </w:rPr>
            </w:pPr>
          </w:p>
        </w:tc>
        <w:tc>
          <w:tcPr>
            <w:tcW w:w="1020" w:type="dxa"/>
            <w:vAlign w:val="bottom"/>
            <w:shd w:val="clear" w:color="auto" w:fill="284993"/>
          </w:tcPr>
          <w:p>
            <w:pPr>
              <w:spacing w:after="0"/>
              <w:rPr>
                <w:sz w:val="11"/>
                <w:szCs w:val="11"/>
                <w:color w:val="auto"/>
              </w:rPr>
            </w:pPr>
          </w:p>
        </w:tc>
        <w:tc>
          <w:tcPr>
            <w:tcW w:w="660" w:type="dxa"/>
            <w:vAlign w:val="bottom"/>
            <w:shd w:val="clear" w:color="auto" w:fill="284993"/>
          </w:tcPr>
          <w:p>
            <w:pPr>
              <w:spacing w:after="0"/>
              <w:rPr>
                <w:sz w:val="11"/>
                <w:szCs w:val="11"/>
                <w:color w:val="auto"/>
              </w:rPr>
            </w:pPr>
          </w:p>
        </w:tc>
        <w:tc>
          <w:tcPr>
            <w:tcW w:w="740" w:type="dxa"/>
            <w:vAlign w:val="bottom"/>
            <w:shd w:val="clear" w:color="auto" w:fill="284993"/>
          </w:tcPr>
          <w:p>
            <w:pPr>
              <w:spacing w:after="0"/>
              <w:rPr>
                <w:sz w:val="11"/>
                <w:szCs w:val="11"/>
                <w:color w:val="auto"/>
              </w:rPr>
            </w:pPr>
          </w:p>
        </w:tc>
        <w:tc>
          <w:tcPr>
            <w:tcW w:w="820" w:type="dxa"/>
            <w:vAlign w:val="bottom"/>
            <w:vMerge w:val="restart"/>
            <w:shd w:val="clear" w:color="auto" w:fill="284993"/>
          </w:tcPr>
          <w:p>
            <w:pPr>
              <w:jc w:val="center"/>
              <w:ind w:right="61"/>
              <w:spacing w:after="0"/>
              <w:rPr>
                <w:sz w:val="20"/>
                <w:szCs w:val="20"/>
                <w:color w:val="auto"/>
              </w:rPr>
            </w:pPr>
            <w:r>
              <w:rPr>
                <w:rFonts w:ascii="Arial" w:cs="Arial" w:eastAsia="Arial" w:hAnsi="Arial"/>
                <w:sz w:val="12"/>
                <w:szCs w:val="12"/>
                <w:b w:val="1"/>
                <w:bCs w:val="1"/>
                <w:color w:val="FFFFFF"/>
              </w:rPr>
              <w:t>Number</w:t>
            </w:r>
          </w:p>
        </w:tc>
        <w:tc>
          <w:tcPr>
            <w:tcW w:w="72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rPr>
              <w:t>Market</w:t>
            </w:r>
          </w:p>
        </w:tc>
        <w:tc>
          <w:tcPr>
            <w:tcW w:w="1200" w:type="dxa"/>
            <w:vAlign w:val="bottom"/>
            <w:shd w:val="clear" w:color="auto" w:fill="284993"/>
          </w:tcPr>
          <w:p>
            <w:pPr>
              <w:jc w:val="center"/>
              <w:ind w:right="1"/>
              <w:spacing w:after="0" w:line="130" w:lineRule="exact"/>
              <w:rPr>
                <w:sz w:val="20"/>
                <w:szCs w:val="20"/>
                <w:color w:val="auto"/>
              </w:rPr>
            </w:pPr>
            <w:r>
              <w:rPr>
                <w:rFonts w:ascii="Arial" w:cs="Arial" w:eastAsia="Arial" w:hAnsi="Arial"/>
                <w:sz w:val="12"/>
                <w:szCs w:val="12"/>
                <w:b w:val="1"/>
                <w:bCs w:val="1"/>
                <w:color w:val="FFFFFF"/>
              </w:rPr>
              <w:t>Incentive Plan</w:t>
            </w:r>
          </w:p>
        </w:tc>
        <w:tc>
          <w:tcPr>
            <w:tcW w:w="1180" w:type="dxa"/>
            <w:vAlign w:val="bottom"/>
            <w:vMerge w:val="continue"/>
            <w:shd w:val="clear" w:color="auto" w:fill="284993"/>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284993"/>
          </w:tcPr>
          <w:p>
            <w:pPr>
              <w:spacing w:after="0"/>
              <w:rPr>
                <w:sz w:val="11"/>
                <w:szCs w:val="11"/>
                <w:color w:val="auto"/>
              </w:rPr>
            </w:pPr>
          </w:p>
        </w:tc>
        <w:tc>
          <w:tcPr>
            <w:tcW w:w="80" w:type="dxa"/>
            <w:vAlign w:val="bottom"/>
            <w:shd w:val="clear" w:color="auto" w:fill="284993"/>
          </w:tcPr>
          <w:p>
            <w:pPr>
              <w:spacing w:after="0"/>
              <w:rPr>
                <w:sz w:val="11"/>
                <w:szCs w:val="11"/>
                <w:color w:val="auto"/>
              </w:rPr>
            </w:pPr>
          </w:p>
        </w:tc>
        <w:tc>
          <w:tcPr>
            <w:tcW w:w="620" w:type="dxa"/>
            <w:vAlign w:val="bottom"/>
            <w:shd w:val="clear" w:color="auto" w:fill="284993"/>
          </w:tcPr>
          <w:p>
            <w:pPr>
              <w:spacing w:after="0"/>
              <w:rPr>
                <w:sz w:val="11"/>
                <w:szCs w:val="11"/>
                <w:color w:val="auto"/>
              </w:rPr>
            </w:pPr>
          </w:p>
        </w:tc>
        <w:tc>
          <w:tcPr>
            <w:tcW w:w="80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rPr>
              <w:t>Number of</w:t>
            </w:r>
          </w:p>
        </w:tc>
        <w:tc>
          <w:tcPr>
            <w:tcW w:w="102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w w:val="99"/>
              </w:rPr>
              <w:t>Number of</w:t>
            </w:r>
          </w:p>
        </w:tc>
        <w:tc>
          <w:tcPr>
            <w:tcW w:w="660" w:type="dxa"/>
            <w:vAlign w:val="bottom"/>
            <w:shd w:val="clear" w:color="auto" w:fill="284993"/>
          </w:tcPr>
          <w:p>
            <w:pPr>
              <w:spacing w:after="0"/>
              <w:rPr>
                <w:sz w:val="11"/>
                <w:szCs w:val="11"/>
                <w:color w:val="auto"/>
              </w:rPr>
            </w:pPr>
          </w:p>
        </w:tc>
        <w:tc>
          <w:tcPr>
            <w:tcW w:w="740" w:type="dxa"/>
            <w:vAlign w:val="bottom"/>
            <w:shd w:val="clear" w:color="auto" w:fill="284993"/>
          </w:tcPr>
          <w:p>
            <w:pPr>
              <w:spacing w:after="0"/>
              <w:rPr>
                <w:sz w:val="11"/>
                <w:szCs w:val="11"/>
                <w:color w:val="auto"/>
              </w:rPr>
            </w:pPr>
          </w:p>
        </w:tc>
        <w:tc>
          <w:tcPr>
            <w:tcW w:w="820" w:type="dxa"/>
            <w:vAlign w:val="bottom"/>
            <w:vMerge w:val="continue"/>
            <w:shd w:val="clear" w:color="auto" w:fill="284993"/>
          </w:tcPr>
          <w:p>
            <w:pPr>
              <w:spacing w:after="0"/>
              <w:rPr>
                <w:sz w:val="11"/>
                <w:szCs w:val="11"/>
                <w:color w:val="auto"/>
              </w:rPr>
            </w:pPr>
          </w:p>
        </w:tc>
        <w:tc>
          <w:tcPr>
            <w:tcW w:w="720" w:type="dxa"/>
            <w:vAlign w:val="bottom"/>
            <w:vMerge w:val="continue"/>
            <w:shd w:val="clear" w:color="auto" w:fill="284993"/>
          </w:tcPr>
          <w:p>
            <w:pPr>
              <w:spacing w:after="0"/>
              <w:rPr>
                <w:sz w:val="11"/>
                <w:szCs w:val="11"/>
                <w:color w:val="auto"/>
              </w:rPr>
            </w:pPr>
          </w:p>
        </w:tc>
        <w:tc>
          <w:tcPr>
            <w:tcW w:w="1200" w:type="dxa"/>
            <w:vAlign w:val="bottom"/>
            <w:shd w:val="clear" w:color="auto" w:fill="284993"/>
          </w:tcPr>
          <w:p>
            <w:pPr>
              <w:jc w:val="center"/>
              <w:ind w:right="1"/>
              <w:spacing w:after="0" w:line="130" w:lineRule="exact"/>
              <w:rPr>
                <w:sz w:val="20"/>
                <w:szCs w:val="20"/>
                <w:color w:val="auto"/>
              </w:rPr>
            </w:pPr>
            <w:r>
              <w:rPr>
                <w:rFonts w:ascii="Arial" w:cs="Arial" w:eastAsia="Arial" w:hAnsi="Arial"/>
                <w:sz w:val="12"/>
                <w:szCs w:val="12"/>
                <w:b w:val="1"/>
                <w:bCs w:val="1"/>
                <w:color w:val="FFFFFF"/>
                <w:w w:val="97"/>
              </w:rPr>
              <w:t>Awards:</w:t>
            </w:r>
          </w:p>
        </w:tc>
        <w:tc>
          <w:tcPr>
            <w:tcW w:w="11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9"/>
              </w:rPr>
              <w:t>Plan Awards: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284993"/>
          </w:tcPr>
          <w:p>
            <w:pPr>
              <w:spacing w:after="0"/>
              <w:rPr>
                <w:sz w:val="11"/>
                <w:szCs w:val="11"/>
                <w:color w:val="auto"/>
              </w:rPr>
            </w:pPr>
          </w:p>
        </w:tc>
        <w:tc>
          <w:tcPr>
            <w:tcW w:w="80" w:type="dxa"/>
            <w:vAlign w:val="bottom"/>
            <w:shd w:val="clear" w:color="auto" w:fill="284993"/>
          </w:tcPr>
          <w:p>
            <w:pPr>
              <w:spacing w:after="0"/>
              <w:rPr>
                <w:sz w:val="11"/>
                <w:szCs w:val="11"/>
                <w:color w:val="auto"/>
              </w:rPr>
            </w:pPr>
          </w:p>
        </w:tc>
        <w:tc>
          <w:tcPr>
            <w:tcW w:w="620" w:type="dxa"/>
            <w:vAlign w:val="bottom"/>
            <w:shd w:val="clear" w:color="auto" w:fill="284993"/>
          </w:tcPr>
          <w:p>
            <w:pPr>
              <w:spacing w:after="0"/>
              <w:rPr>
                <w:sz w:val="11"/>
                <w:szCs w:val="11"/>
                <w:color w:val="auto"/>
              </w:rPr>
            </w:pPr>
          </w:p>
        </w:tc>
        <w:tc>
          <w:tcPr>
            <w:tcW w:w="800" w:type="dxa"/>
            <w:vAlign w:val="bottom"/>
            <w:vMerge w:val="continue"/>
            <w:shd w:val="clear" w:color="auto" w:fill="284993"/>
          </w:tcPr>
          <w:p>
            <w:pPr>
              <w:spacing w:after="0"/>
              <w:rPr>
                <w:sz w:val="11"/>
                <w:szCs w:val="11"/>
                <w:color w:val="auto"/>
              </w:rPr>
            </w:pPr>
          </w:p>
        </w:tc>
        <w:tc>
          <w:tcPr>
            <w:tcW w:w="1020" w:type="dxa"/>
            <w:vAlign w:val="bottom"/>
            <w:vMerge w:val="continue"/>
            <w:shd w:val="clear" w:color="auto" w:fill="284993"/>
          </w:tcPr>
          <w:p>
            <w:pPr>
              <w:spacing w:after="0"/>
              <w:rPr>
                <w:sz w:val="11"/>
                <w:szCs w:val="11"/>
                <w:color w:val="auto"/>
              </w:rPr>
            </w:pPr>
          </w:p>
        </w:tc>
        <w:tc>
          <w:tcPr>
            <w:tcW w:w="660" w:type="dxa"/>
            <w:vAlign w:val="bottom"/>
            <w:shd w:val="clear" w:color="auto" w:fill="284993"/>
          </w:tcPr>
          <w:p>
            <w:pPr>
              <w:spacing w:after="0"/>
              <w:rPr>
                <w:sz w:val="11"/>
                <w:szCs w:val="11"/>
                <w:color w:val="auto"/>
              </w:rPr>
            </w:pPr>
          </w:p>
        </w:tc>
        <w:tc>
          <w:tcPr>
            <w:tcW w:w="740" w:type="dxa"/>
            <w:vAlign w:val="bottom"/>
            <w:shd w:val="clear" w:color="auto" w:fill="284993"/>
          </w:tcPr>
          <w:p>
            <w:pPr>
              <w:spacing w:after="0"/>
              <w:rPr>
                <w:sz w:val="11"/>
                <w:szCs w:val="11"/>
                <w:color w:val="auto"/>
              </w:rPr>
            </w:pPr>
          </w:p>
        </w:tc>
        <w:tc>
          <w:tcPr>
            <w:tcW w:w="820" w:type="dxa"/>
            <w:vAlign w:val="bottom"/>
            <w:shd w:val="clear" w:color="auto" w:fill="284993"/>
          </w:tcPr>
          <w:p>
            <w:pPr>
              <w:jc w:val="center"/>
              <w:ind w:right="41"/>
              <w:spacing w:after="0" w:line="130" w:lineRule="exact"/>
              <w:rPr>
                <w:sz w:val="20"/>
                <w:szCs w:val="20"/>
                <w:color w:val="auto"/>
              </w:rPr>
            </w:pPr>
            <w:r>
              <w:rPr>
                <w:rFonts w:ascii="Arial" w:cs="Arial" w:eastAsia="Arial" w:hAnsi="Arial"/>
                <w:sz w:val="12"/>
                <w:szCs w:val="12"/>
                <w:b w:val="1"/>
                <w:bCs w:val="1"/>
                <w:color w:val="FFFFFF"/>
              </w:rPr>
              <w:t>of Shares</w:t>
            </w:r>
          </w:p>
        </w:tc>
        <w:tc>
          <w:tcPr>
            <w:tcW w:w="7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Value of</w:t>
            </w:r>
          </w:p>
        </w:tc>
        <w:tc>
          <w:tcPr>
            <w:tcW w:w="1200" w:type="dxa"/>
            <w:vAlign w:val="bottom"/>
            <w:shd w:val="clear" w:color="auto" w:fill="284993"/>
          </w:tcPr>
          <w:p>
            <w:pPr>
              <w:jc w:val="center"/>
              <w:ind w:right="1"/>
              <w:spacing w:after="0" w:line="130" w:lineRule="exact"/>
              <w:rPr>
                <w:sz w:val="20"/>
                <w:szCs w:val="20"/>
                <w:color w:val="auto"/>
              </w:rPr>
            </w:pPr>
            <w:r>
              <w:rPr>
                <w:rFonts w:ascii="Arial" w:cs="Arial" w:eastAsia="Arial" w:hAnsi="Arial"/>
                <w:sz w:val="12"/>
                <w:szCs w:val="12"/>
                <w:b w:val="1"/>
                <w:bCs w:val="1"/>
                <w:color w:val="FFFFFF"/>
              </w:rPr>
              <w:t>Number of</w:t>
            </w:r>
          </w:p>
        </w:tc>
        <w:tc>
          <w:tcPr>
            <w:tcW w:w="11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Market or Payout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284993"/>
          </w:tcPr>
          <w:p>
            <w:pPr>
              <w:spacing w:after="0"/>
              <w:rPr>
                <w:sz w:val="11"/>
                <w:szCs w:val="11"/>
                <w:color w:val="auto"/>
              </w:rPr>
            </w:pPr>
          </w:p>
        </w:tc>
        <w:tc>
          <w:tcPr>
            <w:tcW w:w="80" w:type="dxa"/>
            <w:vAlign w:val="bottom"/>
            <w:shd w:val="clear" w:color="auto" w:fill="284993"/>
          </w:tcPr>
          <w:p>
            <w:pPr>
              <w:spacing w:after="0"/>
              <w:rPr>
                <w:sz w:val="11"/>
                <w:szCs w:val="11"/>
                <w:color w:val="auto"/>
              </w:rPr>
            </w:pPr>
          </w:p>
        </w:tc>
        <w:tc>
          <w:tcPr>
            <w:tcW w:w="620" w:type="dxa"/>
            <w:vAlign w:val="bottom"/>
            <w:shd w:val="clear" w:color="auto" w:fill="284993"/>
          </w:tcPr>
          <w:p>
            <w:pPr>
              <w:spacing w:after="0"/>
              <w:rPr>
                <w:sz w:val="11"/>
                <w:szCs w:val="11"/>
                <w:color w:val="auto"/>
              </w:rPr>
            </w:pPr>
          </w:p>
        </w:tc>
        <w:tc>
          <w:tcPr>
            <w:tcW w:w="80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Securities</w:t>
            </w:r>
          </w:p>
        </w:tc>
        <w:tc>
          <w:tcPr>
            <w:tcW w:w="10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Securities</w:t>
            </w:r>
          </w:p>
        </w:tc>
        <w:tc>
          <w:tcPr>
            <w:tcW w:w="660" w:type="dxa"/>
            <w:vAlign w:val="bottom"/>
            <w:shd w:val="clear" w:color="auto" w:fill="284993"/>
          </w:tcPr>
          <w:p>
            <w:pPr>
              <w:spacing w:after="0"/>
              <w:rPr>
                <w:sz w:val="11"/>
                <w:szCs w:val="11"/>
                <w:color w:val="auto"/>
              </w:rPr>
            </w:pPr>
          </w:p>
        </w:tc>
        <w:tc>
          <w:tcPr>
            <w:tcW w:w="740" w:type="dxa"/>
            <w:vAlign w:val="bottom"/>
            <w:shd w:val="clear" w:color="auto" w:fill="284993"/>
          </w:tcPr>
          <w:p>
            <w:pPr>
              <w:spacing w:after="0"/>
              <w:rPr>
                <w:sz w:val="11"/>
                <w:szCs w:val="11"/>
                <w:color w:val="auto"/>
              </w:rPr>
            </w:pPr>
          </w:p>
        </w:tc>
        <w:tc>
          <w:tcPr>
            <w:tcW w:w="820" w:type="dxa"/>
            <w:vAlign w:val="bottom"/>
            <w:shd w:val="clear" w:color="auto" w:fill="284993"/>
          </w:tcPr>
          <w:p>
            <w:pPr>
              <w:jc w:val="center"/>
              <w:ind w:right="61"/>
              <w:spacing w:after="0" w:line="130" w:lineRule="exact"/>
              <w:rPr>
                <w:sz w:val="20"/>
                <w:szCs w:val="20"/>
                <w:color w:val="auto"/>
              </w:rPr>
            </w:pPr>
            <w:r>
              <w:rPr>
                <w:rFonts w:ascii="Arial" w:cs="Arial" w:eastAsia="Arial" w:hAnsi="Arial"/>
                <w:sz w:val="12"/>
                <w:szCs w:val="12"/>
                <w:b w:val="1"/>
                <w:bCs w:val="1"/>
                <w:color w:val="FFFFFF"/>
              </w:rPr>
              <w:t>or Units</w:t>
            </w:r>
          </w:p>
        </w:tc>
        <w:tc>
          <w:tcPr>
            <w:tcW w:w="7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Shares or</w:t>
            </w:r>
          </w:p>
        </w:tc>
        <w:tc>
          <w:tcPr>
            <w:tcW w:w="1200" w:type="dxa"/>
            <w:vAlign w:val="bottom"/>
            <w:shd w:val="clear" w:color="auto" w:fill="284993"/>
          </w:tcPr>
          <w:p>
            <w:pPr>
              <w:jc w:val="center"/>
              <w:ind w:right="21"/>
              <w:spacing w:after="0" w:line="130" w:lineRule="exact"/>
              <w:rPr>
                <w:sz w:val="20"/>
                <w:szCs w:val="20"/>
                <w:color w:val="auto"/>
              </w:rPr>
            </w:pPr>
            <w:r>
              <w:rPr>
                <w:rFonts w:ascii="Arial" w:cs="Arial" w:eastAsia="Arial" w:hAnsi="Arial"/>
                <w:sz w:val="12"/>
                <w:szCs w:val="12"/>
                <w:b w:val="1"/>
                <w:bCs w:val="1"/>
                <w:color w:val="FFFFFF"/>
              </w:rPr>
              <w:t>Unearned</w:t>
            </w:r>
          </w:p>
        </w:tc>
        <w:tc>
          <w:tcPr>
            <w:tcW w:w="11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Value of Unearned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284993"/>
          </w:tcPr>
          <w:p>
            <w:pPr>
              <w:spacing w:after="0"/>
              <w:rPr>
                <w:sz w:val="11"/>
                <w:szCs w:val="11"/>
                <w:color w:val="auto"/>
              </w:rPr>
            </w:pPr>
          </w:p>
        </w:tc>
        <w:tc>
          <w:tcPr>
            <w:tcW w:w="80" w:type="dxa"/>
            <w:vAlign w:val="bottom"/>
            <w:shd w:val="clear" w:color="auto" w:fill="284993"/>
          </w:tcPr>
          <w:p>
            <w:pPr>
              <w:spacing w:after="0"/>
              <w:rPr>
                <w:sz w:val="11"/>
                <w:szCs w:val="11"/>
                <w:color w:val="auto"/>
              </w:rPr>
            </w:pPr>
          </w:p>
        </w:tc>
        <w:tc>
          <w:tcPr>
            <w:tcW w:w="620" w:type="dxa"/>
            <w:vAlign w:val="bottom"/>
            <w:shd w:val="clear" w:color="auto" w:fill="284993"/>
          </w:tcPr>
          <w:p>
            <w:pPr>
              <w:spacing w:after="0"/>
              <w:rPr>
                <w:sz w:val="11"/>
                <w:szCs w:val="11"/>
                <w:color w:val="auto"/>
              </w:rPr>
            </w:pPr>
          </w:p>
        </w:tc>
        <w:tc>
          <w:tcPr>
            <w:tcW w:w="80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8"/>
              </w:rPr>
              <w:t>Underlying</w:t>
            </w:r>
          </w:p>
        </w:tc>
        <w:tc>
          <w:tcPr>
            <w:tcW w:w="10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Underlying</w:t>
            </w:r>
          </w:p>
        </w:tc>
        <w:tc>
          <w:tcPr>
            <w:tcW w:w="66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w w:val="98"/>
              </w:rPr>
              <w:t>Option</w:t>
            </w:r>
          </w:p>
        </w:tc>
        <w:tc>
          <w:tcPr>
            <w:tcW w:w="740" w:type="dxa"/>
            <w:vAlign w:val="bottom"/>
            <w:shd w:val="clear" w:color="auto" w:fill="284993"/>
          </w:tcPr>
          <w:p>
            <w:pPr>
              <w:spacing w:after="0"/>
              <w:rPr>
                <w:sz w:val="11"/>
                <w:szCs w:val="11"/>
                <w:color w:val="auto"/>
              </w:rPr>
            </w:pPr>
          </w:p>
        </w:tc>
        <w:tc>
          <w:tcPr>
            <w:tcW w:w="820" w:type="dxa"/>
            <w:vAlign w:val="bottom"/>
            <w:shd w:val="clear" w:color="auto" w:fill="284993"/>
          </w:tcPr>
          <w:p>
            <w:pPr>
              <w:jc w:val="center"/>
              <w:ind w:right="41"/>
              <w:spacing w:after="0" w:line="130" w:lineRule="exact"/>
              <w:rPr>
                <w:sz w:val="20"/>
                <w:szCs w:val="20"/>
                <w:color w:val="auto"/>
              </w:rPr>
            </w:pPr>
            <w:r>
              <w:rPr>
                <w:rFonts w:ascii="Arial" w:cs="Arial" w:eastAsia="Arial" w:hAnsi="Arial"/>
                <w:sz w:val="12"/>
                <w:szCs w:val="12"/>
                <w:b w:val="1"/>
                <w:bCs w:val="1"/>
                <w:color w:val="FFFFFF"/>
              </w:rPr>
              <w:t>of Stock</w:t>
            </w:r>
          </w:p>
        </w:tc>
        <w:tc>
          <w:tcPr>
            <w:tcW w:w="7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8"/>
              </w:rPr>
              <w:t>Units of</w:t>
            </w:r>
          </w:p>
        </w:tc>
        <w:tc>
          <w:tcPr>
            <w:tcW w:w="1200" w:type="dxa"/>
            <w:vAlign w:val="bottom"/>
            <w:shd w:val="clear" w:color="auto" w:fill="284993"/>
          </w:tcPr>
          <w:p>
            <w:pPr>
              <w:jc w:val="center"/>
              <w:ind w:right="1"/>
              <w:spacing w:after="0" w:line="130" w:lineRule="exact"/>
              <w:rPr>
                <w:sz w:val="20"/>
                <w:szCs w:val="20"/>
                <w:color w:val="auto"/>
              </w:rPr>
            </w:pPr>
            <w:r>
              <w:rPr>
                <w:rFonts w:ascii="Arial" w:cs="Arial" w:eastAsia="Arial" w:hAnsi="Arial"/>
                <w:sz w:val="12"/>
                <w:szCs w:val="12"/>
                <w:b w:val="1"/>
                <w:bCs w:val="1"/>
                <w:color w:val="FFFFFF"/>
              </w:rPr>
              <w:t>Shares, Units</w:t>
            </w:r>
          </w:p>
        </w:tc>
        <w:tc>
          <w:tcPr>
            <w:tcW w:w="11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9"/>
              </w:rPr>
              <w:t>Shares, Units or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284993"/>
          </w:tcPr>
          <w:p>
            <w:pPr>
              <w:spacing w:after="0"/>
              <w:rPr>
                <w:sz w:val="11"/>
                <w:szCs w:val="11"/>
                <w:color w:val="auto"/>
              </w:rPr>
            </w:pPr>
          </w:p>
        </w:tc>
        <w:tc>
          <w:tcPr>
            <w:tcW w:w="80" w:type="dxa"/>
            <w:vAlign w:val="bottom"/>
            <w:shd w:val="clear" w:color="auto" w:fill="284993"/>
          </w:tcPr>
          <w:p>
            <w:pPr>
              <w:spacing w:after="0"/>
              <w:rPr>
                <w:sz w:val="11"/>
                <w:szCs w:val="11"/>
                <w:color w:val="auto"/>
              </w:rPr>
            </w:pPr>
          </w:p>
        </w:tc>
        <w:tc>
          <w:tcPr>
            <w:tcW w:w="620" w:type="dxa"/>
            <w:vAlign w:val="bottom"/>
            <w:shd w:val="clear" w:color="auto" w:fill="284993"/>
          </w:tcPr>
          <w:p>
            <w:pPr>
              <w:spacing w:after="0"/>
              <w:rPr>
                <w:sz w:val="11"/>
                <w:szCs w:val="11"/>
                <w:color w:val="auto"/>
              </w:rPr>
            </w:pPr>
          </w:p>
        </w:tc>
        <w:tc>
          <w:tcPr>
            <w:tcW w:w="80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Unexercised</w:t>
            </w:r>
          </w:p>
        </w:tc>
        <w:tc>
          <w:tcPr>
            <w:tcW w:w="10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Unexercised</w:t>
            </w:r>
          </w:p>
        </w:tc>
        <w:tc>
          <w:tcPr>
            <w:tcW w:w="660" w:type="dxa"/>
            <w:vAlign w:val="bottom"/>
            <w:vMerge w:val="continue"/>
            <w:shd w:val="clear" w:color="auto" w:fill="284993"/>
          </w:tcPr>
          <w:p>
            <w:pPr>
              <w:spacing w:after="0"/>
              <w:rPr>
                <w:sz w:val="11"/>
                <w:szCs w:val="11"/>
                <w:color w:val="auto"/>
              </w:rPr>
            </w:pPr>
          </w:p>
        </w:tc>
        <w:tc>
          <w:tcPr>
            <w:tcW w:w="740" w:type="dxa"/>
            <w:vAlign w:val="bottom"/>
            <w:shd w:val="clear" w:color="auto" w:fill="284993"/>
          </w:tcPr>
          <w:p>
            <w:pPr>
              <w:spacing w:after="0"/>
              <w:rPr>
                <w:sz w:val="11"/>
                <w:szCs w:val="11"/>
                <w:color w:val="auto"/>
              </w:rPr>
            </w:pPr>
          </w:p>
        </w:tc>
        <w:tc>
          <w:tcPr>
            <w:tcW w:w="820" w:type="dxa"/>
            <w:vAlign w:val="bottom"/>
            <w:shd w:val="clear" w:color="auto" w:fill="284993"/>
          </w:tcPr>
          <w:p>
            <w:pPr>
              <w:jc w:val="center"/>
              <w:ind w:right="61"/>
              <w:spacing w:after="0" w:line="130" w:lineRule="exact"/>
              <w:rPr>
                <w:sz w:val="20"/>
                <w:szCs w:val="20"/>
                <w:color w:val="auto"/>
              </w:rPr>
            </w:pPr>
            <w:r>
              <w:rPr>
                <w:rFonts w:ascii="Arial" w:cs="Arial" w:eastAsia="Arial" w:hAnsi="Arial"/>
                <w:sz w:val="12"/>
                <w:szCs w:val="12"/>
                <w:b w:val="1"/>
                <w:bCs w:val="1"/>
                <w:color w:val="FFFFFF"/>
              </w:rPr>
              <w:t>That Have</w:t>
            </w:r>
          </w:p>
        </w:tc>
        <w:tc>
          <w:tcPr>
            <w:tcW w:w="7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Stock that</w:t>
            </w:r>
          </w:p>
        </w:tc>
        <w:tc>
          <w:tcPr>
            <w:tcW w:w="1200" w:type="dxa"/>
            <w:vAlign w:val="bottom"/>
            <w:shd w:val="clear" w:color="auto" w:fill="284993"/>
          </w:tcPr>
          <w:p>
            <w:pPr>
              <w:jc w:val="center"/>
              <w:ind w:right="1"/>
              <w:spacing w:after="0" w:line="130" w:lineRule="exact"/>
              <w:rPr>
                <w:sz w:val="20"/>
                <w:szCs w:val="20"/>
                <w:color w:val="auto"/>
              </w:rPr>
            </w:pPr>
            <w:r>
              <w:rPr>
                <w:rFonts w:ascii="Arial" w:cs="Arial" w:eastAsia="Arial" w:hAnsi="Arial"/>
                <w:sz w:val="12"/>
                <w:szCs w:val="12"/>
                <w:b w:val="1"/>
                <w:bCs w:val="1"/>
                <w:color w:val="FFFFFF"/>
              </w:rPr>
              <w:t>or Other Rights</w:t>
            </w:r>
          </w:p>
        </w:tc>
        <w:tc>
          <w:tcPr>
            <w:tcW w:w="11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Other Rights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shd w:val="clear" w:color="auto" w:fill="284993"/>
          </w:tcPr>
          <w:p>
            <w:pPr>
              <w:spacing w:after="0"/>
              <w:rPr>
                <w:sz w:val="11"/>
                <w:szCs w:val="11"/>
                <w:color w:val="auto"/>
              </w:rPr>
            </w:pPr>
          </w:p>
        </w:tc>
        <w:tc>
          <w:tcPr>
            <w:tcW w:w="80" w:type="dxa"/>
            <w:vAlign w:val="bottom"/>
            <w:shd w:val="clear" w:color="auto" w:fill="284993"/>
          </w:tcPr>
          <w:p>
            <w:pPr>
              <w:spacing w:after="0"/>
              <w:rPr>
                <w:sz w:val="11"/>
                <w:szCs w:val="11"/>
                <w:color w:val="auto"/>
              </w:rPr>
            </w:pPr>
          </w:p>
        </w:tc>
        <w:tc>
          <w:tcPr>
            <w:tcW w:w="62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rPr>
              <w:t>Grant</w:t>
            </w:r>
          </w:p>
        </w:tc>
        <w:tc>
          <w:tcPr>
            <w:tcW w:w="800" w:type="dxa"/>
            <w:vAlign w:val="bottom"/>
            <w:shd w:val="clear" w:color="auto" w:fill="284993"/>
          </w:tcPr>
          <w:p>
            <w:pPr>
              <w:jc w:val="center"/>
              <w:spacing w:after="0" w:line="135" w:lineRule="exact"/>
              <w:rPr>
                <w:sz w:val="20"/>
                <w:szCs w:val="20"/>
                <w:color w:val="auto"/>
              </w:rPr>
            </w:pPr>
            <w:r>
              <w:rPr>
                <w:rFonts w:ascii="Arial" w:cs="Arial" w:eastAsia="Arial" w:hAnsi="Arial"/>
                <w:sz w:val="12"/>
                <w:szCs w:val="12"/>
                <w:b w:val="1"/>
                <w:bCs w:val="1"/>
                <w:color w:val="FFFFFF"/>
              </w:rPr>
              <w:t>Options</w:t>
            </w:r>
          </w:p>
        </w:tc>
        <w:tc>
          <w:tcPr>
            <w:tcW w:w="1020" w:type="dxa"/>
            <w:vAlign w:val="bottom"/>
            <w:shd w:val="clear" w:color="auto" w:fill="284993"/>
          </w:tcPr>
          <w:p>
            <w:pPr>
              <w:jc w:val="center"/>
              <w:spacing w:after="0" w:line="135" w:lineRule="exact"/>
              <w:rPr>
                <w:sz w:val="20"/>
                <w:szCs w:val="20"/>
                <w:color w:val="auto"/>
              </w:rPr>
            </w:pPr>
            <w:r>
              <w:rPr>
                <w:rFonts w:ascii="Arial" w:cs="Arial" w:eastAsia="Arial" w:hAnsi="Arial"/>
                <w:sz w:val="12"/>
                <w:szCs w:val="12"/>
                <w:b w:val="1"/>
                <w:bCs w:val="1"/>
                <w:color w:val="FFFFFF"/>
              </w:rPr>
              <w:t>Options</w:t>
            </w:r>
          </w:p>
        </w:tc>
        <w:tc>
          <w:tcPr>
            <w:tcW w:w="660" w:type="dxa"/>
            <w:vAlign w:val="bottom"/>
            <w:shd w:val="clear" w:color="auto" w:fill="284993"/>
          </w:tcPr>
          <w:p>
            <w:pPr>
              <w:jc w:val="center"/>
              <w:spacing w:after="0" w:line="135" w:lineRule="exact"/>
              <w:rPr>
                <w:sz w:val="20"/>
                <w:szCs w:val="20"/>
                <w:color w:val="auto"/>
              </w:rPr>
            </w:pPr>
            <w:r>
              <w:rPr>
                <w:rFonts w:ascii="Arial" w:cs="Arial" w:eastAsia="Arial" w:hAnsi="Arial"/>
                <w:sz w:val="12"/>
                <w:szCs w:val="12"/>
                <w:b w:val="1"/>
                <w:bCs w:val="1"/>
                <w:color w:val="FFFFFF"/>
              </w:rPr>
              <w:t>Exercise</w:t>
            </w:r>
          </w:p>
        </w:tc>
        <w:tc>
          <w:tcPr>
            <w:tcW w:w="740" w:type="dxa"/>
            <w:vAlign w:val="bottom"/>
            <w:shd w:val="clear" w:color="auto" w:fill="284993"/>
          </w:tcPr>
          <w:p>
            <w:pPr>
              <w:jc w:val="center"/>
              <w:spacing w:after="0" w:line="135" w:lineRule="exact"/>
              <w:rPr>
                <w:sz w:val="20"/>
                <w:szCs w:val="20"/>
                <w:color w:val="auto"/>
              </w:rPr>
            </w:pPr>
            <w:r>
              <w:rPr>
                <w:rFonts w:ascii="Arial" w:cs="Arial" w:eastAsia="Arial" w:hAnsi="Arial"/>
                <w:sz w:val="12"/>
                <w:szCs w:val="12"/>
                <w:b w:val="1"/>
                <w:bCs w:val="1"/>
                <w:color w:val="FFFFFF"/>
              </w:rPr>
              <w:t>Option</w:t>
            </w:r>
          </w:p>
        </w:tc>
        <w:tc>
          <w:tcPr>
            <w:tcW w:w="820" w:type="dxa"/>
            <w:vAlign w:val="bottom"/>
            <w:shd w:val="clear" w:color="auto" w:fill="284993"/>
          </w:tcPr>
          <w:p>
            <w:pPr>
              <w:jc w:val="center"/>
              <w:ind w:right="41"/>
              <w:spacing w:after="0" w:line="135" w:lineRule="exact"/>
              <w:rPr>
                <w:sz w:val="20"/>
                <w:szCs w:val="20"/>
                <w:color w:val="auto"/>
              </w:rPr>
            </w:pPr>
            <w:r>
              <w:rPr>
                <w:rFonts w:ascii="Arial" w:cs="Arial" w:eastAsia="Arial" w:hAnsi="Arial"/>
                <w:sz w:val="12"/>
                <w:szCs w:val="12"/>
                <w:b w:val="1"/>
                <w:bCs w:val="1"/>
                <w:color w:val="FFFFFF"/>
                <w:w w:val="99"/>
              </w:rPr>
              <w:t>Not</w:t>
            </w:r>
          </w:p>
        </w:tc>
        <w:tc>
          <w:tcPr>
            <w:tcW w:w="720" w:type="dxa"/>
            <w:vAlign w:val="bottom"/>
            <w:shd w:val="clear" w:color="auto" w:fill="284993"/>
          </w:tcPr>
          <w:p>
            <w:pPr>
              <w:jc w:val="center"/>
              <w:spacing w:after="0" w:line="135" w:lineRule="exact"/>
              <w:rPr>
                <w:sz w:val="20"/>
                <w:szCs w:val="20"/>
                <w:color w:val="auto"/>
              </w:rPr>
            </w:pPr>
            <w:r>
              <w:rPr>
                <w:rFonts w:ascii="Arial" w:cs="Arial" w:eastAsia="Arial" w:hAnsi="Arial"/>
                <w:sz w:val="12"/>
                <w:szCs w:val="12"/>
                <w:b w:val="1"/>
                <w:bCs w:val="1"/>
                <w:color w:val="FFFFFF"/>
                <w:w w:val="97"/>
              </w:rPr>
              <w:t>Have</w:t>
            </w:r>
          </w:p>
        </w:tc>
        <w:tc>
          <w:tcPr>
            <w:tcW w:w="1200" w:type="dxa"/>
            <w:vAlign w:val="bottom"/>
            <w:shd w:val="clear" w:color="auto" w:fill="284993"/>
          </w:tcPr>
          <w:p>
            <w:pPr>
              <w:jc w:val="center"/>
              <w:ind w:right="1"/>
              <w:spacing w:after="0" w:line="135" w:lineRule="exact"/>
              <w:rPr>
                <w:sz w:val="20"/>
                <w:szCs w:val="20"/>
                <w:color w:val="auto"/>
              </w:rPr>
            </w:pPr>
            <w:r>
              <w:rPr>
                <w:rFonts w:ascii="Arial" w:cs="Arial" w:eastAsia="Arial" w:hAnsi="Arial"/>
                <w:sz w:val="12"/>
                <w:szCs w:val="12"/>
                <w:b w:val="1"/>
                <w:bCs w:val="1"/>
                <w:color w:val="FFFFFF"/>
              </w:rPr>
              <w:t>That Have</w:t>
            </w:r>
          </w:p>
        </w:tc>
        <w:tc>
          <w:tcPr>
            <w:tcW w:w="1180" w:type="dxa"/>
            <w:vAlign w:val="bottom"/>
            <w:shd w:val="clear" w:color="auto" w:fill="284993"/>
          </w:tcPr>
          <w:p>
            <w:pPr>
              <w:jc w:val="center"/>
              <w:spacing w:after="0" w:line="135" w:lineRule="exact"/>
              <w:rPr>
                <w:sz w:val="20"/>
                <w:szCs w:val="20"/>
                <w:color w:val="auto"/>
              </w:rPr>
            </w:pPr>
            <w:r>
              <w:rPr>
                <w:rFonts w:ascii="Arial" w:cs="Arial" w:eastAsia="Arial" w:hAnsi="Arial"/>
                <w:sz w:val="12"/>
                <w:szCs w:val="12"/>
                <w:b w:val="1"/>
                <w:bCs w:val="1"/>
                <w:color w:val="FFFFFF"/>
              </w:rPr>
              <w:t>That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284993"/>
          </w:tcPr>
          <w:p>
            <w:pPr>
              <w:spacing w:after="0"/>
              <w:rPr>
                <w:sz w:val="11"/>
                <w:szCs w:val="11"/>
                <w:color w:val="auto"/>
              </w:rPr>
            </w:pPr>
          </w:p>
        </w:tc>
        <w:tc>
          <w:tcPr>
            <w:tcW w:w="80" w:type="dxa"/>
            <w:vAlign w:val="bottom"/>
            <w:shd w:val="clear" w:color="auto" w:fill="284993"/>
          </w:tcPr>
          <w:p>
            <w:pPr>
              <w:spacing w:after="0"/>
              <w:rPr>
                <w:sz w:val="11"/>
                <w:szCs w:val="11"/>
                <w:color w:val="auto"/>
              </w:rPr>
            </w:pPr>
          </w:p>
        </w:tc>
        <w:tc>
          <w:tcPr>
            <w:tcW w:w="620" w:type="dxa"/>
            <w:vAlign w:val="bottom"/>
            <w:vMerge w:val="continue"/>
            <w:shd w:val="clear" w:color="auto" w:fill="284993"/>
          </w:tcPr>
          <w:p>
            <w:pPr>
              <w:spacing w:after="0"/>
              <w:rPr>
                <w:sz w:val="11"/>
                <w:szCs w:val="11"/>
                <w:color w:val="auto"/>
              </w:rPr>
            </w:pPr>
          </w:p>
        </w:tc>
        <w:tc>
          <w:tcPr>
            <w:tcW w:w="80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5"/>
              </w:rPr>
              <w:t>(#)</w:t>
            </w:r>
          </w:p>
        </w:tc>
        <w:tc>
          <w:tcPr>
            <w:tcW w:w="10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5"/>
              </w:rPr>
              <w:t>(#)</w:t>
            </w:r>
          </w:p>
        </w:tc>
        <w:tc>
          <w:tcPr>
            <w:tcW w:w="66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Price</w:t>
            </w:r>
          </w:p>
        </w:tc>
        <w:tc>
          <w:tcPr>
            <w:tcW w:w="74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Expiration</w:t>
            </w:r>
          </w:p>
        </w:tc>
        <w:tc>
          <w:tcPr>
            <w:tcW w:w="820" w:type="dxa"/>
            <w:vAlign w:val="bottom"/>
            <w:shd w:val="clear" w:color="auto" w:fill="284993"/>
          </w:tcPr>
          <w:p>
            <w:pPr>
              <w:jc w:val="center"/>
              <w:ind w:right="41"/>
              <w:spacing w:after="0" w:line="130" w:lineRule="exact"/>
              <w:rPr>
                <w:sz w:val="20"/>
                <w:szCs w:val="20"/>
                <w:color w:val="auto"/>
              </w:rPr>
            </w:pPr>
            <w:r>
              <w:rPr>
                <w:rFonts w:ascii="Arial" w:cs="Arial" w:eastAsia="Arial" w:hAnsi="Arial"/>
                <w:sz w:val="12"/>
                <w:szCs w:val="12"/>
                <w:b w:val="1"/>
                <w:bCs w:val="1"/>
                <w:color w:val="FFFFFF"/>
              </w:rPr>
              <w:t>Vested</w:t>
            </w:r>
          </w:p>
        </w:tc>
        <w:tc>
          <w:tcPr>
            <w:tcW w:w="7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Not Vested</w:t>
            </w:r>
          </w:p>
        </w:tc>
        <w:tc>
          <w:tcPr>
            <w:tcW w:w="1200" w:type="dxa"/>
            <w:vAlign w:val="bottom"/>
            <w:shd w:val="clear" w:color="auto" w:fill="284993"/>
          </w:tcPr>
          <w:p>
            <w:pPr>
              <w:jc w:val="center"/>
              <w:ind w:right="1"/>
              <w:spacing w:after="0" w:line="130" w:lineRule="exact"/>
              <w:rPr>
                <w:sz w:val="20"/>
                <w:szCs w:val="20"/>
                <w:color w:val="auto"/>
              </w:rPr>
            </w:pPr>
            <w:r>
              <w:rPr>
                <w:rFonts w:ascii="Arial" w:cs="Arial" w:eastAsia="Arial" w:hAnsi="Arial"/>
                <w:sz w:val="12"/>
                <w:szCs w:val="12"/>
                <w:b w:val="1"/>
                <w:bCs w:val="1"/>
                <w:color w:val="FFFFFF"/>
                <w:w w:val="98"/>
              </w:rPr>
              <w:t>Not Vested</w:t>
            </w:r>
          </w:p>
        </w:tc>
        <w:tc>
          <w:tcPr>
            <w:tcW w:w="11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Have Not Vested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00" w:type="dxa"/>
            <w:vAlign w:val="bottom"/>
            <w:shd w:val="clear" w:color="auto" w:fill="284993"/>
          </w:tcPr>
          <w:p>
            <w:pPr>
              <w:spacing w:after="0"/>
              <w:rPr>
                <w:sz w:val="13"/>
                <w:szCs w:val="13"/>
                <w:color w:val="auto"/>
              </w:rPr>
            </w:pPr>
          </w:p>
        </w:tc>
        <w:tc>
          <w:tcPr>
            <w:tcW w:w="80" w:type="dxa"/>
            <w:vAlign w:val="bottom"/>
            <w:shd w:val="clear" w:color="auto" w:fill="284993"/>
          </w:tcPr>
          <w:p>
            <w:pPr>
              <w:spacing w:after="0"/>
              <w:rPr>
                <w:sz w:val="13"/>
                <w:szCs w:val="13"/>
                <w:color w:val="auto"/>
              </w:rPr>
            </w:pPr>
          </w:p>
        </w:tc>
        <w:tc>
          <w:tcPr>
            <w:tcW w:w="62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99"/>
              </w:rPr>
              <w:t>Date</w:t>
            </w:r>
          </w:p>
        </w:tc>
        <w:tc>
          <w:tcPr>
            <w:tcW w:w="80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98"/>
              </w:rPr>
              <w:t>Exercisable</w:t>
            </w:r>
          </w:p>
        </w:tc>
        <w:tc>
          <w:tcPr>
            <w:tcW w:w="1020" w:type="dxa"/>
            <w:vAlign w:val="bottom"/>
            <w:shd w:val="clear" w:color="auto" w:fill="284993"/>
          </w:tcPr>
          <w:p>
            <w:pPr>
              <w:jc w:val="right"/>
              <w:ind w:right="19"/>
              <w:spacing w:after="0"/>
              <w:rPr>
                <w:sz w:val="20"/>
                <w:szCs w:val="20"/>
                <w:color w:val="auto"/>
              </w:rPr>
            </w:pPr>
            <w:r>
              <w:rPr>
                <w:rFonts w:ascii="Arial" w:cs="Arial" w:eastAsia="Arial" w:hAnsi="Arial"/>
                <w:sz w:val="12"/>
                <w:szCs w:val="12"/>
                <w:b w:val="1"/>
                <w:bCs w:val="1"/>
                <w:color w:val="FFFFFF"/>
              </w:rPr>
              <w:t>Unexercisable</w:t>
            </w:r>
          </w:p>
        </w:tc>
        <w:tc>
          <w:tcPr>
            <w:tcW w:w="66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95"/>
              </w:rPr>
              <w:t>($)</w:t>
            </w:r>
          </w:p>
        </w:tc>
        <w:tc>
          <w:tcPr>
            <w:tcW w:w="74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rPr>
              <w:t>Date</w:t>
            </w:r>
          </w:p>
        </w:tc>
        <w:tc>
          <w:tcPr>
            <w:tcW w:w="820" w:type="dxa"/>
            <w:vAlign w:val="bottom"/>
            <w:shd w:val="clear" w:color="auto" w:fill="284993"/>
          </w:tcPr>
          <w:p>
            <w:pPr>
              <w:jc w:val="center"/>
              <w:ind w:right="61"/>
              <w:spacing w:after="0" w:line="156" w:lineRule="exact"/>
              <w:rPr>
                <w:sz w:val="20"/>
                <w:szCs w:val="20"/>
                <w:color w:val="auto"/>
              </w:rPr>
            </w:pPr>
            <w:r>
              <w:rPr>
                <w:rFonts w:ascii="Arial" w:cs="Arial" w:eastAsia="Arial" w:hAnsi="Arial"/>
                <w:sz w:val="12"/>
                <w:szCs w:val="12"/>
                <w:b w:val="1"/>
                <w:bCs w:val="1"/>
                <w:color w:val="FFFFFF"/>
                <w:w w:val="88"/>
              </w:rPr>
              <w:t>(#)</w:t>
            </w:r>
            <w:r>
              <w:rPr>
                <w:rFonts w:ascii="Arial" w:cs="Arial" w:eastAsia="Arial" w:hAnsi="Arial"/>
                <w:sz w:val="18"/>
                <w:szCs w:val="18"/>
                <w:b w:val="1"/>
                <w:bCs w:val="1"/>
                <w:color w:val="FFFFFF"/>
                <w:w w:val="88"/>
                <w:vertAlign w:val="superscript"/>
              </w:rPr>
              <w:t>(1)</w:t>
            </w:r>
          </w:p>
        </w:tc>
        <w:tc>
          <w:tcPr>
            <w:tcW w:w="720" w:type="dxa"/>
            <w:vAlign w:val="bottom"/>
            <w:shd w:val="clear" w:color="auto" w:fill="284993"/>
          </w:tcPr>
          <w:p>
            <w:pPr>
              <w:jc w:val="center"/>
              <w:spacing w:after="0" w:line="156" w:lineRule="exact"/>
              <w:rPr>
                <w:sz w:val="20"/>
                <w:szCs w:val="20"/>
                <w:color w:val="auto"/>
              </w:rPr>
            </w:pPr>
            <w:r>
              <w:rPr>
                <w:rFonts w:ascii="Arial" w:cs="Arial" w:eastAsia="Arial" w:hAnsi="Arial"/>
                <w:sz w:val="12"/>
                <w:szCs w:val="12"/>
                <w:b w:val="1"/>
                <w:bCs w:val="1"/>
                <w:color w:val="FFFFFF"/>
                <w:w w:val="81"/>
              </w:rPr>
              <w:t>($)</w:t>
            </w:r>
            <w:r>
              <w:rPr>
                <w:rFonts w:ascii="Arial" w:cs="Arial" w:eastAsia="Arial" w:hAnsi="Arial"/>
                <w:sz w:val="18"/>
                <w:szCs w:val="18"/>
                <w:b w:val="1"/>
                <w:bCs w:val="1"/>
                <w:color w:val="FFFFFF"/>
                <w:w w:val="81"/>
                <w:vertAlign w:val="superscript"/>
              </w:rPr>
              <w:t>(2)</w:t>
            </w:r>
          </w:p>
        </w:tc>
        <w:tc>
          <w:tcPr>
            <w:tcW w:w="1200" w:type="dxa"/>
            <w:vAlign w:val="bottom"/>
            <w:shd w:val="clear" w:color="auto" w:fill="284993"/>
          </w:tcPr>
          <w:p>
            <w:pPr>
              <w:jc w:val="center"/>
              <w:ind w:right="1"/>
              <w:spacing w:after="0"/>
              <w:rPr>
                <w:sz w:val="20"/>
                <w:szCs w:val="20"/>
                <w:color w:val="auto"/>
              </w:rPr>
            </w:pPr>
            <w:r>
              <w:rPr>
                <w:rFonts w:ascii="Arial" w:cs="Arial" w:eastAsia="Arial" w:hAnsi="Arial"/>
                <w:sz w:val="12"/>
                <w:szCs w:val="12"/>
                <w:b w:val="1"/>
                <w:bCs w:val="1"/>
                <w:color w:val="FFFFFF"/>
                <w:w w:val="95"/>
              </w:rPr>
              <w:t>(#)</w:t>
            </w:r>
          </w:p>
        </w:tc>
        <w:tc>
          <w:tcPr>
            <w:tcW w:w="1180" w:type="dxa"/>
            <w:vAlign w:val="bottom"/>
            <w:shd w:val="clear" w:color="auto" w:fill="284993"/>
          </w:tcPr>
          <w:p>
            <w:pPr>
              <w:jc w:val="center"/>
              <w:spacing w:after="0" w:line="156" w:lineRule="exact"/>
              <w:rPr>
                <w:sz w:val="20"/>
                <w:szCs w:val="20"/>
                <w:color w:val="auto"/>
              </w:rPr>
            </w:pPr>
            <w:r>
              <w:rPr>
                <w:rFonts w:ascii="Arial" w:cs="Arial" w:eastAsia="Arial" w:hAnsi="Arial"/>
                <w:sz w:val="12"/>
                <w:szCs w:val="12"/>
                <w:b w:val="1"/>
                <w:bCs w:val="1"/>
                <w:color w:val="FFFFFF"/>
                <w:w w:val="88"/>
              </w:rPr>
              <w:t>($)</w:t>
            </w:r>
            <w:r>
              <w:rPr>
                <w:rFonts w:ascii="Arial" w:cs="Arial" w:eastAsia="Arial" w:hAnsi="Arial"/>
                <w:sz w:val="18"/>
                <w:szCs w:val="18"/>
                <w:b w:val="1"/>
                <w:bCs w:val="1"/>
                <w:color w:val="FFFFFF"/>
                <w:w w:val="88"/>
                <w:vertAlign w:val="superscript"/>
              </w:rPr>
              <w:t>(2)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00" w:type="dxa"/>
            <w:vAlign w:val="bottom"/>
            <w:shd w:val="clear" w:color="auto" w:fill="284993"/>
          </w:tcPr>
          <w:p>
            <w:pPr>
              <w:spacing w:after="0"/>
              <w:rPr>
                <w:sz w:val="20"/>
                <w:szCs w:val="20"/>
                <w:color w:val="auto"/>
              </w:rPr>
            </w:pPr>
            <w:r>
              <w:rPr>
                <w:rFonts w:ascii="Arial" w:cs="Arial" w:eastAsia="Arial" w:hAnsi="Arial"/>
                <w:sz w:val="12"/>
                <w:szCs w:val="12"/>
                <w:b w:val="1"/>
                <w:bCs w:val="1"/>
                <w:color w:val="FFFFFF"/>
              </w:rPr>
              <w:t>  (a)</w:t>
            </w:r>
          </w:p>
        </w:tc>
        <w:tc>
          <w:tcPr>
            <w:tcW w:w="80" w:type="dxa"/>
            <w:vAlign w:val="bottom"/>
            <w:shd w:val="clear" w:color="auto" w:fill="284993"/>
          </w:tcPr>
          <w:p>
            <w:pPr>
              <w:spacing w:after="0"/>
              <w:rPr>
                <w:sz w:val="12"/>
                <w:szCs w:val="12"/>
                <w:color w:val="auto"/>
              </w:rPr>
            </w:pPr>
          </w:p>
        </w:tc>
        <w:tc>
          <w:tcPr>
            <w:tcW w:w="620" w:type="dxa"/>
            <w:vAlign w:val="bottom"/>
            <w:shd w:val="clear" w:color="auto" w:fill="284993"/>
          </w:tcPr>
          <w:p>
            <w:pPr>
              <w:spacing w:after="0"/>
              <w:rPr>
                <w:sz w:val="12"/>
                <w:szCs w:val="12"/>
                <w:color w:val="auto"/>
              </w:rPr>
            </w:pPr>
          </w:p>
        </w:tc>
        <w:tc>
          <w:tcPr>
            <w:tcW w:w="80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91"/>
              </w:rPr>
              <w:t>(b)</w:t>
            </w:r>
          </w:p>
        </w:tc>
        <w:tc>
          <w:tcPr>
            <w:tcW w:w="102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95"/>
              </w:rPr>
              <w:t>(c)</w:t>
            </w:r>
          </w:p>
        </w:tc>
        <w:tc>
          <w:tcPr>
            <w:tcW w:w="66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95"/>
              </w:rPr>
              <w:t>(e)</w:t>
            </w:r>
          </w:p>
        </w:tc>
        <w:tc>
          <w:tcPr>
            <w:tcW w:w="74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99"/>
              </w:rPr>
              <w:t>(f)</w:t>
            </w:r>
          </w:p>
        </w:tc>
        <w:tc>
          <w:tcPr>
            <w:tcW w:w="820" w:type="dxa"/>
            <w:vAlign w:val="bottom"/>
            <w:shd w:val="clear" w:color="auto" w:fill="284993"/>
          </w:tcPr>
          <w:p>
            <w:pPr>
              <w:jc w:val="center"/>
              <w:ind w:right="41"/>
              <w:spacing w:after="0"/>
              <w:rPr>
                <w:sz w:val="20"/>
                <w:szCs w:val="20"/>
                <w:color w:val="auto"/>
              </w:rPr>
            </w:pPr>
            <w:r>
              <w:rPr>
                <w:rFonts w:ascii="Arial" w:cs="Arial" w:eastAsia="Arial" w:hAnsi="Arial"/>
                <w:sz w:val="12"/>
                <w:szCs w:val="12"/>
                <w:b w:val="1"/>
                <w:bCs w:val="1"/>
                <w:color w:val="FFFFFF"/>
              </w:rPr>
              <w:t>(g)</w:t>
            </w:r>
          </w:p>
        </w:tc>
        <w:tc>
          <w:tcPr>
            <w:tcW w:w="72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rPr>
              <w:t>(h)</w:t>
            </w:r>
          </w:p>
        </w:tc>
        <w:tc>
          <w:tcPr>
            <w:tcW w:w="1200" w:type="dxa"/>
            <w:vAlign w:val="bottom"/>
            <w:shd w:val="clear" w:color="auto" w:fill="284993"/>
          </w:tcPr>
          <w:p>
            <w:pPr>
              <w:jc w:val="center"/>
              <w:ind w:right="1"/>
              <w:spacing w:after="0"/>
              <w:rPr>
                <w:sz w:val="20"/>
                <w:szCs w:val="20"/>
                <w:color w:val="auto"/>
              </w:rPr>
            </w:pPr>
            <w:r>
              <w:rPr>
                <w:rFonts w:ascii="Arial" w:cs="Arial" w:eastAsia="Arial" w:hAnsi="Arial"/>
                <w:sz w:val="12"/>
                <w:szCs w:val="12"/>
                <w:b w:val="1"/>
                <w:bCs w:val="1"/>
                <w:color w:val="FFFFFF"/>
                <w:w w:val="87"/>
              </w:rPr>
              <w:t>(i)</w:t>
            </w:r>
          </w:p>
        </w:tc>
        <w:tc>
          <w:tcPr>
            <w:tcW w:w="118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rPr>
              <w:t>(j)</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00" w:type="dxa"/>
            <w:vAlign w:val="bottom"/>
          </w:tcPr>
          <w:p>
            <w:pPr>
              <w:ind w:left="40"/>
              <w:spacing w:after="0"/>
              <w:rPr>
                <w:sz w:val="20"/>
                <w:szCs w:val="20"/>
                <w:color w:val="auto"/>
              </w:rPr>
            </w:pPr>
            <w:r>
              <w:rPr>
                <w:rFonts w:ascii="Arial" w:cs="Arial" w:eastAsia="Arial" w:hAnsi="Arial"/>
                <w:sz w:val="12"/>
                <w:szCs w:val="12"/>
                <w:color w:val="auto"/>
              </w:rPr>
              <w:t>Thomas W. Warsop, III</w:t>
            </w:r>
          </w:p>
        </w:tc>
        <w:tc>
          <w:tcPr>
            <w:tcW w:w="700" w:type="dxa"/>
            <w:vAlign w:val="bottom"/>
            <w:gridSpan w:val="2"/>
          </w:tcPr>
          <w:p>
            <w:pPr>
              <w:jc w:val="center"/>
              <w:spacing w:after="0"/>
              <w:rPr>
                <w:sz w:val="20"/>
                <w:szCs w:val="20"/>
                <w:color w:val="auto"/>
              </w:rPr>
            </w:pPr>
            <w:r>
              <w:rPr>
                <w:rFonts w:ascii="Arial" w:cs="Arial" w:eastAsia="Arial" w:hAnsi="Arial"/>
                <w:sz w:val="12"/>
                <w:szCs w:val="12"/>
                <w:color w:val="auto"/>
                <w:w w:val="98"/>
              </w:rPr>
              <w:t>6/1/2023</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21"/>
              <w:spacing w:after="0"/>
              <w:rPr>
                <w:sz w:val="20"/>
                <w:szCs w:val="20"/>
                <w:color w:val="auto"/>
              </w:rPr>
            </w:pPr>
            <w:r>
              <w:rPr>
                <w:rFonts w:ascii="Arial" w:cs="Arial" w:eastAsia="Arial" w:hAnsi="Arial"/>
                <w:sz w:val="12"/>
                <w:szCs w:val="12"/>
                <w:color w:val="auto"/>
              </w:rPr>
              <w:t>61,566</w:t>
            </w:r>
          </w:p>
        </w:tc>
        <w:tc>
          <w:tcPr>
            <w:tcW w:w="720" w:type="dxa"/>
            <w:vAlign w:val="bottom"/>
          </w:tcPr>
          <w:p>
            <w:pPr>
              <w:jc w:val="right"/>
              <w:spacing w:after="0"/>
              <w:rPr>
                <w:sz w:val="20"/>
                <w:szCs w:val="20"/>
                <w:color w:val="auto"/>
              </w:rPr>
            </w:pPr>
            <w:r>
              <w:rPr>
                <w:rFonts w:ascii="Arial" w:cs="Arial" w:eastAsia="Arial" w:hAnsi="Arial"/>
                <w:sz w:val="12"/>
                <w:szCs w:val="12"/>
                <w:color w:val="auto"/>
              </w:rPr>
              <w:t>1,883,920</w:t>
            </w:r>
          </w:p>
        </w:tc>
        <w:tc>
          <w:tcPr>
            <w:tcW w:w="1200" w:type="dxa"/>
            <w:vAlign w:val="bottom"/>
          </w:tcPr>
          <w:p>
            <w:pPr>
              <w:jc w:val="right"/>
              <w:ind w:right="21"/>
              <w:spacing w:after="0" w:line="182" w:lineRule="exact"/>
              <w:rPr>
                <w:sz w:val="20"/>
                <w:szCs w:val="20"/>
                <w:color w:val="auto"/>
              </w:rPr>
            </w:pPr>
            <w:r>
              <w:rPr>
                <w:rFonts w:ascii="Arial" w:cs="Arial" w:eastAsia="Arial" w:hAnsi="Arial"/>
                <w:sz w:val="12"/>
                <w:szCs w:val="12"/>
                <w:color w:val="auto"/>
              </w:rPr>
              <w:t>38,112</w:t>
            </w:r>
            <w:r>
              <w:rPr>
                <w:rFonts w:ascii="Arial" w:cs="Arial" w:eastAsia="Arial" w:hAnsi="Arial"/>
                <w:sz w:val="18"/>
                <w:szCs w:val="18"/>
                <w:color w:val="auto"/>
                <w:vertAlign w:val="superscript"/>
              </w:rPr>
              <w:t>(4)</w:t>
            </w:r>
          </w:p>
        </w:tc>
        <w:tc>
          <w:tcPr>
            <w:tcW w:w="1180" w:type="dxa"/>
            <w:vAlign w:val="bottom"/>
          </w:tcPr>
          <w:p>
            <w:pPr>
              <w:jc w:val="right"/>
              <w:spacing w:after="0"/>
              <w:rPr>
                <w:sz w:val="20"/>
                <w:szCs w:val="20"/>
                <w:color w:val="auto"/>
              </w:rPr>
            </w:pPr>
            <w:r>
              <w:rPr>
                <w:rFonts w:ascii="Arial" w:cs="Arial" w:eastAsia="Arial" w:hAnsi="Arial"/>
                <w:sz w:val="12"/>
                <w:szCs w:val="12"/>
                <w:color w:val="auto"/>
              </w:rPr>
              <w:t>1,166,227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500" w:type="dxa"/>
            <w:vAlign w:val="bottom"/>
            <w:shd w:val="clear" w:color="auto" w:fill="9DBDE4"/>
          </w:tcPr>
          <w:p>
            <w:pPr>
              <w:ind w:left="40"/>
              <w:spacing w:after="0"/>
              <w:rPr>
                <w:sz w:val="20"/>
                <w:szCs w:val="20"/>
                <w:color w:val="auto"/>
              </w:rPr>
            </w:pPr>
            <w:r>
              <w:rPr>
                <w:rFonts w:ascii="Arial" w:cs="Arial" w:eastAsia="Arial" w:hAnsi="Arial"/>
                <w:sz w:val="12"/>
                <w:szCs w:val="12"/>
                <w:color w:val="auto"/>
              </w:rPr>
              <w:t>Scott W. Behrens</w:t>
            </w:r>
          </w:p>
        </w:tc>
        <w:tc>
          <w:tcPr>
            <w:tcW w:w="700" w:type="dxa"/>
            <w:vAlign w:val="bottom"/>
            <w:gridSpan w:val="2"/>
            <w:shd w:val="clear" w:color="auto" w:fill="9DBDE4"/>
          </w:tcPr>
          <w:p>
            <w:pPr>
              <w:jc w:val="center"/>
              <w:spacing w:after="0"/>
              <w:rPr>
                <w:sz w:val="20"/>
                <w:szCs w:val="20"/>
                <w:color w:val="auto"/>
              </w:rPr>
            </w:pPr>
            <w:r>
              <w:rPr>
                <w:rFonts w:ascii="Arial" w:cs="Arial" w:eastAsia="Arial" w:hAnsi="Arial"/>
                <w:sz w:val="12"/>
                <w:szCs w:val="12"/>
                <w:color w:val="auto"/>
              </w:rPr>
              <w:t>5/11/2023</w:t>
            </w:r>
          </w:p>
        </w:tc>
        <w:tc>
          <w:tcPr>
            <w:tcW w:w="800" w:type="dxa"/>
            <w:vAlign w:val="bottom"/>
            <w:shd w:val="clear" w:color="auto" w:fill="9DBDE4"/>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9DBDE4"/>
          </w:tcPr>
          <w:p>
            <w:pPr>
              <w:jc w:val="right"/>
              <w:ind w:right="19"/>
              <w:spacing w:after="0"/>
              <w:rPr>
                <w:sz w:val="20"/>
                <w:szCs w:val="20"/>
                <w:color w:val="auto"/>
              </w:rPr>
            </w:pPr>
            <w:r>
              <w:rPr>
                <w:rFonts w:ascii="Arial" w:cs="Arial" w:eastAsia="Arial" w:hAnsi="Arial"/>
                <w:sz w:val="12"/>
                <w:szCs w:val="12"/>
                <w:color w:val="auto"/>
              </w:rPr>
              <w:t>-</w:t>
            </w:r>
          </w:p>
        </w:tc>
        <w:tc>
          <w:tcPr>
            <w:tcW w:w="660" w:type="dxa"/>
            <w:vAlign w:val="bottom"/>
            <w:shd w:val="clear" w:color="auto" w:fill="9DBDE4"/>
          </w:tcPr>
          <w:p>
            <w:pPr>
              <w:jc w:val="right"/>
              <w:ind w:right="19"/>
              <w:spacing w:after="0"/>
              <w:rPr>
                <w:sz w:val="20"/>
                <w:szCs w:val="20"/>
                <w:color w:val="auto"/>
              </w:rPr>
            </w:pPr>
            <w:r>
              <w:rPr>
                <w:rFonts w:ascii="Arial" w:cs="Arial" w:eastAsia="Arial" w:hAnsi="Arial"/>
                <w:sz w:val="12"/>
                <w:szCs w:val="12"/>
                <w:color w:val="auto"/>
              </w:rPr>
              <w:t>-</w:t>
            </w:r>
          </w:p>
        </w:tc>
        <w:tc>
          <w:tcPr>
            <w:tcW w:w="740" w:type="dxa"/>
            <w:vAlign w:val="bottom"/>
            <w:shd w:val="clear" w:color="auto" w:fill="9DBDE4"/>
          </w:tcPr>
          <w:p>
            <w:pPr>
              <w:jc w:val="right"/>
              <w:ind w:right="19"/>
              <w:spacing w:after="0"/>
              <w:rPr>
                <w:sz w:val="20"/>
                <w:szCs w:val="20"/>
                <w:color w:val="auto"/>
              </w:rPr>
            </w:pPr>
            <w:r>
              <w:rPr>
                <w:rFonts w:ascii="Arial" w:cs="Arial" w:eastAsia="Arial" w:hAnsi="Arial"/>
                <w:sz w:val="12"/>
                <w:szCs w:val="12"/>
                <w:color w:val="auto"/>
              </w:rPr>
              <w:t>-</w:t>
            </w:r>
          </w:p>
        </w:tc>
        <w:tc>
          <w:tcPr>
            <w:tcW w:w="820" w:type="dxa"/>
            <w:vAlign w:val="bottom"/>
            <w:shd w:val="clear" w:color="auto" w:fill="9DBDE4"/>
          </w:tcPr>
          <w:p>
            <w:pPr>
              <w:jc w:val="right"/>
              <w:ind w:right="1"/>
              <w:spacing w:after="0" w:line="138" w:lineRule="exact"/>
              <w:rPr>
                <w:sz w:val="20"/>
                <w:szCs w:val="20"/>
                <w:color w:val="auto"/>
              </w:rPr>
            </w:pPr>
            <w:r>
              <w:rPr>
                <w:rFonts w:ascii="Arial" w:cs="Arial" w:eastAsia="Arial" w:hAnsi="Arial"/>
                <w:sz w:val="11"/>
                <w:szCs w:val="11"/>
                <w:color w:val="auto"/>
              </w:rPr>
              <w:t>46,610</w:t>
            </w:r>
            <w:r>
              <w:rPr>
                <w:rFonts w:ascii="Arial" w:cs="Arial" w:eastAsia="Arial" w:hAnsi="Arial"/>
                <w:sz w:val="16"/>
                <w:szCs w:val="16"/>
                <w:color w:val="auto"/>
                <w:vertAlign w:val="superscript"/>
              </w:rPr>
              <w:t>(3)</w:t>
            </w:r>
          </w:p>
        </w:tc>
        <w:tc>
          <w:tcPr>
            <w:tcW w:w="720" w:type="dxa"/>
            <w:vAlign w:val="bottom"/>
            <w:shd w:val="clear" w:color="auto" w:fill="9DBDE4"/>
          </w:tcPr>
          <w:p>
            <w:pPr>
              <w:jc w:val="right"/>
              <w:spacing w:after="0"/>
              <w:rPr>
                <w:sz w:val="20"/>
                <w:szCs w:val="20"/>
                <w:color w:val="auto"/>
              </w:rPr>
            </w:pPr>
            <w:r>
              <w:rPr>
                <w:rFonts w:ascii="Arial" w:cs="Arial" w:eastAsia="Arial" w:hAnsi="Arial"/>
                <w:sz w:val="12"/>
                <w:szCs w:val="12"/>
                <w:color w:val="auto"/>
              </w:rPr>
              <w:t>1,426,266</w:t>
            </w:r>
          </w:p>
        </w:tc>
        <w:tc>
          <w:tcPr>
            <w:tcW w:w="1200" w:type="dxa"/>
            <w:vAlign w:val="bottom"/>
            <w:shd w:val="clear" w:color="auto" w:fill="9DBDE4"/>
          </w:tcPr>
          <w:p>
            <w:pPr>
              <w:jc w:val="right"/>
              <w:ind w:right="21"/>
              <w:spacing w:after="0" w:line="138" w:lineRule="exact"/>
              <w:rPr>
                <w:sz w:val="20"/>
                <w:szCs w:val="20"/>
                <w:color w:val="auto"/>
              </w:rPr>
            </w:pPr>
            <w:r>
              <w:rPr>
                <w:rFonts w:ascii="Arial" w:cs="Arial" w:eastAsia="Arial" w:hAnsi="Arial"/>
                <w:sz w:val="11"/>
                <w:szCs w:val="11"/>
                <w:color w:val="auto"/>
              </w:rPr>
              <w:t>18,645</w:t>
            </w:r>
            <w:r>
              <w:rPr>
                <w:rFonts w:ascii="Arial" w:cs="Arial" w:eastAsia="Arial" w:hAnsi="Arial"/>
                <w:sz w:val="16"/>
                <w:szCs w:val="16"/>
                <w:color w:val="auto"/>
                <w:vertAlign w:val="superscript"/>
              </w:rPr>
              <w:t>(4)</w:t>
            </w:r>
          </w:p>
        </w:tc>
        <w:tc>
          <w:tcPr>
            <w:tcW w:w="1180" w:type="dxa"/>
            <w:vAlign w:val="bottom"/>
            <w:shd w:val="clear" w:color="auto" w:fill="9DBDE4"/>
          </w:tcPr>
          <w:p>
            <w:pPr>
              <w:jc w:val="right"/>
              <w:spacing w:after="0"/>
              <w:rPr>
                <w:sz w:val="20"/>
                <w:szCs w:val="20"/>
                <w:color w:val="auto"/>
              </w:rPr>
            </w:pPr>
            <w:r>
              <w:rPr>
                <w:rFonts w:ascii="Arial" w:cs="Arial" w:eastAsia="Arial" w:hAnsi="Arial"/>
                <w:sz w:val="12"/>
                <w:szCs w:val="12"/>
                <w:color w:val="auto"/>
              </w:rPr>
              <w:t>570,537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9DBDE4"/>
          </w:tcPr>
          <w:p>
            <w:pPr>
              <w:spacing w:after="0"/>
              <w:rPr>
                <w:sz w:val="11"/>
                <w:szCs w:val="11"/>
                <w:color w:val="auto"/>
              </w:rPr>
            </w:pPr>
          </w:p>
        </w:tc>
        <w:tc>
          <w:tcPr>
            <w:tcW w:w="700" w:type="dxa"/>
            <w:vAlign w:val="bottom"/>
            <w:gridSpan w:val="2"/>
            <w:shd w:val="clear" w:color="auto" w:fill="9DBDE4"/>
          </w:tcPr>
          <w:p>
            <w:pPr>
              <w:jc w:val="center"/>
              <w:spacing w:after="0" w:line="130" w:lineRule="exact"/>
              <w:rPr>
                <w:sz w:val="20"/>
                <w:szCs w:val="20"/>
                <w:color w:val="auto"/>
              </w:rPr>
            </w:pPr>
            <w:r>
              <w:rPr>
                <w:rFonts w:ascii="Arial" w:cs="Arial" w:eastAsia="Arial" w:hAnsi="Arial"/>
                <w:sz w:val="12"/>
                <w:szCs w:val="12"/>
                <w:color w:val="auto"/>
                <w:w w:val="98"/>
              </w:rPr>
              <w:t>3/1/2022</w:t>
            </w:r>
          </w:p>
        </w:tc>
        <w:tc>
          <w:tcPr>
            <w:tcW w:w="80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w:t>
            </w:r>
          </w:p>
        </w:tc>
        <w:tc>
          <w:tcPr>
            <w:tcW w:w="1020" w:type="dxa"/>
            <w:vAlign w:val="bottom"/>
            <w:shd w:val="clear" w:color="auto" w:fill="9DBDE4"/>
          </w:tcPr>
          <w:p>
            <w:pPr>
              <w:jc w:val="right"/>
              <w:ind w:right="19"/>
              <w:spacing w:after="0" w:line="130" w:lineRule="exact"/>
              <w:rPr>
                <w:sz w:val="20"/>
                <w:szCs w:val="20"/>
                <w:color w:val="auto"/>
              </w:rPr>
            </w:pPr>
            <w:r>
              <w:rPr>
                <w:rFonts w:ascii="Arial" w:cs="Arial" w:eastAsia="Arial" w:hAnsi="Arial"/>
                <w:sz w:val="12"/>
                <w:szCs w:val="12"/>
                <w:color w:val="auto"/>
              </w:rPr>
              <w:t>-</w:t>
            </w:r>
          </w:p>
        </w:tc>
        <w:tc>
          <w:tcPr>
            <w:tcW w:w="660" w:type="dxa"/>
            <w:vAlign w:val="bottom"/>
            <w:shd w:val="clear" w:color="auto" w:fill="9DBDE4"/>
          </w:tcPr>
          <w:p>
            <w:pPr>
              <w:jc w:val="right"/>
              <w:ind w:right="19"/>
              <w:spacing w:after="0" w:line="130" w:lineRule="exact"/>
              <w:rPr>
                <w:sz w:val="20"/>
                <w:szCs w:val="20"/>
                <w:color w:val="auto"/>
              </w:rPr>
            </w:pPr>
            <w:r>
              <w:rPr>
                <w:rFonts w:ascii="Arial" w:cs="Arial" w:eastAsia="Arial" w:hAnsi="Arial"/>
                <w:sz w:val="12"/>
                <w:szCs w:val="12"/>
                <w:color w:val="auto"/>
              </w:rPr>
              <w:t>-</w:t>
            </w:r>
          </w:p>
        </w:tc>
        <w:tc>
          <w:tcPr>
            <w:tcW w:w="740" w:type="dxa"/>
            <w:vAlign w:val="bottom"/>
            <w:shd w:val="clear" w:color="auto" w:fill="9DBDE4"/>
          </w:tcPr>
          <w:p>
            <w:pPr>
              <w:jc w:val="right"/>
              <w:ind w:right="19"/>
              <w:spacing w:after="0" w:line="130" w:lineRule="exact"/>
              <w:rPr>
                <w:sz w:val="20"/>
                <w:szCs w:val="20"/>
                <w:color w:val="auto"/>
              </w:rPr>
            </w:pPr>
            <w:r>
              <w:rPr>
                <w:rFonts w:ascii="Arial" w:cs="Arial" w:eastAsia="Arial" w:hAnsi="Arial"/>
                <w:sz w:val="12"/>
                <w:szCs w:val="12"/>
                <w:color w:val="auto"/>
              </w:rPr>
              <w:t>-</w:t>
            </w:r>
          </w:p>
        </w:tc>
        <w:tc>
          <w:tcPr>
            <w:tcW w:w="820" w:type="dxa"/>
            <w:vAlign w:val="bottom"/>
            <w:shd w:val="clear" w:color="auto" w:fill="9DBDE4"/>
          </w:tcPr>
          <w:p>
            <w:pPr>
              <w:jc w:val="right"/>
              <w:ind w:right="121"/>
              <w:spacing w:after="0" w:line="130" w:lineRule="exact"/>
              <w:rPr>
                <w:sz w:val="20"/>
                <w:szCs w:val="20"/>
                <w:color w:val="auto"/>
              </w:rPr>
            </w:pPr>
            <w:r>
              <w:rPr>
                <w:rFonts w:ascii="Arial" w:cs="Arial" w:eastAsia="Arial" w:hAnsi="Arial"/>
                <w:sz w:val="12"/>
                <w:szCs w:val="12"/>
                <w:color w:val="auto"/>
              </w:rPr>
              <w:t>27,348</w:t>
            </w:r>
          </w:p>
        </w:tc>
        <w:tc>
          <w:tcPr>
            <w:tcW w:w="72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836,849</w:t>
            </w:r>
          </w:p>
        </w:tc>
        <w:tc>
          <w:tcPr>
            <w:tcW w:w="1200" w:type="dxa"/>
            <w:vAlign w:val="bottom"/>
            <w:shd w:val="clear" w:color="auto" w:fill="9DBDE4"/>
          </w:tcPr>
          <w:p>
            <w:pPr>
              <w:jc w:val="right"/>
              <w:ind w:right="21"/>
              <w:spacing w:after="0" w:line="130" w:lineRule="exact"/>
              <w:rPr>
                <w:sz w:val="20"/>
                <w:szCs w:val="20"/>
                <w:color w:val="auto"/>
              </w:rPr>
            </w:pPr>
            <w:r>
              <w:rPr>
                <w:rFonts w:ascii="Arial" w:cs="Arial" w:eastAsia="Arial" w:hAnsi="Arial"/>
                <w:sz w:val="10"/>
                <w:szCs w:val="10"/>
                <w:color w:val="auto"/>
              </w:rPr>
              <w:t>30,240</w:t>
            </w:r>
            <w:r>
              <w:rPr>
                <w:rFonts w:ascii="Arial" w:cs="Arial" w:eastAsia="Arial" w:hAnsi="Arial"/>
                <w:sz w:val="15"/>
                <w:szCs w:val="15"/>
                <w:color w:val="auto"/>
                <w:vertAlign w:val="superscript"/>
              </w:rPr>
              <w:t>(5)</w:t>
            </w:r>
          </w:p>
        </w:tc>
        <w:tc>
          <w:tcPr>
            <w:tcW w:w="118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925,344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9DBDE4"/>
          </w:tcPr>
          <w:p>
            <w:pPr>
              <w:spacing w:after="0"/>
              <w:rPr>
                <w:sz w:val="11"/>
                <w:szCs w:val="11"/>
                <w:color w:val="auto"/>
              </w:rPr>
            </w:pPr>
          </w:p>
        </w:tc>
        <w:tc>
          <w:tcPr>
            <w:tcW w:w="700" w:type="dxa"/>
            <w:vAlign w:val="bottom"/>
            <w:gridSpan w:val="2"/>
            <w:shd w:val="clear" w:color="auto" w:fill="9DBDE4"/>
          </w:tcPr>
          <w:p>
            <w:pPr>
              <w:jc w:val="center"/>
              <w:spacing w:after="0" w:line="130" w:lineRule="exact"/>
              <w:rPr>
                <w:sz w:val="20"/>
                <w:szCs w:val="20"/>
                <w:color w:val="auto"/>
              </w:rPr>
            </w:pPr>
            <w:r>
              <w:rPr>
                <w:rFonts w:ascii="Arial" w:cs="Arial" w:eastAsia="Arial" w:hAnsi="Arial"/>
                <w:sz w:val="12"/>
                <w:szCs w:val="12"/>
                <w:color w:val="auto"/>
                <w:w w:val="98"/>
              </w:rPr>
              <w:t>3/1/2021</w:t>
            </w:r>
          </w:p>
        </w:tc>
        <w:tc>
          <w:tcPr>
            <w:tcW w:w="80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w:t>
            </w:r>
          </w:p>
        </w:tc>
        <w:tc>
          <w:tcPr>
            <w:tcW w:w="1020" w:type="dxa"/>
            <w:vAlign w:val="bottom"/>
            <w:shd w:val="clear" w:color="auto" w:fill="9DBDE4"/>
          </w:tcPr>
          <w:p>
            <w:pPr>
              <w:jc w:val="right"/>
              <w:ind w:right="19"/>
              <w:spacing w:after="0" w:line="130" w:lineRule="exact"/>
              <w:rPr>
                <w:sz w:val="20"/>
                <w:szCs w:val="20"/>
                <w:color w:val="auto"/>
              </w:rPr>
            </w:pPr>
            <w:r>
              <w:rPr>
                <w:rFonts w:ascii="Arial" w:cs="Arial" w:eastAsia="Arial" w:hAnsi="Arial"/>
                <w:sz w:val="12"/>
                <w:szCs w:val="12"/>
                <w:color w:val="auto"/>
              </w:rPr>
              <w:t>-</w:t>
            </w:r>
          </w:p>
        </w:tc>
        <w:tc>
          <w:tcPr>
            <w:tcW w:w="660" w:type="dxa"/>
            <w:vAlign w:val="bottom"/>
            <w:shd w:val="clear" w:color="auto" w:fill="9DBDE4"/>
          </w:tcPr>
          <w:p>
            <w:pPr>
              <w:jc w:val="right"/>
              <w:ind w:right="19"/>
              <w:spacing w:after="0" w:line="130" w:lineRule="exact"/>
              <w:rPr>
                <w:sz w:val="20"/>
                <w:szCs w:val="20"/>
                <w:color w:val="auto"/>
              </w:rPr>
            </w:pPr>
            <w:r>
              <w:rPr>
                <w:rFonts w:ascii="Arial" w:cs="Arial" w:eastAsia="Arial" w:hAnsi="Arial"/>
                <w:sz w:val="12"/>
                <w:szCs w:val="12"/>
                <w:color w:val="auto"/>
              </w:rPr>
              <w:t>-</w:t>
            </w:r>
          </w:p>
        </w:tc>
        <w:tc>
          <w:tcPr>
            <w:tcW w:w="740" w:type="dxa"/>
            <w:vAlign w:val="bottom"/>
            <w:shd w:val="clear" w:color="auto" w:fill="9DBDE4"/>
          </w:tcPr>
          <w:p>
            <w:pPr>
              <w:jc w:val="right"/>
              <w:ind w:right="19"/>
              <w:spacing w:after="0" w:line="130" w:lineRule="exact"/>
              <w:rPr>
                <w:sz w:val="20"/>
                <w:szCs w:val="20"/>
                <w:color w:val="auto"/>
              </w:rPr>
            </w:pPr>
            <w:r>
              <w:rPr>
                <w:rFonts w:ascii="Arial" w:cs="Arial" w:eastAsia="Arial" w:hAnsi="Arial"/>
                <w:sz w:val="12"/>
                <w:szCs w:val="12"/>
                <w:color w:val="auto"/>
              </w:rPr>
              <w:t>-</w:t>
            </w:r>
          </w:p>
        </w:tc>
        <w:tc>
          <w:tcPr>
            <w:tcW w:w="820" w:type="dxa"/>
            <w:vAlign w:val="bottom"/>
            <w:shd w:val="clear" w:color="auto" w:fill="9DBDE4"/>
          </w:tcPr>
          <w:p>
            <w:pPr>
              <w:jc w:val="right"/>
              <w:ind w:right="121"/>
              <w:spacing w:after="0" w:line="130" w:lineRule="exact"/>
              <w:rPr>
                <w:sz w:val="20"/>
                <w:szCs w:val="20"/>
                <w:color w:val="auto"/>
              </w:rPr>
            </w:pPr>
            <w:r>
              <w:rPr>
                <w:rFonts w:ascii="Arial" w:cs="Arial" w:eastAsia="Arial" w:hAnsi="Arial"/>
                <w:sz w:val="12"/>
                <w:szCs w:val="12"/>
                <w:color w:val="auto"/>
              </w:rPr>
              <w:t>11,009</w:t>
            </w:r>
          </w:p>
        </w:tc>
        <w:tc>
          <w:tcPr>
            <w:tcW w:w="72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336,875</w:t>
            </w:r>
          </w:p>
        </w:tc>
        <w:tc>
          <w:tcPr>
            <w:tcW w:w="1200" w:type="dxa"/>
            <w:vAlign w:val="bottom"/>
            <w:shd w:val="clear" w:color="auto" w:fill="9DBDE4"/>
          </w:tcPr>
          <w:p>
            <w:pPr>
              <w:jc w:val="right"/>
              <w:ind w:right="21"/>
              <w:spacing w:after="0" w:line="130" w:lineRule="exact"/>
              <w:rPr>
                <w:sz w:val="20"/>
                <w:szCs w:val="20"/>
                <w:color w:val="auto"/>
              </w:rPr>
            </w:pPr>
            <w:r>
              <w:rPr>
                <w:rFonts w:ascii="Arial" w:cs="Arial" w:eastAsia="Arial" w:hAnsi="Arial"/>
                <w:sz w:val="10"/>
                <w:szCs w:val="10"/>
                <w:color w:val="auto"/>
              </w:rPr>
              <w:t>25,692</w:t>
            </w:r>
            <w:r>
              <w:rPr>
                <w:rFonts w:ascii="Arial" w:cs="Arial" w:eastAsia="Arial" w:hAnsi="Arial"/>
                <w:sz w:val="15"/>
                <w:szCs w:val="15"/>
                <w:color w:val="auto"/>
                <w:vertAlign w:val="superscript"/>
              </w:rPr>
              <w:t>(6)</w:t>
            </w:r>
          </w:p>
        </w:tc>
        <w:tc>
          <w:tcPr>
            <w:tcW w:w="118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786,175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9DBDE4"/>
          </w:tcPr>
          <w:p>
            <w:pPr>
              <w:spacing w:after="0"/>
              <w:rPr>
                <w:sz w:val="11"/>
                <w:szCs w:val="11"/>
                <w:color w:val="auto"/>
              </w:rPr>
            </w:pPr>
          </w:p>
        </w:tc>
        <w:tc>
          <w:tcPr>
            <w:tcW w:w="700" w:type="dxa"/>
            <w:vAlign w:val="bottom"/>
            <w:gridSpan w:val="2"/>
            <w:shd w:val="clear" w:color="auto" w:fill="9DBDE4"/>
          </w:tcPr>
          <w:p>
            <w:pPr>
              <w:jc w:val="center"/>
              <w:spacing w:after="0" w:line="130" w:lineRule="exact"/>
              <w:rPr>
                <w:sz w:val="20"/>
                <w:szCs w:val="20"/>
                <w:color w:val="auto"/>
              </w:rPr>
            </w:pPr>
            <w:r>
              <w:rPr>
                <w:rFonts w:ascii="Arial" w:cs="Arial" w:eastAsia="Arial" w:hAnsi="Arial"/>
                <w:sz w:val="12"/>
                <w:szCs w:val="12"/>
                <w:color w:val="auto"/>
              </w:rPr>
              <w:t>2/21/2017</w:t>
            </w:r>
          </w:p>
        </w:tc>
        <w:tc>
          <w:tcPr>
            <w:tcW w:w="80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64,000</w:t>
            </w:r>
          </w:p>
        </w:tc>
        <w:tc>
          <w:tcPr>
            <w:tcW w:w="1020" w:type="dxa"/>
            <w:vAlign w:val="bottom"/>
            <w:shd w:val="clear" w:color="auto" w:fill="9DBDE4"/>
          </w:tcPr>
          <w:p>
            <w:pPr>
              <w:jc w:val="right"/>
              <w:ind w:right="19"/>
              <w:spacing w:after="0" w:line="130" w:lineRule="exact"/>
              <w:rPr>
                <w:sz w:val="20"/>
                <w:szCs w:val="20"/>
                <w:color w:val="auto"/>
              </w:rPr>
            </w:pPr>
            <w:r>
              <w:rPr>
                <w:rFonts w:ascii="Arial" w:cs="Arial" w:eastAsia="Arial" w:hAnsi="Arial"/>
                <w:sz w:val="12"/>
                <w:szCs w:val="12"/>
                <w:color w:val="auto"/>
              </w:rPr>
              <w:t>-</w:t>
            </w:r>
          </w:p>
        </w:tc>
        <w:tc>
          <w:tcPr>
            <w:tcW w:w="660" w:type="dxa"/>
            <w:vAlign w:val="bottom"/>
            <w:shd w:val="clear" w:color="auto" w:fill="9DBDE4"/>
          </w:tcPr>
          <w:p>
            <w:pPr>
              <w:jc w:val="right"/>
              <w:ind w:right="19"/>
              <w:spacing w:after="0" w:line="130" w:lineRule="exact"/>
              <w:rPr>
                <w:sz w:val="20"/>
                <w:szCs w:val="20"/>
                <w:color w:val="auto"/>
              </w:rPr>
            </w:pPr>
            <w:r>
              <w:rPr>
                <w:rFonts w:ascii="Arial" w:cs="Arial" w:eastAsia="Arial" w:hAnsi="Arial"/>
                <w:sz w:val="12"/>
                <w:szCs w:val="12"/>
                <w:color w:val="auto"/>
              </w:rPr>
              <w:t>20.12</w:t>
            </w:r>
          </w:p>
        </w:tc>
        <w:tc>
          <w:tcPr>
            <w:tcW w:w="740" w:type="dxa"/>
            <w:vAlign w:val="bottom"/>
            <w:shd w:val="clear" w:color="auto" w:fill="9DBDE4"/>
          </w:tcPr>
          <w:p>
            <w:pPr>
              <w:jc w:val="right"/>
              <w:ind w:right="19"/>
              <w:spacing w:after="0" w:line="130" w:lineRule="exact"/>
              <w:rPr>
                <w:sz w:val="20"/>
                <w:szCs w:val="20"/>
                <w:color w:val="auto"/>
              </w:rPr>
            </w:pPr>
            <w:r>
              <w:rPr>
                <w:rFonts w:ascii="Arial" w:cs="Arial" w:eastAsia="Arial" w:hAnsi="Arial"/>
                <w:sz w:val="12"/>
                <w:szCs w:val="12"/>
                <w:color w:val="auto"/>
              </w:rPr>
              <w:t>2/21/2027</w:t>
            </w:r>
          </w:p>
        </w:tc>
        <w:tc>
          <w:tcPr>
            <w:tcW w:w="820" w:type="dxa"/>
            <w:vAlign w:val="bottom"/>
            <w:shd w:val="clear" w:color="auto" w:fill="9DBDE4"/>
          </w:tcPr>
          <w:p>
            <w:pPr>
              <w:jc w:val="right"/>
              <w:ind w:right="121"/>
              <w:spacing w:after="0" w:line="130" w:lineRule="exact"/>
              <w:rPr>
                <w:sz w:val="20"/>
                <w:szCs w:val="20"/>
                <w:color w:val="auto"/>
              </w:rPr>
            </w:pPr>
            <w:r>
              <w:rPr>
                <w:rFonts w:ascii="Arial" w:cs="Arial" w:eastAsia="Arial" w:hAnsi="Arial"/>
                <w:sz w:val="12"/>
                <w:szCs w:val="12"/>
                <w:color w:val="auto"/>
              </w:rPr>
              <w:t>-</w:t>
            </w:r>
          </w:p>
        </w:tc>
        <w:tc>
          <w:tcPr>
            <w:tcW w:w="72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w:t>
            </w:r>
          </w:p>
        </w:tc>
        <w:tc>
          <w:tcPr>
            <w:tcW w:w="1200" w:type="dxa"/>
            <w:vAlign w:val="bottom"/>
            <w:shd w:val="clear" w:color="auto" w:fill="9DBDE4"/>
          </w:tcPr>
          <w:p>
            <w:pPr>
              <w:jc w:val="right"/>
              <w:ind w:right="121"/>
              <w:spacing w:after="0" w:line="130" w:lineRule="exact"/>
              <w:rPr>
                <w:sz w:val="20"/>
                <w:szCs w:val="20"/>
                <w:color w:val="auto"/>
              </w:rPr>
            </w:pPr>
            <w:r>
              <w:rPr>
                <w:rFonts w:ascii="Arial" w:cs="Arial" w:eastAsia="Arial" w:hAnsi="Arial"/>
                <w:sz w:val="12"/>
                <w:szCs w:val="12"/>
                <w:color w:val="auto"/>
              </w:rPr>
              <w:t>-</w:t>
            </w:r>
          </w:p>
        </w:tc>
        <w:tc>
          <w:tcPr>
            <w:tcW w:w="118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9DBDE4"/>
          </w:tcPr>
          <w:p>
            <w:pPr>
              <w:spacing w:after="0"/>
              <w:rPr>
                <w:sz w:val="11"/>
                <w:szCs w:val="11"/>
                <w:color w:val="auto"/>
              </w:rPr>
            </w:pPr>
          </w:p>
        </w:tc>
        <w:tc>
          <w:tcPr>
            <w:tcW w:w="700" w:type="dxa"/>
            <w:vAlign w:val="bottom"/>
            <w:gridSpan w:val="2"/>
            <w:shd w:val="clear" w:color="auto" w:fill="9DBDE4"/>
          </w:tcPr>
          <w:p>
            <w:pPr>
              <w:jc w:val="center"/>
              <w:spacing w:after="0" w:line="130" w:lineRule="exact"/>
              <w:rPr>
                <w:sz w:val="20"/>
                <w:szCs w:val="20"/>
                <w:color w:val="auto"/>
              </w:rPr>
            </w:pPr>
            <w:r>
              <w:rPr>
                <w:rFonts w:ascii="Arial" w:cs="Arial" w:eastAsia="Arial" w:hAnsi="Arial"/>
                <w:sz w:val="12"/>
                <w:szCs w:val="12"/>
                <w:color w:val="auto"/>
              </w:rPr>
              <w:t>2/23/2016</w:t>
            </w:r>
          </w:p>
        </w:tc>
        <w:tc>
          <w:tcPr>
            <w:tcW w:w="80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72,333</w:t>
            </w:r>
          </w:p>
        </w:tc>
        <w:tc>
          <w:tcPr>
            <w:tcW w:w="1020" w:type="dxa"/>
            <w:vAlign w:val="bottom"/>
            <w:shd w:val="clear" w:color="auto" w:fill="9DBDE4"/>
          </w:tcPr>
          <w:p>
            <w:pPr>
              <w:jc w:val="right"/>
              <w:ind w:right="19"/>
              <w:spacing w:after="0" w:line="130" w:lineRule="exact"/>
              <w:rPr>
                <w:sz w:val="20"/>
                <w:szCs w:val="20"/>
                <w:color w:val="auto"/>
              </w:rPr>
            </w:pPr>
            <w:r>
              <w:rPr>
                <w:rFonts w:ascii="Arial" w:cs="Arial" w:eastAsia="Arial" w:hAnsi="Arial"/>
                <w:sz w:val="12"/>
                <w:szCs w:val="12"/>
                <w:color w:val="auto"/>
              </w:rPr>
              <w:t>-</w:t>
            </w:r>
          </w:p>
        </w:tc>
        <w:tc>
          <w:tcPr>
            <w:tcW w:w="660" w:type="dxa"/>
            <w:vAlign w:val="bottom"/>
            <w:shd w:val="clear" w:color="auto" w:fill="9DBDE4"/>
          </w:tcPr>
          <w:p>
            <w:pPr>
              <w:jc w:val="right"/>
              <w:ind w:right="19"/>
              <w:spacing w:after="0" w:line="130" w:lineRule="exact"/>
              <w:rPr>
                <w:sz w:val="20"/>
                <w:szCs w:val="20"/>
                <w:color w:val="auto"/>
              </w:rPr>
            </w:pPr>
            <w:r>
              <w:rPr>
                <w:rFonts w:ascii="Arial" w:cs="Arial" w:eastAsia="Arial" w:hAnsi="Arial"/>
                <w:sz w:val="12"/>
                <w:szCs w:val="12"/>
                <w:color w:val="auto"/>
              </w:rPr>
              <w:t>17.89</w:t>
            </w:r>
          </w:p>
        </w:tc>
        <w:tc>
          <w:tcPr>
            <w:tcW w:w="740" w:type="dxa"/>
            <w:vAlign w:val="bottom"/>
            <w:shd w:val="clear" w:color="auto" w:fill="9DBDE4"/>
          </w:tcPr>
          <w:p>
            <w:pPr>
              <w:jc w:val="right"/>
              <w:ind w:right="19"/>
              <w:spacing w:after="0" w:line="130" w:lineRule="exact"/>
              <w:rPr>
                <w:sz w:val="20"/>
                <w:szCs w:val="20"/>
                <w:color w:val="auto"/>
              </w:rPr>
            </w:pPr>
            <w:r>
              <w:rPr>
                <w:rFonts w:ascii="Arial" w:cs="Arial" w:eastAsia="Arial" w:hAnsi="Arial"/>
                <w:sz w:val="12"/>
                <w:szCs w:val="12"/>
                <w:color w:val="auto"/>
              </w:rPr>
              <w:t>2/23/2026</w:t>
            </w:r>
          </w:p>
        </w:tc>
        <w:tc>
          <w:tcPr>
            <w:tcW w:w="820" w:type="dxa"/>
            <w:vAlign w:val="bottom"/>
            <w:shd w:val="clear" w:color="auto" w:fill="9DBDE4"/>
          </w:tcPr>
          <w:p>
            <w:pPr>
              <w:jc w:val="right"/>
              <w:ind w:right="121"/>
              <w:spacing w:after="0" w:line="130" w:lineRule="exact"/>
              <w:rPr>
                <w:sz w:val="20"/>
                <w:szCs w:val="20"/>
                <w:color w:val="auto"/>
              </w:rPr>
            </w:pPr>
            <w:r>
              <w:rPr>
                <w:rFonts w:ascii="Arial" w:cs="Arial" w:eastAsia="Arial" w:hAnsi="Arial"/>
                <w:sz w:val="12"/>
                <w:szCs w:val="12"/>
                <w:color w:val="auto"/>
              </w:rPr>
              <w:t>-</w:t>
            </w:r>
          </w:p>
        </w:tc>
        <w:tc>
          <w:tcPr>
            <w:tcW w:w="72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w:t>
            </w:r>
          </w:p>
        </w:tc>
        <w:tc>
          <w:tcPr>
            <w:tcW w:w="1200" w:type="dxa"/>
            <w:vAlign w:val="bottom"/>
            <w:shd w:val="clear" w:color="auto" w:fill="9DBDE4"/>
          </w:tcPr>
          <w:p>
            <w:pPr>
              <w:jc w:val="right"/>
              <w:ind w:right="121"/>
              <w:spacing w:after="0" w:line="130" w:lineRule="exact"/>
              <w:rPr>
                <w:sz w:val="20"/>
                <w:szCs w:val="20"/>
                <w:color w:val="auto"/>
              </w:rPr>
            </w:pPr>
            <w:r>
              <w:rPr>
                <w:rFonts w:ascii="Arial" w:cs="Arial" w:eastAsia="Arial" w:hAnsi="Arial"/>
                <w:sz w:val="12"/>
                <w:szCs w:val="12"/>
                <w:color w:val="auto"/>
              </w:rPr>
              <w:t>-</w:t>
            </w:r>
          </w:p>
        </w:tc>
        <w:tc>
          <w:tcPr>
            <w:tcW w:w="118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tcBorders>
              <w:bottom w:val="single" w:sz="8" w:color="9DBDE4"/>
            </w:tcBorders>
            <w:shd w:val="clear" w:color="auto" w:fill="9DBDE4"/>
          </w:tcPr>
          <w:p>
            <w:pPr>
              <w:spacing w:after="0"/>
              <w:rPr>
                <w:sz w:val="14"/>
                <w:szCs w:val="14"/>
                <w:color w:val="auto"/>
              </w:rPr>
            </w:pPr>
          </w:p>
        </w:tc>
        <w:tc>
          <w:tcPr>
            <w:tcW w:w="700" w:type="dxa"/>
            <w:vAlign w:val="bottom"/>
            <w:tcBorders>
              <w:bottom w:val="single" w:sz="8" w:color="9DBDE4"/>
            </w:tcBorders>
            <w:gridSpan w:val="2"/>
            <w:shd w:val="clear" w:color="auto" w:fill="9DBDE4"/>
          </w:tcPr>
          <w:p>
            <w:pPr>
              <w:jc w:val="center"/>
              <w:spacing w:after="0"/>
              <w:rPr>
                <w:sz w:val="20"/>
                <w:szCs w:val="20"/>
                <w:color w:val="auto"/>
              </w:rPr>
            </w:pPr>
            <w:r>
              <w:rPr>
                <w:rFonts w:ascii="Arial" w:cs="Arial" w:eastAsia="Arial" w:hAnsi="Arial"/>
                <w:sz w:val="12"/>
                <w:szCs w:val="12"/>
                <w:color w:val="auto"/>
              </w:rPr>
              <w:t>1/26/2015</w:t>
            </w:r>
          </w:p>
        </w:tc>
        <w:tc>
          <w:tcPr>
            <w:tcW w:w="800" w:type="dxa"/>
            <w:vAlign w:val="bottom"/>
            <w:tcBorders>
              <w:bottom w:val="single" w:sz="8" w:color="9DBDE4"/>
            </w:tcBorders>
            <w:shd w:val="clear" w:color="auto" w:fill="9DBDE4"/>
          </w:tcPr>
          <w:p>
            <w:pPr>
              <w:jc w:val="right"/>
              <w:spacing w:after="0"/>
              <w:rPr>
                <w:sz w:val="20"/>
                <w:szCs w:val="20"/>
                <w:color w:val="auto"/>
              </w:rPr>
            </w:pPr>
            <w:r>
              <w:rPr>
                <w:rFonts w:ascii="Arial" w:cs="Arial" w:eastAsia="Arial" w:hAnsi="Arial"/>
                <w:sz w:val="12"/>
                <w:szCs w:val="12"/>
                <w:color w:val="auto"/>
              </w:rPr>
              <w:t>94,488</w:t>
            </w:r>
          </w:p>
        </w:tc>
        <w:tc>
          <w:tcPr>
            <w:tcW w:w="1020" w:type="dxa"/>
            <w:vAlign w:val="bottom"/>
            <w:tcBorders>
              <w:bottom w:val="single" w:sz="8" w:color="9DBDE4"/>
            </w:tcBorders>
            <w:shd w:val="clear" w:color="auto" w:fill="9DBDE4"/>
          </w:tcPr>
          <w:p>
            <w:pPr>
              <w:jc w:val="right"/>
              <w:ind w:right="19"/>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9DBDE4"/>
            </w:tcBorders>
            <w:shd w:val="clear" w:color="auto" w:fill="9DBDE4"/>
          </w:tcPr>
          <w:p>
            <w:pPr>
              <w:jc w:val="right"/>
              <w:ind w:right="19"/>
              <w:spacing w:after="0"/>
              <w:rPr>
                <w:sz w:val="20"/>
                <w:szCs w:val="20"/>
                <w:color w:val="auto"/>
              </w:rPr>
            </w:pPr>
            <w:r>
              <w:rPr>
                <w:rFonts w:ascii="Arial" w:cs="Arial" w:eastAsia="Arial" w:hAnsi="Arial"/>
                <w:sz w:val="12"/>
                <w:szCs w:val="12"/>
                <w:color w:val="auto"/>
              </w:rPr>
              <w:t>19.08</w:t>
            </w:r>
          </w:p>
        </w:tc>
        <w:tc>
          <w:tcPr>
            <w:tcW w:w="740" w:type="dxa"/>
            <w:vAlign w:val="bottom"/>
            <w:tcBorders>
              <w:bottom w:val="single" w:sz="8" w:color="9DBDE4"/>
            </w:tcBorders>
            <w:shd w:val="clear" w:color="auto" w:fill="9DBDE4"/>
          </w:tcPr>
          <w:p>
            <w:pPr>
              <w:jc w:val="right"/>
              <w:ind w:right="19"/>
              <w:spacing w:after="0"/>
              <w:rPr>
                <w:sz w:val="20"/>
                <w:szCs w:val="20"/>
                <w:color w:val="auto"/>
              </w:rPr>
            </w:pPr>
            <w:r>
              <w:rPr>
                <w:rFonts w:ascii="Arial" w:cs="Arial" w:eastAsia="Arial" w:hAnsi="Arial"/>
                <w:sz w:val="12"/>
                <w:szCs w:val="12"/>
                <w:color w:val="auto"/>
              </w:rPr>
              <w:t>1/26/2025</w:t>
            </w:r>
          </w:p>
        </w:tc>
        <w:tc>
          <w:tcPr>
            <w:tcW w:w="820" w:type="dxa"/>
            <w:vAlign w:val="bottom"/>
            <w:tcBorders>
              <w:bottom w:val="single" w:sz="8" w:color="9DBDE4"/>
            </w:tcBorders>
            <w:shd w:val="clear" w:color="auto" w:fill="9DBDE4"/>
          </w:tcPr>
          <w:p>
            <w:pPr>
              <w:jc w:val="right"/>
              <w:ind w:right="121"/>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9DBDE4"/>
            </w:tcBorders>
            <w:shd w:val="clear" w:color="auto" w:fill="9DBDE4"/>
          </w:tcPr>
          <w:p>
            <w:pPr>
              <w:jc w:val="right"/>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9DBDE4"/>
            </w:tcBorders>
            <w:shd w:val="clear" w:color="auto" w:fill="9DBDE4"/>
          </w:tcPr>
          <w:p>
            <w:pPr>
              <w:jc w:val="right"/>
              <w:ind w:right="121"/>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9DBDE4"/>
            </w:tcBorders>
            <w:shd w:val="clear" w:color="auto" w:fill="9DBDE4"/>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500" w:type="dxa"/>
            <w:vAlign w:val="bottom"/>
          </w:tcPr>
          <w:p>
            <w:pPr>
              <w:ind w:left="40"/>
              <w:spacing w:after="0"/>
              <w:rPr>
                <w:sz w:val="20"/>
                <w:szCs w:val="20"/>
                <w:color w:val="auto"/>
              </w:rPr>
            </w:pPr>
            <w:r>
              <w:rPr>
                <w:rFonts w:ascii="Arial" w:cs="Arial" w:eastAsia="Arial" w:hAnsi="Arial"/>
                <w:sz w:val="12"/>
                <w:szCs w:val="12"/>
                <w:color w:val="auto"/>
              </w:rPr>
              <w:t>Alessandro Silva</w:t>
            </w:r>
          </w:p>
        </w:tc>
        <w:tc>
          <w:tcPr>
            <w:tcW w:w="700" w:type="dxa"/>
            <w:vAlign w:val="bottom"/>
            <w:gridSpan w:val="2"/>
          </w:tcPr>
          <w:p>
            <w:pPr>
              <w:jc w:val="center"/>
              <w:spacing w:after="0"/>
              <w:rPr>
                <w:sz w:val="20"/>
                <w:szCs w:val="20"/>
                <w:color w:val="auto"/>
              </w:rPr>
            </w:pPr>
            <w:r>
              <w:rPr>
                <w:rFonts w:ascii="Arial" w:cs="Arial" w:eastAsia="Arial" w:hAnsi="Arial"/>
                <w:sz w:val="12"/>
                <w:szCs w:val="12"/>
                <w:color w:val="auto"/>
              </w:rPr>
              <w:t>5/11/2023</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
              <w:spacing w:after="0" w:line="138" w:lineRule="exact"/>
              <w:rPr>
                <w:sz w:val="20"/>
                <w:szCs w:val="20"/>
                <w:color w:val="auto"/>
              </w:rPr>
            </w:pPr>
            <w:r>
              <w:rPr>
                <w:rFonts w:ascii="Arial" w:cs="Arial" w:eastAsia="Arial" w:hAnsi="Arial"/>
                <w:sz w:val="11"/>
                <w:szCs w:val="11"/>
                <w:color w:val="auto"/>
              </w:rPr>
              <w:t>24,970</w:t>
            </w:r>
            <w:r>
              <w:rPr>
                <w:rFonts w:ascii="Arial" w:cs="Arial" w:eastAsia="Arial" w:hAnsi="Arial"/>
                <w:sz w:val="16"/>
                <w:szCs w:val="16"/>
                <w:color w:val="auto"/>
                <w:vertAlign w:val="superscript"/>
              </w:rPr>
              <w:t>(3)</w:t>
            </w:r>
          </w:p>
        </w:tc>
        <w:tc>
          <w:tcPr>
            <w:tcW w:w="720" w:type="dxa"/>
            <w:vAlign w:val="bottom"/>
          </w:tcPr>
          <w:p>
            <w:pPr>
              <w:jc w:val="right"/>
              <w:spacing w:after="0"/>
              <w:rPr>
                <w:sz w:val="20"/>
                <w:szCs w:val="20"/>
                <w:color w:val="auto"/>
              </w:rPr>
            </w:pPr>
            <w:r>
              <w:rPr>
                <w:rFonts w:ascii="Arial" w:cs="Arial" w:eastAsia="Arial" w:hAnsi="Arial"/>
                <w:sz w:val="12"/>
                <w:szCs w:val="12"/>
                <w:color w:val="auto"/>
              </w:rPr>
              <w:t>764,082</w:t>
            </w:r>
          </w:p>
        </w:tc>
        <w:tc>
          <w:tcPr>
            <w:tcW w:w="1200" w:type="dxa"/>
            <w:vAlign w:val="bottom"/>
          </w:tcPr>
          <w:p>
            <w:pPr>
              <w:jc w:val="right"/>
              <w:ind w:right="21"/>
              <w:spacing w:after="0" w:line="138" w:lineRule="exact"/>
              <w:rPr>
                <w:sz w:val="20"/>
                <w:szCs w:val="20"/>
                <w:color w:val="auto"/>
              </w:rPr>
            </w:pPr>
            <w:r>
              <w:rPr>
                <w:rFonts w:ascii="Arial" w:cs="Arial" w:eastAsia="Arial" w:hAnsi="Arial"/>
                <w:sz w:val="11"/>
                <w:szCs w:val="11"/>
                <w:color w:val="auto"/>
              </w:rPr>
              <w:t>9,988</w:t>
            </w:r>
            <w:r>
              <w:rPr>
                <w:rFonts w:ascii="Arial" w:cs="Arial" w:eastAsia="Arial" w:hAnsi="Arial"/>
                <w:sz w:val="16"/>
                <w:szCs w:val="16"/>
                <w:color w:val="auto"/>
                <w:vertAlign w:val="superscript"/>
              </w:rPr>
              <w:t>(4)</w:t>
            </w:r>
          </w:p>
        </w:tc>
        <w:tc>
          <w:tcPr>
            <w:tcW w:w="1180" w:type="dxa"/>
            <w:vAlign w:val="bottom"/>
          </w:tcPr>
          <w:p>
            <w:pPr>
              <w:jc w:val="right"/>
              <w:spacing w:after="0"/>
              <w:rPr>
                <w:sz w:val="20"/>
                <w:szCs w:val="20"/>
                <w:color w:val="auto"/>
              </w:rPr>
            </w:pPr>
            <w:r>
              <w:rPr>
                <w:rFonts w:ascii="Arial" w:cs="Arial" w:eastAsia="Arial" w:hAnsi="Arial"/>
                <w:sz w:val="12"/>
                <w:szCs w:val="12"/>
                <w:color w:val="auto"/>
              </w:rPr>
              <w:t>305,633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00" w:type="dxa"/>
            <w:vAlign w:val="bottom"/>
            <w:gridSpan w:val="2"/>
          </w:tcPr>
          <w:p>
            <w:pPr>
              <w:jc w:val="center"/>
              <w:spacing w:after="0" w:line="130" w:lineRule="exact"/>
              <w:rPr>
                <w:sz w:val="20"/>
                <w:szCs w:val="20"/>
                <w:color w:val="auto"/>
              </w:rPr>
            </w:pPr>
            <w:r>
              <w:rPr>
                <w:rFonts w:ascii="Arial" w:cs="Arial" w:eastAsia="Arial" w:hAnsi="Arial"/>
                <w:sz w:val="12"/>
                <w:szCs w:val="12"/>
                <w:color w:val="auto"/>
                <w:w w:val="98"/>
              </w:rPr>
              <w:t>8/9/2022</w:t>
            </w:r>
          </w:p>
        </w:tc>
        <w:tc>
          <w:tcPr>
            <w:tcW w:w="8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19"/>
              <w:spacing w:after="0" w:line="130"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line="130"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19"/>
              <w:spacing w:after="0" w:line="130"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
              <w:spacing w:after="0" w:line="130" w:lineRule="exact"/>
              <w:rPr>
                <w:sz w:val="20"/>
                <w:szCs w:val="20"/>
                <w:color w:val="auto"/>
              </w:rPr>
            </w:pPr>
            <w:r>
              <w:rPr>
                <w:rFonts w:ascii="Arial" w:cs="Arial" w:eastAsia="Arial" w:hAnsi="Arial"/>
                <w:sz w:val="10"/>
                <w:szCs w:val="10"/>
                <w:color w:val="auto"/>
              </w:rPr>
              <w:t>16,917</w:t>
            </w:r>
            <w:r>
              <w:rPr>
                <w:rFonts w:ascii="Arial" w:cs="Arial" w:eastAsia="Arial" w:hAnsi="Arial"/>
                <w:sz w:val="15"/>
                <w:szCs w:val="15"/>
                <w:color w:val="auto"/>
                <w:vertAlign w:val="superscript"/>
              </w:rPr>
              <w:t>(3)</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517,660</w:t>
            </w:r>
          </w:p>
        </w:tc>
        <w:tc>
          <w:tcPr>
            <w:tcW w:w="1200" w:type="dxa"/>
            <w:vAlign w:val="bottom"/>
          </w:tcPr>
          <w:p>
            <w:pPr>
              <w:jc w:val="right"/>
              <w:ind w:right="121"/>
              <w:spacing w:after="0" w:line="130" w:lineRule="exact"/>
              <w:rPr>
                <w:sz w:val="20"/>
                <w:szCs w:val="20"/>
                <w:color w:val="auto"/>
              </w:rPr>
            </w:pPr>
            <w:r>
              <w:rPr>
                <w:rFonts w:ascii="Arial" w:cs="Arial" w:eastAsia="Arial" w:hAnsi="Arial"/>
                <w:sz w:val="12"/>
                <w:szCs w:val="12"/>
                <w:color w:val="auto"/>
              </w:rPr>
              <w:t>-</w:t>
            </w:r>
          </w:p>
        </w:tc>
        <w:tc>
          <w:tcPr>
            <w:tcW w:w="118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00" w:type="dxa"/>
            <w:vAlign w:val="bottom"/>
            <w:gridSpan w:val="2"/>
          </w:tcPr>
          <w:p>
            <w:pPr>
              <w:jc w:val="center"/>
              <w:spacing w:after="0" w:line="130" w:lineRule="exact"/>
              <w:rPr>
                <w:sz w:val="20"/>
                <w:szCs w:val="20"/>
                <w:color w:val="auto"/>
              </w:rPr>
            </w:pPr>
            <w:r>
              <w:rPr>
                <w:rFonts w:ascii="Arial" w:cs="Arial" w:eastAsia="Arial" w:hAnsi="Arial"/>
                <w:sz w:val="12"/>
                <w:szCs w:val="12"/>
                <w:color w:val="auto"/>
                <w:w w:val="98"/>
              </w:rPr>
              <w:t>3/1/2022</w:t>
            </w:r>
          </w:p>
        </w:tc>
        <w:tc>
          <w:tcPr>
            <w:tcW w:w="80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19"/>
              <w:spacing w:after="0" w:line="130"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line="130"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19"/>
              <w:spacing w:after="0" w:line="130"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21"/>
              <w:spacing w:after="0" w:line="130" w:lineRule="exact"/>
              <w:rPr>
                <w:sz w:val="20"/>
                <w:szCs w:val="20"/>
                <w:color w:val="auto"/>
              </w:rPr>
            </w:pPr>
            <w:r>
              <w:rPr>
                <w:rFonts w:ascii="Arial" w:cs="Arial" w:eastAsia="Arial" w:hAnsi="Arial"/>
                <w:sz w:val="12"/>
                <w:szCs w:val="12"/>
                <w:color w:val="auto"/>
              </w:rPr>
              <w:t>6,311</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193,117</w:t>
            </w:r>
          </w:p>
        </w:tc>
        <w:tc>
          <w:tcPr>
            <w:tcW w:w="1200" w:type="dxa"/>
            <w:vAlign w:val="bottom"/>
          </w:tcPr>
          <w:p>
            <w:pPr>
              <w:jc w:val="right"/>
              <w:ind w:right="21"/>
              <w:spacing w:after="0" w:line="130" w:lineRule="exact"/>
              <w:rPr>
                <w:sz w:val="20"/>
                <w:szCs w:val="20"/>
                <w:color w:val="auto"/>
              </w:rPr>
            </w:pPr>
            <w:r>
              <w:rPr>
                <w:rFonts w:ascii="Arial" w:cs="Arial" w:eastAsia="Arial" w:hAnsi="Arial"/>
                <w:sz w:val="10"/>
                <w:szCs w:val="10"/>
                <w:color w:val="auto"/>
              </w:rPr>
              <w:t>6,978</w:t>
            </w:r>
            <w:r>
              <w:rPr>
                <w:rFonts w:ascii="Arial" w:cs="Arial" w:eastAsia="Arial" w:hAnsi="Arial"/>
                <w:sz w:val="15"/>
                <w:szCs w:val="15"/>
                <w:color w:val="auto"/>
                <w:vertAlign w:val="superscript"/>
              </w:rPr>
              <w:t>(5)</w:t>
            </w:r>
          </w:p>
        </w:tc>
        <w:tc>
          <w:tcPr>
            <w:tcW w:w="1180" w:type="dxa"/>
            <w:vAlign w:val="bottom"/>
          </w:tcPr>
          <w:p>
            <w:pPr>
              <w:jc w:val="right"/>
              <w:spacing w:after="0" w:line="130" w:lineRule="exact"/>
              <w:rPr>
                <w:sz w:val="20"/>
                <w:szCs w:val="20"/>
                <w:color w:val="auto"/>
              </w:rPr>
            </w:pPr>
            <w:r>
              <w:rPr>
                <w:rFonts w:ascii="Arial" w:cs="Arial" w:eastAsia="Arial" w:hAnsi="Arial"/>
                <w:sz w:val="12"/>
                <w:szCs w:val="12"/>
                <w:color w:val="auto"/>
              </w:rPr>
              <w:t>213,527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2"/>
                <w:szCs w:val="12"/>
                <w:color w:val="auto"/>
                <w:w w:val="98"/>
              </w:rPr>
              <w:t>6/2/2021</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21"/>
              <w:spacing w:after="0"/>
              <w:rPr>
                <w:sz w:val="20"/>
                <w:szCs w:val="20"/>
                <w:color w:val="auto"/>
              </w:rPr>
            </w:pPr>
            <w:r>
              <w:rPr>
                <w:rFonts w:ascii="Arial" w:cs="Arial" w:eastAsia="Arial" w:hAnsi="Arial"/>
                <w:sz w:val="12"/>
                <w:szCs w:val="12"/>
                <w:color w:val="auto"/>
              </w:rPr>
              <w:t>3,864</w:t>
            </w:r>
          </w:p>
        </w:tc>
        <w:tc>
          <w:tcPr>
            <w:tcW w:w="720" w:type="dxa"/>
            <w:vAlign w:val="bottom"/>
          </w:tcPr>
          <w:p>
            <w:pPr>
              <w:jc w:val="right"/>
              <w:spacing w:after="0"/>
              <w:rPr>
                <w:sz w:val="20"/>
                <w:szCs w:val="20"/>
                <w:color w:val="auto"/>
              </w:rPr>
            </w:pPr>
            <w:r>
              <w:rPr>
                <w:rFonts w:ascii="Arial" w:cs="Arial" w:eastAsia="Arial" w:hAnsi="Arial"/>
                <w:sz w:val="12"/>
                <w:szCs w:val="12"/>
                <w:color w:val="auto"/>
              </w:rPr>
              <w:t>118,238</w:t>
            </w:r>
          </w:p>
        </w:tc>
        <w:tc>
          <w:tcPr>
            <w:tcW w:w="120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2"/>
                <w:szCs w:val="12"/>
                <w:color w:val="auto"/>
              </w:rPr>
            </w:pPr>
          </w:p>
        </w:tc>
        <w:tc>
          <w:tcPr>
            <w:tcW w:w="1500" w:type="dxa"/>
            <w:vAlign w:val="bottom"/>
            <w:shd w:val="clear" w:color="auto" w:fill="9DBDE4"/>
          </w:tcPr>
          <w:p>
            <w:pPr>
              <w:ind w:left="40"/>
              <w:spacing w:after="0"/>
              <w:rPr>
                <w:sz w:val="20"/>
                <w:szCs w:val="20"/>
                <w:color w:val="auto"/>
              </w:rPr>
            </w:pPr>
            <w:r>
              <w:rPr>
                <w:rFonts w:ascii="Arial" w:cs="Arial" w:eastAsia="Arial" w:hAnsi="Arial"/>
                <w:sz w:val="12"/>
                <w:szCs w:val="12"/>
                <w:color w:val="auto"/>
              </w:rPr>
              <w:t>Deborah L. Guerra</w:t>
            </w:r>
          </w:p>
        </w:tc>
        <w:tc>
          <w:tcPr>
            <w:tcW w:w="700" w:type="dxa"/>
            <w:vAlign w:val="bottom"/>
            <w:gridSpan w:val="2"/>
            <w:shd w:val="clear" w:color="auto" w:fill="9DBDE4"/>
          </w:tcPr>
          <w:p>
            <w:pPr>
              <w:jc w:val="center"/>
              <w:spacing w:after="0"/>
              <w:rPr>
                <w:sz w:val="20"/>
                <w:szCs w:val="20"/>
                <w:color w:val="auto"/>
              </w:rPr>
            </w:pPr>
            <w:r>
              <w:rPr>
                <w:rFonts w:ascii="Arial" w:cs="Arial" w:eastAsia="Arial" w:hAnsi="Arial"/>
                <w:sz w:val="12"/>
                <w:szCs w:val="12"/>
                <w:color w:val="auto"/>
              </w:rPr>
              <w:t>5/11/2023</w:t>
            </w:r>
          </w:p>
        </w:tc>
        <w:tc>
          <w:tcPr>
            <w:tcW w:w="800" w:type="dxa"/>
            <w:vAlign w:val="bottom"/>
            <w:shd w:val="clear" w:color="auto" w:fill="9DBDE4"/>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9DBDE4"/>
          </w:tcPr>
          <w:p>
            <w:pPr>
              <w:jc w:val="right"/>
              <w:ind w:right="19"/>
              <w:spacing w:after="0"/>
              <w:rPr>
                <w:sz w:val="20"/>
                <w:szCs w:val="20"/>
                <w:color w:val="auto"/>
              </w:rPr>
            </w:pPr>
            <w:r>
              <w:rPr>
                <w:rFonts w:ascii="Arial" w:cs="Arial" w:eastAsia="Arial" w:hAnsi="Arial"/>
                <w:sz w:val="12"/>
                <w:szCs w:val="12"/>
                <w:color w:val="auto"/>
              </w:rPr>
              <w:t>-</w:t>
            </w:r>
          </w:p>
        </w:tc>
        <w:tc>
          <w:tcPr>
            <w:tcW w:w="660" w:type="dxa"/>
            <w:vAlign w:val="bottom"/>
            <w:shd w:val="clear" w:color="auto" w:fill="9DBDE4"/>
          </w:tcPr>
          <w:p>
            <w:pPr>
              <w:jc w:val="right"/>
              <w:ind w:right="19"/>
              <w:spacing w:after="0"/>
              <w:rPr>
                <w:sz w:val="20"/>
                <w:szCs w:val="20"/>
                <w:color w:val="auto"/>
              </w:rPr>
            </w:pPr>
            <w:r>
              <w:rPr>
                <w:rFonts w:ascii="Arial" w:cs="Arial" w:eastAsia="Arial" w:hAnsi="Arial"/>
                <w:sz w:val="12"/>
                <w:szCs w:val="12"/>
                <w:color w:val="auto"/>
              </w:rPr>
              <w:t>-</w:t>
            </w:r>
          </w:p>
        </w:tc>
        <w:tc>
          <w:tcPr>
            <w:tcW w:w="740" w:type="dxa"/>
            <w:vAlign w:val="bottom"/>
            <w:shd w:val="clear" w:color="auto" w:fill="9DBDE4"/>
          </w:tcPr>
          <w:p>
            <w:pPr>
              <w:jc w:val="right"/>
              <w:ind w:right="19"/>
              <w:spacing w:after="0"/>
              <w:rPr>
                <w:sz w:val="20"/>
                <w:szCs w:val="20"/>
                <w:color w:val="auto"/>
              </w:rPr>
            </w:pPr>
            <w:r>
              <w:rPr>
                <w:rFonts w:ascii="Arial" w:cs="Arial" w:eastAsia="Arial" w:hAnsi="Arial"/>
                <w:sz w:val="12"/>
                <w:szCs w:val="12"/>
                <w:color w:val="auto"/>
              </w:rPr>
              <w:t>-</w:t>
            </w:r>
          </w:p>
        </w:tc>
        <w:tc>
          <w:tcPr>
            <w:tcW w:w="820" w:type="dxa"/>
            <w:vAlign w:val="bottom"/>
            <w:shd w:val="clear" w:color="auto" w:fill="9DBDE4"/>
          </w:tcPr>
          <w:p>
            <w:pPr>
              <w:jc w:val="right"/>
              <w:ind w:right="1"/>
              <w:spacing w:after="0" w:line="138" w:lineRule="exact"/>
              <w:rPr>
                <w:sz w:val="20"/>
                <w:szCs w:val="20"/>
                <w:color w:val="auto"/>
              </w:rPr>
            </w:pPr>
            <w:r>
              <w:rPr>
                <w:rFonts w:ascii="Arial" w:cs="Arial" w:eastAsia="Arial" w:hAnsi="Arial"/>
                <w:sz w:val="11"/>
                <w:szCs w:val="11"/>
                <w:color w:val="auto"/>
              </w:rPr>
              <w:t>24,970</w:t>
            </w:r>
            <w:r>
              <w:rPr>
                <w:rFonts w:ascii="Arial" w:cs="Arial" w:eastAsia="Arial" w:hAnsi="Arial"/>
                <w:sz w:val="16"/>
                <w:szCs w:val="16"/>
                <w:color w:val="auto"/>
                <w:vertAlign w:val="superscript"/>
              </w:rPr>
              <w:t>(3)</w:t>
            </w:r>
          </w:p>
        </w:tc>
        <w:tc>
          <w:tcPr>
            <w:tcW w:w="720" w:type="dxa"/>
            <w:vAlign w:val="bottom"/>
            <w:shd w:val="clear" w:color="auto" w:fill="9DBDE4"/>
          </w:tcPr>
          <w:p>
            <w:pPr>
              <w:jc w:val="right"/>
              <w:spacing w:after="0"/>
              <w:rPr>
                <w:sz w:val="20"/>
                <w:szCs w:val="20"/>
                <w:color w:val="auto"/>
              </w:rPr>
            </w:pPr>
            <w:r>
              <w:rPr>
                <w:rFonts w:ascii="Arial" w:cs="Arial" w:eastAsia="Arial" w:hAnsi="Arial"/>
                <w:sz w:val="12"/>
                <w:szCs w:val="12"/>
                <w:color w:val="auto"/>
              </w:rPr>
              <w:t>764,082</w:t>
            </w:r>
          </w:p>
        </w:tc>
        <w:tc>
          <w:tcPr>
            <w:tcW w:w="1200" w:type="dxa"/>
            <w:vAlign w:val="bottom"/>
            <w:shd w:val="clear" w:color="auto" w:fill="9DBDE4"/>
          </w:tcPr>
          <w:p>
            <w:pPr>
              <w:jc w:val="right"/>
              <w:ind w:right="21"/>
              <w:spacing w:after="0" w:line="138" w:lineRule="exact"/>
              <w:rPr>
                <w:sz w:val="20"/>
                <w:szCs w:val="20"/>
                <w:color w:val="auto"/>
              </w:rPr>
            </w:pPr>
            <w:r>
              <w:rPr>
                <w:rFonts w:ascii="Arial" w:cs="Arial" w:eastAsia="Arial" w:hAnsi="Arial"/>
                <w:sz w:val="11"/>
                <w:szCs w:val="11"/>
                <w:color w:val="auto"/>
              </w:rPr>
              <w:t>9,988</w:t>
            </w:r>
            <w:r>
              <w:rPr>
                <w:rFonts w:ascii="Arial" w:cs="Arial" w:eastAsia="Arial" w:hAnsi="Arial"/>
                <w:sz w:val="16"/>
                <w:szCs w:val="16"/>
                <w:color w:val="auto"/>
                <w:vertAlign w:val="superscript"/>
              </w:rPr>
              <w:t>(4)</w:t>
            </w:r>
          </w:p>
        </w:tc>
        <w:tc>
          <w:tcPr>
            <w:tcW w:w="1180" w:type="dxa"/>
            <w:vAlign w:val="bottom"/>
            <w:shd w:val="clear" w:color="auto" w:fill="9DBDE4"/>
          </w:tcPr>
          <w:p>
            <w:pPr>
              <w:jc w:val="right"/>
              <w:spacing w:after="0"/>
              <w:rPr>
                <w:sz w:val="20"/>
                <w:szCs w:val="20"/>
                <w:color w:val="auto"/>
              </w:rPr>
            </w:pPr>
            <w:r>
              <w:rPr>
                <w:rFonts w:ascii="Arial" w:cs="Arial" w:eastAsia="Arial" w:hAnsi="Arial"/>
                <w:sz w:val="12"/>
                <w:szCs w:val="12"/>
                <w:color w:val="auto"/>
              </w:rPr>
              <w:t>305,633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9DBDE4"/>
          </w:tcPr>
          <w:p>
            <w:pPr>
              <w:spacing w:after="0"/>
              <w:rPr>
                <w:sz w:val="11"/>
                <w:szCs w:val="11"/>
                <w:color w:val="auto"/>
              </w:rPr>
            </w:pPr>
          </w:p>
        </w:tc>
        <w:tc>
          <w:tcPr>
            <w:tcW w:w="700" w:type="dxa"/>
            <w:vAlign w:val="bottom"/>
            <w:gridSpan w:val="2"/>
            <w:shd w:val="clear" w:color="auto" w:fill="9DBDE4"/>
          </w:tcPr>
          <w:p>
            <w:pPr>
              <w:jc w:val="center"/>
              <w:spacing w:after="0" w:line="130" w:lineRule="exact"/>
              <w:rPr>
                <w:sz w:val="20"/>
                <w:szCs w:val="20"/>
                <w:color w:val="auto"/>
              </w:rPr>
            </w:pPr>
            <w:r>
              <w:rPr>
                <w:rFonts w:ascii="Arial" w:cs="Arial" w:eastAsia="Arial" w:hAnsi="Arial"/>
                <w:sz w:val="12"/>
                <w:szCs w:val="12"/>
                <w:color w:val="auto"/>
                <w:w w:val="98"/>
              </w:rPr>
              <w:t>8/9/2022</w:t>
            </w:r>
          </w:p>
        </w:tc>
        <w:tc>
          <w:tcPr>
            <w:tcW w:w="80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w:t>
            </w:r>
          </w:p>
        </w:tc>
        <w:tc>
          <w:tcPr>
            <w:tcW w:w="1020" w:type="dxa"/>
            <w:vAlign w:val="bottom"/>
            <w:shd w:val="clear" w:color="auto" w:fill="9DBDE4"/>
          </w:tcPr>
          <w:p>
            <w:pPr>
              <w:jc w:val="right"/>
              <w:ind w:right="19"/>
              <w:spacing w:after="0" w:line="130" w:lineRule="exact"/>
              <w:rPr>
                <w:sz w:val="20"/>
                <w:szCs w:val="20"/>
                <w:color w:val="auto"/>
              </w:rPr>
            </w:pPr>
            <w:r>
              <w:rPr>
                <w:rFonts w:ascii="Arial" w:cs="Arial" w:eastAsia="Arial" w:hAnsi="Arial"/>
                <w:sz w:val="12"/>
                <w:szCs w:val="12"/>
                <w:color w:val="auto"/>
              </w:rPr>
              <w:t>-</w:t>
            </w:r>
          </w:p>
        </w:tc>
        <w:tc>
          <w:tcPr>
            <w:tcW w:w="660" w:type="dxa"/>
            <w:vAlign w:val="bottom"/>
            <w:shd w:val="clear" w:color="auto" w:fill="9DBDE4"/>
          </w:tcPr>
          <w:p>
            <w:pPr>
              <w:jc w:val="right"/>
              <w:ind w:right="19"/>
              <w:spacing w:after="0" w:line="130" w:lineRule="exact"/>
              <w:rPr>
                <w:sz w:val="20"/>
                <w:szCs w:val="20"/>
                <w:color w:val="auto"/>
              </w:rPr>
            </w:pPr>
            <w:r>
              <w:rPr>
                <w:rFonts w:ascii="Arial" w:cs="Arial" w:eastAsia="Arial" w:hAnsi="Arial"/>
                <w:sz w:val="12"/>
                <w:szCs w:val="12"/>
                <w:color w:val="auto"/>
              </w:rPr>
              <w:t>-</w:t>
            </w:r>
          </w:p>
        </w:tc>
        <w:tc>
          <w:tcPr>
            <w:tcW w:w="740" w:type="dxa"/>
            <w:vAlign w:val="bottom"/>
            <w:shd w:val="clear" w:color="auto" w:fill="9DBDE4"/>
          </w:tcPr>
          <w:p>
            <w:pPr>
              <w:jc w:val="right"/>
              <w:ind w:right="19"/>
              <w:spacing w:after="0" w:line="130" w:lineRule="exact"/>
              <w:rPr>
                <w:sz w:val="20"/>
                <w:szCs w:val="20"/>
                <w:color w:val="auto"/>
              </w:rPr>
            </w:pPr>
            <w:r>
              <w:rPr>
                <w:rFonts w:ascii="Arial" w:cs="Arial" w:eastAsia="Arial" w:hAnsi="Arial"/>
                <w:sz w:val="12"/>
                <w:szCs w:val="12"/>
                <w:color w:val="auto"/>
              </w:rPr>
              <w:t>-</w:t>
            </w:r>
          </w:p>
        </w:tc>
        <w:tc>
          <w:tcPr>
            <w:tcW w:w="820" w:type="dxa"/>
            <w:vAlign w:val="bottom"/>
            <w:shd w:val="clear" w:color="auto" w:fill="9DBDE4"/>
          </w:tcPr>
          <w:p>
            <w:pPr>
              <w:jc w:val="right"/>
              <w:ind w:right="1"/>
              <w:spacing w:after="0" w:line="130" w:lineRule="exact"/>
              <w:rPr>
                <w:sz w:val="20"/>
                <w:szCs w:val="20"/>
                <w:color w:val="auto"/>
              </w:rPr>
            </w:pPr>
            <w:r>
              <w:rPr>
                <w:rFonts w:ascii="Arial" w:cs="Arial" w:eastAsia="Arial" w:hAnsi="Arial"/>
                <w:sz w:val="10"/>
                <w:szCs w:val="10"/>
                <w:color w:val="auto"/>
              </w:rPr>
              <w:t>7,894</w:t>
            </w:r>
            <w:r>
              <w:rPr>
                <w:rFonts w:ascii="Arial" w:cs="Arial" w:eastAsia="Arial" w:hAnsi="Arial"/>
                <w:sz w:val="15"/>
                <w:szCs w:val="15"/>
                <w:color w:val="auto"/>
                <w:vertAlign w:val="superscript"/>
              </w:rPr>
              <w:t>(3)</w:t>
            </w:r>
          </w:p>
        </w:tc>
        <w:tc>
          <w:tcPr>
            <w:tcW w:w="72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241,556</w:t>
            </w:r>
          </w:p>
        </w:tc>
        <w:tc>
          <w:tcPr>
            <w:tcW w:w="1200" w:type="dxa"/>
            <w:vAlign w:val="bottom"/>
            <w:shd w:val="clear" w:color="auto" w:fill="9DBDE4"/>
          </w:tcPr>
          <w:p>
            <w:pPr>
              <w:jc w:val="right"/>
              <w:ind w:right="121"/>
              <w:spacing w:after="0" w:line="130" w:lineRule="exact"/>
              <w:rPr>
                <w:sz w:val="20"/>
                <w:szCs w:val="20"/>
                <w:color w:val="auto"/>
              </w:rPr>
            </w:pPr>
            <w:r>
              <w:rPr>
                <w:rFonts w:ascii="Arial" w:cs="Arial" w:eastAsia="Arial" w:hAnsi="Arial"/>
                <w:sz w:val="12"/>
                <w:szCs w:val="12"/>
                <w:color w:val="auto"/>
              </w:rPr>
              <w:t>-</w:t>
            </w:r>
          </w:p>
        </w:tc>
        <w:tc>
          <w:tcPr>
            <w:tcW w:w="118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9DBDE4"/>
          </w:tcPr>
          <w:p>
            <w:pPr>
              <w:spacing w:after="0"/>
              <w:rPr>
                <w:sz w:val="11"/>
                <w:szCs w:val="11"/>
                <w:color w:val="auto"/>
              </w:rPr>
            </w:pPr>
          </w:p>
        </w:tc>
        <w:tc>
          <w:tcPr>
            <w:tcW w:w="700" w:type="dxa"/>
            <w:vAlign w:val="bottom"/>
            <w:gridSpan w:val="2"/>
            <w:shd w:val="clear" w:color="auto" w:fill="9DBDE4"/>
          </w:tcPr>
          <w:p>
            <w:pPr>
              <w:jc w:val="center"/>
              <w:spacing w:after="0" w:line="130" w:lineRule="exact"/>
              <w:rPr>
                <w:sz w:val="20"/>
                <w:szCs w:val="20"/>
                <w:color w:val="auto"/>
              </w:rPr>
            </w:pPr>
            <w:r>
              <w:rPr>
                <w:rFonts w:ascii="Arial" w:cs="Arial" w:eastAsia="Arial" w:hAnsi="Arial"/>
                <w:sz w:val="12"/>
                <w:szCs w:val="12"/>
                <w:color w:val="auto"/>
                <w:w w:val="98"/>
              </w:rPr>
              <w:t>3/1/2022</w:t>
            </w:r>
          </w:p>
        </w:tc>
        <w:tc>
          <w:tcPr>
            <w:tcW w:w="80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w:t>
            </w:r>
          </w:p>
        </w:tc>
        <w:tc>
          <w:tcPr>
            <w:tcW w:w="1020" w:type="dxa"/>
            <w:vAlign w:val="bottom"/>
            <w:shd w:val="clear" w:color="auto" w:fill="9DBDE4"/>
          </w:tcPr>
          <w:p>
            <w:pPr>
              <w:jc w:val="right"/>
              <w:ind w:right="19"/>
              <w:spacing w:after="0" w:line="130" w:lineRule="exact"/>
              <w:rPr>
                <w:sz w:val="20"/>
                <w:szCs w:val="20"/>
                <w:color w:val="auto"/>
              </w:rPr>
            </w:pPr>
            <w:r>
              <w:rPr>
                <w:rFonts w:ascii="Arial" w:cs="Arial" w:eastAsia="Arial" w:hAnsi="Arial"/>
                <w:sz w:val="12"/>
                <w:szCs w:val="12"/>
                <w:color w:val="auto"/>
              </w:rPr>
              <w:t>-</w:t>
            </w:r>
          </w:p>
        </w:tc>
        <w:tc>
          <w:tcPr>
            <w:tcW w:w="660" w:type="dxa"/>
            <w:vAlign w:val="bottom"/>
            <w:shd w:val="clear" w:color="auto" w:fill="9DBDE4"/>
          </w:tcPr>
          <w:p>
            <w:pPr>
              <w:jc w:val="right"/>
              <w:ind w:right="19"/>
              <w:spacing w:after="0" w:line="130" w:lineRule="exact"/>
              <w:rPr>
                <w:sz w:val="20"/>
                <w:szCs w:val="20"/>
                <w:color w:val="auto"/>
              </w:rPr>
            </w:pPr>
            <w:r>
              <w:rPr>
                <w:rFonts w:ascii="Arial" w:cs="Arial" w:eastAsia="Arial" w:hAnsi="Arial"/>
                <w:sz w:val="12"/>
                <w:szCs w:val="12"/>
                <w:color w:val="auto"/>
              </w:rPr>
              <w:t>-</w:t>
            </w:r>
          </w:p>
        </w:tc>
        <w:tc>
          <w:tcPr>
            <w:tcW w:w="740" w:type="dxa"/>
            <w:vAlign w:val="bottom"/>
            <w:shd w:val="clear" w:color="auto" w:fill="9DBDE4"/>
          </w:tcPr>
          <w:p>
            <w:pPr>
              <w:jc w:val="right"/>
              <w:ind w:right="19"/>
              <w:spacing w:after="0" w:line="130" w:lineRule="exact"/>
              <w:rPr>
                <w:sz w:val="20"/>
                <w:szCs w:val="20"/>
                <w:color w:val="auto"/>
              </w:rPr>
            </w:pPr>
            <w:r>
              <w:rPr>
                <w:rFonts w:ascii="Arial" w:cs="Arial" w:eastAsia="Arial" w:hAnsi="Arial"/>
                <w:sz w:val="12"/>
                <w:szCs w:val="12"/>
                <w:color w:val="auto"/>
              </w:rPr>
              <w:t>-</w:t>
            </w:r>
          </w:p>
        </w:tc>
        <w:tc>
          <w:tcPr>
            <w:tcW w:w="820" w:type="dxa"/>
            <w:vAlign w:val="bottom"/>
            <w:shd w:val="clear" w:color="auto" w:fill="9DBDE4"/>
          </w:tcPr>
          <w:p>
            <w:pPr>
              <w:jc w:val="right"/>
              <w:ind w:right="121"/>
              <w:spacing w:after="0" w:line="130" w:lineRule="exact"/>
              <w:rPr>
                <w:sz w:val="20"/>
                <w:szCs w:val="20"/>
                <w:color w:val="auto"/>
              </w:rPr>
            </w:pPr>
            <w:r>
              <w:rPr>
                <w:rFonts w:ascii="Arial" w:cs="Arial" w:eastAsia="Arial" w:hAnsi="Arial"/>
                <w:sz w:val="12"/>
                <w:szCs w:val="12"/>
                <w:color w:val="auto"/>
              </w:rPr>
              <w:t>4,733</w:t>
            </w:r>
          </w:p>
        </w:tc>
        <w:tc>
          <w:tcPr>
            <w:tcW w:w="72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144,830</w:t>
            </w:r>
          </w:p>
        </w:tc>
        <w:tc>
          <w:tcPr>
            <w:tcW w:w="1200" w:type="dxa"/>
            <w:vAlign w:val="bottom"/>
            <w:shd w:val="clear" w:color="auto" w:fill="9DBDE4"/>
          </w:tcPr>
          <w:p>
            <w:pPr>
              <w:jc w:val="right"/>
              <w:ind w:right="21"/>
              <w:spacing w:after="0" w:line="130" w:lineRule="exact"/>
              <w:rPr>
                <w:sz w:val="20"/>
                <w:szCs w:val="20"/>
                <w:color w:val="auto"/>
              </w:rPr>
            </w:pPr>
            <w:r>
              <w:rPr>
                <w:rFonts w:ascii="Arial" w:cs="Arial" w:eastAsia="Arial" w:hAnsi="Arial"/>
                <w:sz w:val="10"/>
                <w:szCs w:val="10"/>
                <w:color w:val="auto"/>
              </w:rPr>
              <w:t>5,234</w:t>
            </w:r>
            <w:r>
              <w:rPr>
                <w:rFonts w:ascii="Arial" w:cs="Arial" w:eastAsia="Arial" w:hAnsi="Arial"/>
                <w:sz w:val="15"/>
                <w:szCs w:val="15"/>
                <w:color w:val="auto"/>
                <w:vertAlign w:val="superscript"/>
              </w:rPr>
              <w:t>(5)</w:t>
            </w:r>
          </w:p>
        </w:tc>
        <w:tc>
          <w:tcPr>
            <w:tcW w:w="118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160,160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500" w:type="dxa"/>
            <w:vAlign w:val="bottom"/>
            <w:shd w:val="clear" w:color="auto" w:fill="9DBDE4"/>
          </w:tcPr>
          <w:p>
            <w:pPr>
              <w:spacing w:after="0"/>
              <w:rPr>
                <w:sz w:val="16"/>
                <w:szCs w:val="16"/>
                <w:color w:val="auto"/>
              </w:rPr>
            </w:pPr>
          </w:p>
        </w:tc>
        <w:tc>
          <w:tcPr>
            <w:tcW w:w="700" w:type="dxa"/>
            <w:vAlign w:val="bottom"/>
            <w:gridSpan w:val="2"/>
            <w:shd w:val="clear" w:color="auto" w:fill="9DBDE4"/>
          </w:tcPr>
          <w:p>
            <w:pPr>
              <w:jc w:val="center"/>
              <w:spacing w:after="0"/>
              <w:rPr>
                <w:sz w:val="20"/>
                <w:szCs w:val="20"/>
                <w:color w:val="auto"/>
              </w:rPr>
            </w:pPr>
            <w:r>
              <w:rPr>
                <w:rFonts w:ascii="Arial" w:cs="Arial" w:eastAsia="Arial" w:hAnsi="Arial"/>
                <w:sz w:val="12"/>
                <w:szCs w:val="12"/>
                <w:color w:val="auto"/>
                <w:w w:val="98"/>
              </w:rPr>
              <w:t>3/1/2021</w:t>
            </w:r>
          </w:p>
        </w:tc>
        <w:tc>
          <w:tcPr>
            <w:tcW w:w="800" w:type="dxa"/>
            <w:vAlign w:val="bottom"/>
            <w:shd w:val="clear" w:color="auto" w:fill="9DBDE4"/>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9DBDE4"/>
          </w:tcPr>
          <w:p>
            <w:pPr>
              <w:jc w:val="right"/>
              <w:ind w:right="19"/>
              <w:spacing w:after="0"/>
              <w:rPr>
                <w:sz w:val="20"/>
                <w:szCs w:val="20"/>
                <w:color w:val="auto"/>
              </w:rPr>
            </w:pPr>
            <w:r>
              <w:rPr>
                <w:rFonts w:ascii="Arial" w:cs="Arial" w:eastAsia="Arial" w:hAnsi="Arial"/>
                <w:sz w:val="12"/>
                <w:szCs w:val="12"/>
                <w:color w:val="auto"/>
              </w:rPr>
              <w:t>-</w:t>
            </w:r>
          </w:p>
        </w:tc>
        <w:tc>
          <w:tcPr>
            <w:tcW w:w="660" w:type="dxa"/>
            <w:vAlign w:val="bottom"/>
            <w:shd w:val="clear" w:color="auto" w:fill="9DBDE4"/>
          </w:tcPr>
          <w:p>
            <w:pPr>
              <w:jc w:val="right"/>
              <w:ind w:right="19"/>
              <w:spacing w:after="0"/>
              <w:rPr>
                <w:sz w:val="20"/>
                <w:szCs w:val="20"/>
                <w:color w:val="auto"/>
              </w:rPr>
            </w:pPr>
            <w:r>
              <w:rPr>
                <w:rFonts w:ascii="Arial" w:cs="Arial" w:eastAsia="Arial" w:hAnsi="Arial"/>
                <w:sz w:val="12"/>
                <w:szCs w:val="12"/>
                <w:color w:val="auto"/>
              </w:rPr>
              <w:t>-</w:t>
            </w:r>
          </w:p>
        </w:tc>
        <w:tc>
          <w:tcPr>
            <w:tcW w:w="740" w:type="dxa"/>
            <w:vAlign w:val="bottom"/>
            <w:shd w:val="clear" w:color="auto" w:fill="9DBDE4"/>
          </w:tcPr>
          <w:p>
            <w:pPr>
              <w:jc w:val="right"/>
              <w:ind w:right="19"/>
              <w:spacing w:after="0"/>
              <w:rPr>
                <w:sz w:val="20"/>
                <w:szCs w:val="20"/>
                <w:color w:val="auto"/>
              </w:rPr>
            </w:pPr>
            <w:r>
              <w:rPr>
                <w:rFonts w:ascii="Arial" w:cs="Arial" w:eastAsia="Arial" w:hAnsi="Arial"/>
                <w:sz w:val="12"/>
                <w:szCs w:val="12"/>
                <w:color w:val="auto"/>
              </w:rPr>
              <w:t>-</w:t>
            </w:r>
          </w:p>
        </w:tc>
        <w:tc>
          <w:tcPr>
            <w:tcW w:w="820" w:type="dxa"/>
            <w:vAlign w:val="bottom"/>
            <w:shd w:val="clear" w:color="auto" w:fill="9DBDE4"/>
          </w:tcPr>
          <w:p>
            <w:pPr>
              <w:jc w:val="right"/>
              <w:ind w:right="121"/>
              <w:spacing w:after="0"/>
              <w:rPr>
                <w:sz w:val="20"/>
                <w:szCs w:val="20"/>
                <w:color w:val="auto"/>
              </w:rPr>
            </w:pPr>
            <w:r>
              <w:rPr>
                <w:rFonts w:ascii="Arial" w:cs="Arial" w:eastAsia="Arial" w:hAnsi="Arial"/>
                <w:sz w:val="12"/>
                <w:szCs w:val="12"/>
                <w:color w:val="auto"/>
              </w:rPr>
              <w:t>1,905</w:t>
            </w:r>
          </w:p>
        </w:tc>
        <w:tc>
          <w:tcPr>
            <w:tcW w:w="720" w:type="dxa"/>
            <w:vAlign w:val="bottom"/>
            <w:shd w:val="clear" w:color="auto" w:fill="9DBDE4"/>
          </w:tcPr>
          <w:p>
            <w:pPr>
              <w:jc w:val="right"/>
              <w:spacing w:after="0"/>
              <w:rPr>
                <w:sz w:val="20"/>
                <w:szCs w:val="20"/>
                <w:color w:val="auto"/>
              </w:rPr>
            </w:pPr>
            <w:r>
              <w:rPr>
                <w:rFonts w:ascii="Arial" w:cs="Arial" w:eastAsia="Arial" w:hAnsi="Arial"/>
                <w:sz w:val="12"/>
                <w:szCs w:val="12"/>
                <w:color w:val="auto"/>
              </w:rPr>
              <w:t>58,293</w:t>
            </w:r>
          </w:p>
        </w:tc>
        <w:tc>
          <w:tcPr>
            <w:tcW w:w="1200" w:type="dxa"/>
            <w:vAlign w:val="bottom"/>
            <w:shd w:val="clear" w:color="auto" w:fill="9DBDE4"/>
          </w:tcPr>
          <w:p>
            <w:pPr>
              <w:jc w:val="right"/>
              <w:ind w:right="21"/>
              <w:spacing w:after="0" w:line="187" w:lineRule="exact"/>
              <w:rPr>
                <w:sz w:val="20"/>
                <w:szCs w:val="20"/>
                <w:color w:val="auto"/>
              </w:rPr>
            </w:pPr>
            <w:r>
              <w:rPr>
                <w:rFonts w:ascii="Arial" w:cs="Arial" w:eastAsia="Arial" w:hAnsi="Arial"/>
                <w:sz w:val="12"/>
                <w:szCs w:val="12"/>
                <w:color w:val="auto"/>
              </w:rPr>
              <w:t>4,447</w:t>
            </w:r>
            <w:r>
              <w:rPr>
                <w:rFonts w:ascii="Arial" w:cs="Arial" w:eastAsia="Arial" w:hAnsi="Arial"/>
                <w:sz w:val="18"/>
                <w:szCs w:val="18"/>
                <w:color w:val="auto"/>
                <w:vertAlign w:val="superscript"/>
              </w:rPr>
              <w:t>(6)</w:t>
            </w:r>
          </w:p>
        </w:tc>
        <w:tc>
          <w:tcPr>
            <w:tcW w:w="1180" w:type="dxa"/>
            <w:vAlign w:val="bottom"/>
            <w:shd w:val="clear" w:color="auto" w:fill="9DBDE4"/>
          </w:tcPr>
          <w:p>
            <w:pPr>
              <w:jc w:val="right"/>
              <w:spacing w:after="0"/>
              <w:rPr>
                <w:sz w:val="20"/>
                <w:szCs w:val="20"/>
                <w:color w:val="auto"/>
              </w:rPr>
            </w:pPr>
            <w:r>
              <w:rPr>
                <w:rFonts w:ascii="Arial" w:cs="Arial" w:eastAsia="Arial" w:hAnsi="Arial"/>
                <w:sz w:val="12"/>
                <w:szCs w:val="12"/>
                <w:color w:val="auto"/>
              </w:rPr>
              <w:t>136,078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Borders>
              <w:bottom w:val="single" w:sz="8" w:color="284993"/>
            </w:tcBorders>
          </w:tcPr>
          <w:p>
            <w:pPr>
              <w:ind w:left="40"/>
              <w:spacing w:after="0"/>
              <w:rPr>
                <w:sz w:val="20"/>
                <w:szCs w:val="20"/>
                <w:color w:val="auto"/>
              </w:rPr>
            </w:pPr>
            <w:r>
              <w:rPr>
                <w:rFonts w:ascii="Arial" w:cs="Arial" w:eastAsia="Arial" w:hAnsi="Arial"/>
                <w:sz w:val="12"/>
                <w:szCs w:val="12"/>
                <w:color w:val="auto"/>
              </w:rPr>
              <w:t>Abraham Kuruvilla</w:t>
            </w:r>
          </w:p>
        </w:tc>
        <w:tc>
          <w:tcPr>
            <w:tcW w:w="700" w:type="dxa"/>
            <w:vAlign w:val="bottom"/>
            <w:tcBorders>
              <w:bottom w:val="single" w:sz="8" w:color="284993"/>
            </w:tcBorders>
            <w:gridSpan w:val="2"/>
          </w:tcPr>
          <w:p>
            <w:pPr>
              <w:jc w:val="center"/>
              <w:spacing w:after="0"/>
              <w:rPr>
                <w:sz w:val="20"/>
                <w:szCs w:val="20"/>
                <w:color w:val="auto"/>
              </w:rPr>
            </w:pPr>
            <w:r>
              <w:rPr>
                <w:rFonts w:ascii="Arial" w:cs="Arial" w:eastAsia="Arial" w:hAnsi="Arial"/>
                <w:sz w:val="12"/>
                <w:szCs w:val="12"/>
                <w:color w:val="auto"/>
                <w:w w:val="96"/>
              </w:rPr>
              <w:t>11/29/2023</w:t>
            </w:r>
          </w:p>
        </w:tc>
        <w:tc>
          <w:tcPr>
            <w:tcW w:w="800" w:type="dxa"/>
            <w:vAlign w:val="bottom"/>
            <w:tcBorders>
              <w:bottom w:val="single" w:sz="8" w:color="284993"/>
            </w:tcBorders>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284993"/>
            </w:tcBorders>
          </w:tcPr>
          <w:p>
            <w:pPr>
              <w:jc w:val="right"/>
              <w:ind w:right="19"/>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284993"/>
            </w:tcBorders>
          </w:tcPr>
          <w:p>
            <w:pPr>
              <w:jc w:val="right"/>
              <w:ind w:right="19"/>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284993"/>
            </w:tcBorders>
          </w:tcPr>
          <w:p>
            <w:pPr>
              <w:jc w:val="right"/>
              <w:ind w:right="19"/>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284993"/>
            </w:tcBorders>
          </w:tcPr>
          <w:p>
            <w:pPr>
              <w:jc w:val="right"/>
              <w:ind w:right="121"/>
              <w:spacing w:after="0"/>
              <w:rPr>
                <w:sz w:val="20"/>
                <w:szCs w:val="20"/>
                <w:color w:val="auto"/>
              </w:rPr>
            </w:pPr>
            <w:r>
              <w:rPr>
                <w:rFonts w:ascii="Arial" w:cs="Arial" w:eastAsia="Arial" w:hAnsi="Arial"/>
                <w:sz w:val="12"/>
                <w:szCs w:val="12"/>
                <w:color w:val="auto"/>
              </w:rPr>
              <w:t>58,932</w:t>
            </w:r>
          </w:p>
        </w:tc>
        <w:tc>
          <w:tcPr>
            <w:tcW w:w="720" w:type="dxa"/>
            <w:vAlign w:val="bottom"/>
            <w:tcBorders>
              <w:bottom w:val="single" w:sz="8" w:color="284993"/>
            </w:tcBorders>
          </w:tcPr>
          <w:p>
            <w:pPr>
              <w:jc w:val="right"/>
              <w:spacing w:after="0"/>
              <w:rPr>
                <w:sz w:val="20"/>
                <w:szCs w:val="20"/>
                <w:color w:val="auto"/>
              </w:rPr>
            </w:pPr>
            <w:r>
              <w:rPr>
                <w:rFonts w:ascii="Arial" w:cs="Arial" w:eastAsia="Arial" w:hAnsi="Arial"/>
                <w:sz w:val="12"/>
                <w:szCs w:val="12"/>
                <w:color w:val="auto"/>
              </w:rPr>
              <w:t>1,803,319</w:t>
            </w:r>
          </w:p>
        </w:tc>
        <w:tc>
          <w:tcPr>
            <w:tcW w:w="1200" w:type="dxa"/>
            <w:vAlign w:val="bottom"/>
            <w:tcBorders>
              <w:bottom w:val="single" w:sz="8" w:color="284993"/>
            </w:tcBorders>
          </w:tcPr>
          <w:p>
            <w:pPr>
              <w:jc w:val="right"/>
              <w:ind w:right="121"/>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284993"/>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-2532380</wp:posOffset>
            </wp:positionV>
            <wp:extent cx="5941060" cy="25330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41060" cy="2533015"/>
                    </a:xfrm>
                    <a:prstGeom prst="rect">
                      <a:avLst/>
                    </a:prstGeom>
                    <a:noFill/>
                  </pic:spPr>
                </pic:pic>
              </a:graphicData>
            </a:graphic>
          </wp:anchor>
        </w:drawing>
      </w:r>
    </w:p>
    <w:p>
      <w:pPr>
        <w:ind w:left="280" w:hanging="274"/>
        <w:spacing w:after="0" w:line="234" w:lineRule="auto"/>
        <w:tabs>
          <w:tab w:leader="none" w:pos="280" w:val="left"/>
        </w:tabs>
        <w:numPr>
          <w:ilvl w:val="0"/>
          <w:numId w:val="49"/>
        </w:numPr>
        <w:rPr>
          <w:rFonts w:ascii="Arial" w:cs="Arial" w:eastAsia="Arial" w:hAnsi="Arial"/>
          <w:sz w:val="18"/>
          <w:szCs w:val="18"/>
          <w:color w:val="auto"/>
          <w:vertAlign w:val="superscript"/>
        </w:rPr>
      </w:pPr>
      <w:r>
        <w:rPr>
          <w:rFonts w:ascii="Arial" w:cs="Arial" w:eastAsia="Arial" w:hAnsi="Arial"/>
          <w:sz w:val="12"/>
          <w:szCs w:val="12"/>
          <w:color w:val="auto"/>
        </w:rPr>
        <w:t>Unless otherwise noted, all restricted stock units become exercisable as follows: One-third on each of the first three anniversaries of the date of grant.</w:t>
      </w:r>
    </w:p>
    <w:p>
      <w:pPr>
        <w:ind w:left="280" w:right="180" w:hanging="274"/>
        <w:spacing w:after="0" w:line="180" w:lineRule="auto"/>
        <w:tabs>
          <w:tab w:leader="none" w:pos="280" w:val="left"/>
        </w:tabs>
        <w:numPr>
          <w:ilvl w:val="0"/>
          <w:numId w:val="49"/>
        </w:numPr>
        <w:rPr>
          <w:rFonts w:ascii="Arial" w:cs="Arial" w:eastAsia="Arial" w:hAnsi="Arial"/>
          <w:sz w:val="18"/>
          <w:szCs w:val="18"/>
          <w:color w:val="auto"/>
          <w:vertAlign w:val="superscript"/>
        </w:rPr>
      </w:pPr>
      <w:r>
        <w:rPr>
          <w:rFonts w:ascii="Arial" w:cs="Arial" w:eastAsia="Arial" w:hAnsi="Arial"/>
          <w:sz w:val="12"/>
          <w:szCs w:val="12"/>
          <w:color w:val="auto"/>
        </w:rPr>
        <w:t>The market value of the share awards that have not vested is calculated by multiplying the number of shares set forth in column (g) or (i) (as applicable) by the closing price of our common stock at December 29, 2023 (the last trading day of 2023), $30.60 per share.</w:t>
      </w:r>
    </w:p>
    <w:p>
      <w:pPr>
        <w:spacing w:after="0" w:line="1" w:lineRule="exact"/>
        <w:rPr>
          <w:rFonts w:ascii="Arial" w:cs="Arial" w:eastAsia="Arial" w:hAnsi="Arial"/>
          <w:sz w:val="18"/>
          <w:szCs w:val="18"/>
          <w:color w:val="auto"/>
          <w:vertAlign w:val="superscript"/>
        </w:rPr>
      </w:pPr>
    </w:p>
    <w:p>
      <w:pPr>
        <w:ind w:left="280" w:hanging="274"/>
        <w:spacing w:after="0" w:line="180" w:lineRule="auto"/>
        <w:tabs>
          <w:tab w:leader="none" w:pos="280" w:val="left"/>
        </w:tabs>
        <w:numPr>
          <w:ilvl w:val="0"/>
          <w:numId w:val="49"/>
        </w:numPr>
        <w:rPr>
          <w:rFonts w:ascii="Arial" w:cs="Arial" w:eastAsia="Arial" w:hAnsi="Arial"/>
          <w:sz w:val="15"/>
          <w:szCs w:val="15"/>
          <w:color w:val="auto"/>
          <w:vertAlign w:val="superscript"/>
        </w:rPr>
      </w:pPr>
      <w:r>
        <w:rPr>
          <w:rFonts w:ascii="Arial" w:cs="Arial" w:eastAsia="Arial" w:hAnsi="Arial"/>
          <w:sz w:val="10"/>
          <w:szCs w:val="10"/>
          <w:color w:val="auto"/>
        </w:rPr>
        <w:t>Restricted stock units granted on May 11, 2023 and August 9, 2022 vest in substantially equal quarterly installments for three years following the grant date.</w:t>
      </w:r>
    </w:p>
    <w:p>
      <w:pPr>
        <w:ind w:left="280" w:right="20" w:hanging="274"/>
        <w:spacing w:after="0" w:line="200" w:lineRule="auto"/>
        <w:tabs>
          <w:tab w:leader="none" w:pos="280" w:val="left"/>
        </w:tabs>
        <w:numPr>
          <w:ilvl w:val="0"/>
          <w:numId w:val="49"/>
        </w:numPr>
        <w:rPr>
          <w:rFonts w:ascii="Arial" w:cs="Arial" w:eastAsia="Arial" w:hAnsi="Arial"/>
          <w:sz w:val="18"/>
          <w:szCs w:val="18"/>
          <w:color w:val="auto"/>
          <w:vertAlign w:val="superscript"/>
        </w:rPr>
      </w:pPr>
      <w:r>
        <w:rPr>
          <w:rFonts w:ascii="Arial" w:cs="Arial" w:eastAsia="Arial" w:hAnsi="Arial"/>
          <w:sz w:val="12"/>
          <w:szCs w:val="12"/>
          <w:color w:val="auto"/>
        </w:rPr>
        <w:t>2023 LTIP PSUs that have an approximately three-year performance period (May 11, 2023 – February 28, 2026) and vest, if at all, following February 28, 2026, based on financial performance metrics and the relative total shareholder return versus the applicable peer group. Consistent with the requirements of FASB ASC Topic 718, the amount shown represents the first third of the PSU award made in fiscal 2023 for which the grant date fair value was established in fiscal 2023. The number of shares denoted is the number issuable for on-target performance.</w:t>
      </w:r>
    </w:p>
    <w:p>
      <w:pPr>
        <w:spacing w:after="0" w:line="2" w:lineRule="exact"/>
        <w:rPr>
          <w:rFonts w:ascii="Arial" w:cs="Arial" w:eastAsia="Arial" w:hAnsi="Arial"/>
          <w:sz w:val="18"/>
          <w:szCs w:val="18"/>
          <w:color w:val="auto"/>
          <w:vertAlign w:val="superscript"/>
        </w:rPr>
      </w:pPr>
    </w:p>
    <w:p>
      <w:pPr>
        <w:ind w:left="280" w:right="100" w:hanging="274"/>
        <w:spacing w:after="0" w:line="180" w:lineRule="auto"/>
        <w:tabs>
          <w:tab w:leader="none" w:pos="280" w:val="left"/>
        </w:tabs>
        <w:numPr>
          <w:ilvl w:val="0"/>
          <w:numId w:val="49"/>
        </w:numPr>
        <w:rPr>
          <w:rFonts w:ascii="Arial" w:cs="Arial" w:eastAsia="Arial" w:hAnsi="Arial"/>
          <w:sz w:val="18"/>
          <w:szCs w:val="18"/>
          <w:color w:val="auto"/>
          <w:vertAlign w:val="superscript"/>
        </w:rPr>
      </w:pPr>
      <w:r>
        <w:rPr>
          <w:rFonts w:ascii="Arial" w:cs="Arial" w:eastAsia="Arial" w:hAnsi="Arial"/>
          <w:sz w:val="12"/>
          <w:szCs w:val="12"/>
          <w:color w:val="auto"/>
        </w:rPr>
        <w:t>2022 LTIP PSUs that have a three-year performance period (March–1, 2022 – February 28, 2025) and vest, if at all, following February 28, 2025, based on relative total shareholder return versus the applicable peer group. The number of shares denoted is the number issuable for on-target performance.</w:t>
      </w:r>
    </w:p>
    <w:p>
      <w:pPr>
        <w:spacing w:after="0" w:line="1" w:lineRule="exact"/>
        <w:rPr>
          <w:rFonts w:ascii="Arial" w:cs="Arial" w:eastAsia="Arial" w:hAnsi="Arial"/>
          <w:sz w:val="18"/>
          <w:szCs w:val="18"/>
          <w:color w:val="auto"/>
          <w:vertAlign w:val="superscript"/>
        </w:rPr>
      </w:pPr>
    </w:p>
    <w:p>
      <w:pPr>
        <w:ind w:left="280" w:right="260" w:hanging="274"/>
        <w:spacing w:after="0" w:line="193" w:lineRule="auto"/>
        <w:tabs>
          <w:tab w:leader="none" w:pos="280" w:val="left"/>
        </w:tabs>
        <w:numPr>
          <w:ilvl w:val="0"/>
          <w:numId w:val="49"/>
        </w:numPr>
        <w:rPr>
          <w:rFonts w:ascii="Arial" w:cs="Arial" w:eastAsia="Arial" w:hAnsi="Arial"/>
          <w:sz w:val="18"/>
          <w:szCs w:val="18"/>
          <w:color w:val="auto"/>
          <w:vertAlign w:val="superscript"/>
        </w:rPr>
      </w:pPr>
      <w:r>
        <w:rPr>
          <w:rFonts w:ascii="Arial" w:cs="Arial" w:eastAsia="Arial" w:hAnsi="Arial"/>
          <w:sz w:val="12"/>
          <w:szCs w:val="12"/>
          <w:color w:val="auto"/>
        </w:rPr>
        <w:t>2021 LTIP PSUs that have a three-year performance period (2021 – 2023) and vest, if at all, following December 31, 2023, based on relative total shareholder return versus the applicable peer group. The number of shares denoted is the number issuable for on-target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83185</wp:posOffset>
            </wp:positionV>
            <wp:extent cx="693420" cy="1320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3420" cy="13208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60</w:t>
      </w:r>
    </w:p>
    <w:p>
      <w:pPr>
        <w:sectPr>
          <w:pgSz w:w="11900" w:h="16838" w:orient="portrait"/>
          <w:cols w:equalWidth="0" w:num="1">
            <w:col w:w="9360"/>
          </w:cols>
          <w:pgMar w:left="1260" w:top="291" w:right="1279" w:bottom="1440" w:gutter="0" w:footer="0" w:header="0"/>
        </w:sectPr>
      </w:pPr>
    </w:p>
    <w:bookmarkStart w:id="66" w:name="page67"/>
    <w:bookmarkEnd w:id="66"/>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2023 Option Exercises and Stock Vested</w:t>
      </w:r>
    </w:p>
    <w:p>
      <w:pPr>
        <w:spacing w:after="0" w:line="124" w:lineRule="exact"/>
        <w:rPr>
          <w:sz w:val="20"/>
          <w:szCs w:val="20"/>
          <w:color w:val="auto"/>
        </w:rPr>
      </w:pPr>
    </w:p>
    <w:p>
      <w:pPr>
        <w:ind w:right="780"/>
        <w:spacing w:after="0" w:line="264" w:lineRule="auto"/>
        <w:rPr>
          <w:sz w:val="20"/>
          <w:szCs w:val="20"/>
          <w:color w:val="auto"/>
        </w:rPr>
      </w:pPr>
      <w:r>
        <w:rPr>
          <w:rFonts w:ascii="Arial" w:cs="Arial" w:eastAsia="Arial" w:hAnsi="Arial"/>
          <w:sz w:val="16"/>
          <w:szCs w:val="16"/>
          <w:color w:val="auto"/>
        </w:rPr>
        <w:t>The following table sets forth option exercises and stock vested for each of our Named Executive Officers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5941060" cy="10560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41060" cy="1056005"/>
                    </a:xfrm>
                    <a:prstGeom prst="rect">
                      <a:avLst/>
                    </a:prstGeom>
                    <a:noFill/>
                  </pic:spPr>
                </pic:pic>
              </a:graphicData>
            </a:graphic>
          </wp:anchor>
        </w:drawing>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180" w:type="dxa"/>
            <w:vAlign w:val="bottom"/>
            <w:shd w:val="clear" w:color="auto" w:fill="284993"/>
          </w:tcPr>
          <w:p>
            <w:pPr>
              <w:spacing w:after="0"/>
              <w:rPr>
                <w:sz w:val="14"/>
                <w:szCs w:val="14"/>
                <w:color w:val="auto"/>
              </w:rPr>
            </w:pPr>
          </w:p>
        </w:tc>
        <w:tc>
          <w:tcPr>
            <w:tcW w:w="3480" w:type="dxa"/>
            <w:vAlign w:val="bottom"/>
            <w:gridSpan w:val="2"/>
            <w:shd w:val="clear" w:color="auto" w:fill="284993"/>
          </w:tcPr>
          <w:p>
            <w:pPr>
              <w:jc w:val="right"/>
              <w:ind w:right="1151"/>
              <w:spacing w:after="0"/>
              <w:rPr>
                <w:sz w:val="20"/>
                <w:szCs w:val="20"/>
                <w:color w:val="auto"/>
              </w:rPr>
            </w:pPr>
            <w:r>
              <w:rPr>
                <w:rFonts w:ascii="Arial" w:cs="Arial" w:eastAsia="Arial" w:hAnsi="Arial"/>
                <w:sz w:val="14"/>
                <w:szCs w:val="14"/>
                <w:b w:val="1"/>
                <w:bCs w:val="1"/>
                <w:color w:val="FFFFFF"/>
              </w:rPr>
              <w:t>Option Awards</w:t>
            </w:r>
          </w:p>
        </w:tc>
        <w:tc>
          <w:tcPr>
            <w:tcW w:w="3680" w:type="dxa"/>
            <w:vAlign w:val="bottom"/>
            <w:gridSpan w:val="2"/>
            <w:shd w:val="clear" w:color="auto" w:fill="284993"/>
          </w:tcPr>
          <w:p>
            <w:pPr>
              <w:jc w:val="right"/>
              <w:ind w:right="1291"/>
              <w:spacing w:after="0"/>
              <w:rPr>
                <w:sz w:val="20"/>
                <w:szCs w:val="20"/>
                <w:color w:val="auto"/>
              </w:rPr>
            </w:pPr>
            <w:r>
              <w:rPr>
                <w:rFonts w:ascii="Arial" w:cs="Arial" w:eastAsia="Arial" w:hAnsi="Arial"/>
                <w:sz w:val="14"/>
                <w:szCs w:val="14"/>
                <w:b w:val="1"/>
                <w:bCs w:val="1"/>
                <w:color w:val="FFFFFF"/>
              </w:rPr>
              <w:t>Stock Awards</w:t>
            </w:r>
          </w:p>
        </w:tc>
      </w:tr>
      <w:tr>
        <w:trPr>
          <w:trHeight w:val="160"/>
        </w:trPr>
        <w:tc>
          <w:tcPr>
            <w:tcW w:w="2180" w:type="dxa"/>
            <w:vAlign w:val="bottom"/>
            <w:shd w:val="clear" w:color="auto" w:fill="284993"/>
          </w:tcPr>
          <w:p>
            <w:pPr>
              <w:spacing w:after="0"/>
              <w:rPr>
                <w:sz w:val="13"/>
                <w:szCs w:val="13"/>
                <w:color w:val="auto"/>
              </w:rPr>
            </w:pPr>
          </w:p>
        </w:tc>
        <w:tc>
          <w:tcPr>
            <w:tcW w:w="1780" w:type="dxa"/>
            <w:vAlign w:val="bottom"/>
            <w:shd w:val="clear" w:color="auto" w:fill="284993"/>
          </w:tcPr>
          <w:p>
            <w:pPr>
              <w:jc w:val="center"/>
              <w:spacing w:after="0" w:line="159" w:lineRule="exact"/>
              <w:rPr>
                <w:sz w:val="20"/>
                <w:szCs w:val="20"/>
                <w:color w:val="auto"/>
              </w:rPr>
            </w:pPr>
            <w:r>
              <w:rPr>
                <w:rFonts w:ascii="Arial" w:cs="Arial" w:eastAsia="Arial" w:hAnsi="Arial"/>
                <w:sz w:val="14"/>
                <w:szCs w:val="14"/>
                <w:b w:val="1"/>
                <w:bCs w:val="1"/>
                <w:color w:val="FFFFFF"/>
              </w:rPr>
              <w:t xml:space="preserve">Number of Shares   </w:t>
            </w:r>
          </w:p>
        </w:tc>
        <w:tc>
          <w:tcPr>
            <w:tcW w:w="1700" w:type="dxa"/>
            <w:vAlign w:val="bottom"/>
            <w:shd w:val="clear" w:color="auto" w:fill="284993"/>
          </w:tcPr>
          <w:p>
            <w:pPr>
              <w:spacing w:after="0"/>
              <w:rPr>
                <w:sz w:val="13"/>
                <w:szCs w:val="13"/>
                <w:color w:val="auto"/>
              </w:rPr>
            </w:pPr>
          </w:p>
        </w:tc>
        <w:tc>
          <w:tcPr>
            <w:tcW w:w="1920" w:type="dxa"/>
            <w:vAlign w:val="bottom"/>
            <w:shd w:val="clear" w:color="auto" w:fill="284993"/>
          </w:tcPr>
          <w:p>
            <w:pPr>
              <w:spacing w:after="0"/>
              <w:rPr>
                <w:sz w:val="13"/>
                <w:szCs w:val="13"/>
                <w:color w:val="auto"/>
              </w:rPr>
            </w:pPr>
          </w:p>
        </w:tc>
        <w:tc>
          <w:tcPr>
            <w:tcW w:w="1760" w:type="dxa"/>
            <w:vAlign w:val="bottom"/>
            <w:shd w:val="clear" w:color="auto" w:fill="284993"/>
          </w:tcPr>
          <w:p>
            <w:pPr>
              <w:spacing w:after="0"/>
              <w:rPr>
                <w:sz w:val="13"/>
                <w:szCs w:val="13"/>
                <w:color w:val="auto"/>
              </w:rPr>
            </w:pPr>
          </w:p>
        </w:tc>
      </w:tr>
      <w:tr>
        <w:trPr>
          <w:trHeight w:val="152"/>
        </w:trPr>
        <w:tc>
          <w:tcPr>
            <w:tcW w:w="2180" w:type="dxa"/>
            <w:vAlign w:val="bottom"/>
            <w:shd w:val="clear" w:color="auto" w:fill="284993"/>
          </w:tcPr>
          <w:p>
            <w:pPr>
              <w:spacing w:after="0"/>
              <w:rPr>
                <w:sz w:val="13"/>
                <w:szCs w:val="13"/>
                <w:color w:val="auto"/>
              </w:rPr>
            </w:pPr>
          </w:p>
        </w:tc>
        <w:tc>
          <w:tcPr>
            <w:tcW w:w="1780" w:type="dxa"/>
            <w:vAlign w:val="bottom"/>
            <w:shd w:val="clear" w:color="auto" w:fill="284993"/>
          </w:tcPr>
          <w:p>
            <w:pPr>
              <w:jc w:val="center"/>
              <w:spacing w:after="0" w:line="152" w:lineRule="exact"/>
              <w:rPr>
                <w:sz w:val="20"/>
                <w:szCs w:val="20"/>
                <w:color w:val="auto"/>
              </w:rPr>
            </w:pPr>
            <w:r>
              <w:rPr>
                <w:rFonts w:ascii="Arial" w:cs="Arial" w:eastAsia="Arial" w:hAnsi="Arial"/>
                <w:sz w:val="14"/>
                <w:szCs w:val="14"/>
                <w:b w:val="1"/>
                <w:bCs w:val="1"/>
                <w:color w:val="FFFFFF"/>
              </w:rPr>
              <w:t xml:space="preserve">Acquired   </w:t>
            </w:r>
          </w:p>
        </w:tc>
        <w:tc>
          <w:tcPr>
            <w:tcW w:w="1700" w:type="dxa"/>
            <w:vAlign w:val="bottom"/>
            <w:shd w:val="clear" w:color="auto" w:fill="284993"/>
          </w:tcPr>
          <w:p>
            <w:pPr>
              <w:jc w:val="center"/>
              <w:spacing w:after="0" w:line="152" w:lineRule="exact"/>
              <w:rPr>
                <w:sz w:val="20"/>
                <w:szCs w:val="20"/>
                <w:color w:val="auto"/>
              </w:rPr>
            </w:pPr>
            <w:r>
              <w:rPr>
                <w:rFonts w:ascii="Arial" w:cs="Arial" w:eastAsia="Arial" w:hAnsi="Arial"/>
                <w:sz w:val="14"/>
                <w:szCs w:val="14"/>
                <w:b w:val="1"/>
                <w:bCs w:val="1"/>
                <w:color w:val="FFFFFF"/>
                <w:w w:val="99"/>
              </w:rPr>
              <w:t xml:space="preserve">Value Realized on   </w:t>
            </w:r>
          </w:p>
        </w:tc>
        <w:tc>
          <w:tcPr>
            <w:tcW w:w="1920" w:type="dxa"/>
            <w:vAlign w:val="bottom"/>
            <w:shd w:val="clear" w:color="auto" w:fill="284993"/>
          </w:tcPr>
          <w:p>
            <w:pPr>
              <w:jc w:val="center"/>
              <w:spacing w:after="0" w:line="152" w:lineRule="exact"/>
              <w:rPr>
                <w:sz w:val="20"/>
                <w:szCs w:val="20"/>
                <w:color w:val="auto"/>
              </w:rPr>
            </w:pPr>
            <w:r>
              <w:rPr>
                <w:rFonts w:ascii="Arial" w:cs="Arial" w:eastAsia="Arial" w:hAnsi="Arial"/>
                <w:sz w:val="14"/>
                <w:szCs w:val="14"/>
                <w:b w:val="1"/>
                <w:bCs w:val="1"/>
                <w:color w:val="FFFFFF"/>
              </w:rPr>
              <w:t xml:space="preserve">Number of Shares   </w:t>
            </w:r>
          </w:p>
        </w:tc>
        <w:tc>
          <w:tcPr>
            <w:tcW w:w="1760" w:type="dxa"/>
            <w:vAlign w:val="bottom"/>
            <w:shd w:val="clear" w:color="auto" w:fill="284993"/>
          </w:tcPr>
          <w:p>
            <w:pPr>
              <w:jc w:val="center"/>
              <w:spacing w:after="0" w:line="152" w:lineRule="exact"/>
              <w:rPr>
                <w:sz w:val="20"/>
                <w:szCs w:val="20"/>
                <w:color w:val="auto"/>
              </w:rPr>
            </w:pPr>
            <w:r>
              <w:rPr>
                <w:rFonts w:ascii="Arial" w:cs="Arial" w:eastAsia="Arial" w:hAnsi="Arial"/>
                <w:sz w:val="14"/>
                <w:szCs w:val="14"/>
                <w:b w:val="1"/>
                <w:bCs w:val="1"/>
                <w:color w:val="FFFFFF"/>
              </w:rPr>
              <w:t xml:space="preserve">Value Realized on   </w:t>
            </w:r>
          </w:p>
        </w:tc>
      </w:tr>
      <w:tr>
        <w:trPr>
          <w:trHeight w:val="160"/>
        </w:trPr>
        <w:tc>
          <w:tcPr>
            <w:tcW w:w="2180" w:type="dxa"/>
            <w:vAlign w:val="bottom"/>
            <w:shd w:val="clear" w:color="auto" w:fill="284993"/>
          </w:tcPr>
          <w:p>
            <w:pPr>
              <w:spacing w:after="0"/>
              <w:rPr>
                <w:sz w:val="13"/>
                <w:szCs w:val="13"/>
                <w:color w:val="auto"/>
              </w:rPr>
            </w:pPr>
          </w:p>
        </w:tc>
        <w:tc>
          <w:tcPr>
            <w:tcW w:w="1780" w:type="dxa"/>
            <w:vAlign w:val="bottom"/>
            <w:shd w:val="clear" w:color="auto" w:fill="284993"/>
          </w:tcPr>
          <w:p>
            <w:pPr>
              <w:jc w:val="center"/>
              <w:spacing w:after="0" w:line="159" w:lineRule="exact"/>
              <w:rPr>
                <w:sz w:val="20"/>
                <w:szCs w:val="20"/>
                <w:color w:val="auto"/>
              </w:rPr>
            </w:pPr>
            <w:r>
              <w:rPr>
                <w:rFonts w:ascii="Arial" w:cs="Arial" w:eastAsia="Arial" w:hAnsi="Arial"/>
                <w:sz w:val="14"/>
                <w:szCs w:val="14"/>
                <w:b w:val="1"/>
                <w:bCs w:val="1"/>
                <w:color w:val="FFFFFF"/>
              </w:rPr>
              <w:t xml:space="preserve">on Exercise   </w:t>
            </w:r>
          </w:p>
        </w:tc>
        <w:tc>
          <w:tcPr>
            <w:tcW w:w="1700" w:type="dxa"/>
            <w:vAlign w:val="bottom"/>
            <w:shd w:val="clear" w:color="auto" w:fill="284993"/>
          </w:tcPr>
          <w:p>
            <w:pPr>
              <w:jc w:val="center"/>
              <w:spacing w:after="0" w:line="160" w:lineRule="exact"/>
              <w:rPr>
                <w:sz w:val="20"/>
                <w:szCs w:val="20"/>
                <w:color w:val="auto"/>
              </w:rPr>
            </w:pPr>
            <w:r>
              <w:rPr>
                <w:rFonts w:ascii="Arial" w:cs="Arial" w:eastAsia="Arial" w:hAnsi="Arial"/>
                <w:sz w:val="13"/>
                <w:szCs w:val="13"/>
                <w:b w:val="1"/>
                <w:bCs w:val="1"/>
                <w:color w:val="FFFFFF"/>
              </w:rPr>
              <w:t>Exercise</w:t>
            </w:r>
            <w:r>
              <w:rPr>
                <w:rFonts w:ascii="Arial" w:cs="Arial" w:eastAsia="Arial" w:hAnsi="Arial"/>
                <w:sz w:val="18"/>
                <w:szCs w:val="18"/>
                <w:b w:val="1"/>
                <w:bCs w:val="1"/>
                <w:color w:val="FFFFFF"/>
                <w:vertAlign w:val="superscript"/>
              </w:rPr>
              <w:t>(1)</w:t>
            </w:r>
            <w:r>
              <w:rPr>
                <w:rFonts w:ascii="Arial" w:cs="Arial" w:eastAsia="Arial" w:hAnsi="Arial"/>
                <w:sz w:val="13"/>
                <w:szCs w:val="13"/>
                <w:b w:val="1"/>
                <w:bCs w:val="1"/>
                <w:color w:val="FFFFFF"/>
              </w:rPr>
              <w:t xml:space="preserve">   </w:t>
            </w:r>
          </w:p>
        </w:tc>
        <w:tc>
          <w:tcPr>
            <w:tcW w:w="1920" w:type="dxa"/>
            <w:vAlign w:val="bottom"/>
            <w:shd w:val="clear" w:color="auto" w:fill="284993"/>
          </w:tcPr>
          <w:p>
            <w:pPr>
              <w:jc w:val="center"/>
              <w:spacing w:after="0" w:line="159" w:lineRule="exact"/>
              <w:rPr>
                <w:sz w:val="20"/>
                <w:szCs w:val="20"/>
                <w:color w:val="auto"/>
              </w:rPr>
            </w:pPr>
            <w:r>
              <w:rPr>
                <w:rFonts w:ascii="Arial" w:cs="Arial" w:eastAsia="Arial" w:hAnsi="Arial"/>
                <w:sz w:val="14"/>
                <w:szCs w:val="14"/>
                <w:b w:val="1"/>
                <w:bCs w:val="1"/>
                <w:color w:val="FFFFFF"/>
              </w:rPr>
              <w:t xml:space="preserve">Acquired on Vesting   </w:t>
            </w:r>
          </w:p>
        </w:tc>
        <w:tc>
          <w:tcPr>
            <w:tcW w:w="1760" w:type="dxa"/>
            <w:vAlign w:val="bottom"/>
            <w:shd w:val="clear" w:color="auto" w:fill="284993"/>
          </w:tcPr>
          <w:p>
            <w:pPr>
              <w:jc w:val="center"/>
              <w:spacing w:after="0" w:line="160" w:lineRule="exact"/>
              <w:rPr>
                <w:sz w:val="20"/>
                <w:szCs w:val="20"/>
                <w:color w:val="auto"/>
              </w:rPr>
            </w:pPr>
            <w:r>
              <w:rPr>
                <w:rFonts w:ascii="Arial" w:cs="Arial" w:eastAsia="Arial" w:hAnsi="Arial"/>
                <w:sz w:val="13"/>
                <w:szCs w:val="13"/>
                <w:b w:val="1"/>
                <w:bCs w:val="1"/>
                <w:color w:val="FFFFFF"/>
              </w:rPr>
              <w:t>Vesting</w:t>
            </w:r>
            <w:r>
              <w:rPr>
                <w:rFonts w:ascii="Arial" w:cs="Arial" w:eastAsia="Arial" w:hAnsi="Arial"/>
                <w:sz w:val="18"/>
                <w:szCs w:val="18"/>
                <w:b w:val="1"/>
                <w:bCs w:val="1"/>
                <w:color w:val="FFFFFF"/>
                <w:vertAlign w:val="superscript"/>
              </w:rPr>
              <w:t>(1)</w:t>
            </w:r>
            <w:r>
              <w:rPr>
                <w:rFonts w:ascii="Arial" w:cs="Arial" w:eastAsia="Arial" w:hAnsi="Arial"/>
                <w:sz w:val="13"/>
                <w:szCs w:val="13"/>
                <w:b w:val="1"/>
                <w:bCs w:val="1"/>
                <w:color w:val="FFFFFF"/>
              </w:rPr>
              <w:t xml:space="preserve">   </w:t>
            </w:r>
          </w:p>
        </w:tc>
      </w:tr>
      <w:tr>
        <w:trPr>
          <w:trHeight w:val="178"/>
        </w:trPr>
        <w:tc>
          <w:tcPr>
            <w:tcW w:w="2180" w:type="dxa"/>
            <w:vAlign w:val="bottom"/>
            <w:shd w:val="clear" w:color="auto" w:fill="284993"/>
          </w:tcPr>
          <w:p>
            <w:pPr>
              <w:ind w:left="140"/>
              <w:spacing w:after="0"/>
              <w:rPr>
                <w:sz w:val="20"/>
                <w:szCs w:val="20"/>
                <w:color w:val="auto"/>
              </w:rPr>
            </w:pPr>
            <w:r>
              <w:rPr>
                <w:rFonts w:ascii="Arial" w:cs="Arial" w:eastAsia="Arial" w:hAnsi="Arial"/>
                <w:sz w:val="14"/>
                <w:szCs w:val="14"/>
                <w:b w:val="1"/>
                <w:bCs w:val="1"/>
                <w:color w:val="FFFFFF"/>
              </w:rPr>
              <w:t> Name</w:t>
            </w:r>
          </w:p>
        </w:tc>
        <w:tc>
          <w:tcPr>
            <w:tcW w:w="178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rPr>
              <w:t xml:space="preserve">(#)   </w:t>
            </w:r>
          </w:p>
        </w:tc>
        <w:tc>
          <w:tcPr>
            <w:tcW w:w="170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rPr>
              <w:t xml:space="preserve">($)   </w:t>
            </w:r>
          </w:p>
        </w:tc>
        <w:tc>
          <w:tcPr>
            <w:tcW w:w="192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rPr>
              <w:t xml:space="preserve">(#)   </w:t>
            </w:r>
          </w:p>
        </w:tc>
        <w:tc>
          <w:tcPr>
            <w:tcW w:w="176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rPr>
              <w:t xml:space="preserve">($)   </w:t>
            </w:r>
          </w:p>
        </w:tc>
      </w:tr>
      <w:tr>
        <w:trPr>
          <w:trHeight w:val="169"/>
        </w:trPr>
        <w:tc>
          <w:tcPr>
            <w:tcW w:w="2180" w:type="dxa"/>
            <w:vAlign w:val="bottom"/>
            <w:shd w:val="clear" w:color="auto" w:fill="284993"/>
          </w:tcPr>
          <w:p>
            <w:pPr>
              <w:ind w:left="140"/>
              <w:spacing w:after="0"/>
              <w:rPr>
                <w:sz w:val="20"/>
                <w:szCs w:val="20"/>
                <w:color w:val="auto"/>
              </w:rPr>
            </w:pPr>
            <w:r>
              <w:rPr>
                <w:rFonts w:ascii="Arial" w:cs="Arial" w:eastAsia="Arial" w:hAnsi="Arial"/>
                <w:sz w:val="14"/>
                <w:szCs w:val="14"/>
                <w:b w:val="1"/>
                <w:bCs w:val="1"/>
                <w:color w:val="FFFFFF"/>
              </w:rPr>
              <w:t> (a)</w:t>
            </w:r>
          </w:p>
        </w:tc>
        <w:tc>
          <w:tcPr>
            <w:tcW w:w="178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rPr>
              <w:t xml:space="preserve">(b)   </w:t>
            </w:r>
          </w:p>
        </w:tc>
        <w:tc>
          <w:tcPr>
            <w:tcW w:w="170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rPr>
              <w:t xml:space="preserve">(c)   </w:t>
            </w:r>
          </w:p>
        </w:tc>
        <w:tc>
          <w:tcPr>
            <w:tcW w:w="192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rPr>
              <w:t xml:space="preserve">(d)   </w:t>
            </w:r>
          </w:p>
        </w:tc>
        <w:tc>
          <w:tcPr>
            <w:tcW w:w="176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w w:val="93"/>
              </w:rPr>
              <w:t>(e)</w:t>
            </w:r>
          </w:p>
        </w:tc>
      </w:tr>
      <w:tr>
        <w:trPr>
          <w:trHeight w:val="169"/>
        </w:trPr>
        <w:tc>
          <w:tcPr>
            <w:tcW w:w="2180" w:type="dxa"/>
            <w:vAlign w:val="bottom"/>
          </w:tcPr>
          <w:p>
            <w:pPr>
              <w:ind w:left="200"/>
              <w:spacing w:after="0"/>
              <w:rPr>
                <w:sz w:val="20"/>
                <w:szCs w:val="20"/>
                <w:color w:val="auto"/>
              </w:rPr>
            </w:pPr>
            <w:r>
              <w:rPr>
                <w:rFonts w:ascii="Arial" w:cs="Arial" w:eastAsia="Arial" w:hAnsi="Arial"/>
                <w:sz w:val="14"/>
                <w:szCs w:val="14"/>
                <w:color w:val="auto"/>
              </w:rPr>
              <w:t>Thomas W. Warsop, III</w:t>
            </w:r>
          </w:p>
        </w:tc>
        <w:tc>
          <w:tcPr>
            <w:tcW w:w="1780" w:type="dxa"/>
            <w:vAlign w:val="bottom"/>
          </w:tcPr>
          <w:p>
            <w:pPr>
              <w:jc w:val="right"/>
              <w:ind w:right="591"/>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531"/>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691"/>
              <w:spacing w:after="0"/>
              <w:rPr>
                <w:sz w:val="20"/>
                <w:szCs w:val="20"/>
                <w:color w:val="auto"/>
              </w:rPr>
            </w:pPr>
            <w:r>
              <w:rPr>
                <w:rFonts w:ascii="Arial" w:cs="Arial" w:eastAsia="Arial" w:hAnsi="Arial"/>
                <w:sz w:val="14"/>
                <w:szCs w:val="14"/>
                <w:color w:val="auto"/>
              </w:rPr>
              <w:t>9,667</w:t>
            </w:r>
          </w:p>
        </w:tc>
        <w:tc>
          <w:tcPr>
            <w:tcW w:w="1760" w:type="dxa"/>
            <w:vAlign w:val="bottom"/>
          </w:tcPr>
          <w:p>
            <w:pPr>
              <w:jc w:val="right"/>
              <w:ind w:right="491"/>
              <w:spacing w:after="0"/>
              <w:rPr>
                <w:sz w:val="20"/>
                <w:szCs w:val="20"/>
                <w:color w:val="auto"/>
              </w:rPr>
            </w:pPr>
            <w:r>
              <w:rPr>
                <w:rFonts w:ascii="Arial" w:cs="Arial" w:eastAsia="Arial" w:hAnsi="Arial"/>
                <w:sz w:val="14"/>
                <w:szCs w:val="14"/>
                <w:color w:val="auto"/>
              </w:rPr>
              <w:t>220,504</w:t>
            </w:r>
          </w:p>
        </w:tc>
      </w:tr>
      <w:tr>
        <w:trPr>
          <w:trHeight w:val="169"/>
        </w:trPr>
        <w:tc>
          <w:tcPr>
            <w:tcW w:w="2180" w:type="dxa"/>
            <w:vAlign w:val="bottom"/>
            <w:shd w:val="clear" w:color="auto" w:fill="9DBDE4"/>
          </w:tcPr>
          <w:p>
            <w:pPr>
              <w:ind w:left="200"/>
              <w:spacing w:after="0"/>
              <w:rPr>
                <w:sz w:val="20"/>
                <w:szCs w:val="20"/>
                <w:color w:val="auto"/>
              </w:rPr>
            </w:pPr>
            <w:r>
              <w:rPr>
                <w:rFonts w:ascii="Arial" w:cs="Arial" w:eastAsia="Arial" w:hAnsi="Arial"/>
                <w:sz w:val="14"/>
                <w:szCs w:val="14"/>
                <w:color w:val="auto"/>
              </w:rPr>
              <w:t>Scott W. Behrens</w:t>
            </w:r>
          </w:p>
        </w:tc>
        <w:tc>
          <w:tcPr>
            <w:tcW w:w="1780" w:type="dxa"/>
            <w:vAlign w:val="bottom"/>
            <w:shd w:val="clear" w:color="auto" w:fill="9DBDE4"/>
          </w:tcPr>
          <w:p>
            <w:pPr>
              <w:jc w:val="right"/>
              <w:ind w:right="591"/>
              <w:spacing w:after="0"/>
              <w:rPr>
                <w:sz w:val="20"/>
                <w:szCs w:val="20"/>
                <w:color w:val="auto"/>
              </w:rPr>
            </w:pPr>
            <w:r>
              <w:rPr>
                <w:rFonts w:ascii="Arial" w:cs="Arial" w:eastAsia="Arial" w:hAnsi="Arial"/>
                <w:sz w:val="14"/>
                <w:szCs w:val="14"/>
                <w:color w:val="auto"/>
              </w:rPr>
              <w:t>39,540</w:t>
            </w:r>
          </w:p>
        </w:tc>
        <w:tc>
          <w:tcPr>
            <w:tcW w:w="1700" w:type="dxa"/>
            <w:vAlign w:val="bottom"/>
            <w:shd w:val="clear" w:color="auto" w:fill="9DBDE4"/>
          </w:tcPr>
          <w:p>
            <w:pPr>
              <w:jc w:val="right"/>
              <w:ind w:right="531"/>
              <w:spacing w:after="0"/>
              <w:rPr>
                <w:sz w:val="20"/>
                <w:szCs w:val="20"/>
                <w:color w:val="auto"/>
              </w:rPr>
            </w:pPr>
            <w:r>
              <w:rPr>
                <w:rFonts w:ascii="Arial" w:cs="Arial" w:eastAsia="Arial" w:hAnsi="Arial"/>
                <w:sz w:val="14"/>
                <w:szCs w:val="14"/>
                <w:color w:val="auto"/>
              </w:rPr>
              <w:t>254,128</w:t>
            </w:r>
          </w:p>
        </w:tc>
        <w:tc>
          <w:tcPr>
            <w:tcW w:w="1920" w:type="dxa"/>
            <w:vAlign w:val="bottom"/>
            <w:shd w:val="clear" w:color="auto" w:fill="9DBDE4"/>
          </w:tcPr>
          <w:p>
            <w:pPr>
              <w:jc w:val="right"/>
              <w:ind w:right="691"/>
              <w:spacing w:after="0"/>
              <w:rPr>
                <w:sz w:val="20"/>
                <w:szCs w:val="20"/>
                <w:color w:val="auto"/>
              </w:rPr>
            </w:pPr>
            <w:r>
              <w:rPr>
                <w:rFonts w:ascii="Arial" w:cs="Arial" w:eastAsia="Arial" w:hAnsi="Arial"/>
                <w:sz w:val="14"/>
                <w:szCs w:val="14"/>
                <w:color w:val="auto"/>
              </w:rPr>
              <w:t>48,424</w:t>
            </w:r>
          </w:p>
        </w:tc>
        <w:tc>
          <w:tcPr>
            <w:tcW w:w="1760" w:type="dxa"/>
            <w:vAlign w:val="bottom"/>
            <w:shd w:val="clear" w:color="auto" w:fill="9DBDE4"/>
          </w:tcPr>
          <w:p>
            <w:pPr>
              <w:jc w:val="right"/>
              <w:ind w:right="491"/>
              <w:spacing w:after="0"/>
              <w:rPr>
                <w:sz w:val="20"/>
                <w:szCs w:val="20"/>
                <w:color w:val="auto"/>
              </w:rPr>
            </w:pPr>
            <w:r>
              <w:rPr>
                <w:rFonts w:ascii="Arial" w:cs="Arial" w:eastAsia="Arial" w:hAnsi="Arial"/>
                <w:sz w:val="14"/>
                <w:szCs w:val="14"/>
                <w:color w:val="auto"/>
              </w:rPr>
              <w:t>1,256,498</w:t>
            </w:r>
          </w:p>
        </w:tc>
      </w:tr>
      <w:tr>
        <w:trPr>
          <w:trHeight w:val="169"/>
        </w:trPr>
        <w:tc>
          <w:tcPr>
            <w:tcW w:w="2180" w:type="dxa"/>
            <w:vAlign w:val="bottom"/>
          </w:tcPr>
          <w:p>
            <w:pPr>
              <w:ind w:left="200"/>
              <w:spacing w:after="0"/>
              <w:rPr>
                <w:sz w:val="20"/>
                <w:szCs w:val="20"/>
                <w:color w:val="auto"/>
              </w:rPr>
            </w:pPr>
            <w:r>
              <w:rPr>
                <w:rFonts w:ascii="Arial" w:cs="Arial" w:eastAsia="Arial" w:hAnsi="Arial"/>
                <w:sz w:val="14"/>
                <w:szCs w:val="14"/>
                <w:color w:val="auto"/>
              </w:rPr>
              <w:t>Alessandro Silva</w:t>
            </w:r>
          </w:p>
        </w:tc>
        <w:tc>
          <w:tcPr>
            <w:tcW w:w="1780" w:type="dxa"/>
            <w:vAlign w:val="bottom"/>
          </w:tcPr>
          <w:p>
            <w:pPr>
              <w:jc w:val="right"/>
              <w:ind w:right="591"/>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531"/>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691"/>
              <w:spacing w:after="0"/>
              <w:rPr>
                <w:sz w:val="20"/>
                <w:szCs w:val="20"/>
                <w:color w:val="auto"/>
              </w:rPr>
            </w:pPr>
            <w:r>
              <w:rPr>
                <w:rFonts w:ascii="Arial" w:cs="Arial" w:eastAsia="Arial" w:hAnsi="Arial"/>
                <w:sz w:val="14"/>
                <w:szCs w:val="14"/>
                <w:color w:val="auto"/>
              </w:rPr>
              <w:t>21,682</w:t>
            </w:r>
          </w:p>
        </w:tc>
        <w:tc>
          <w:tcPr>
            <w:tcW w:w="1760" w:type="dxa"/>
            <w:vAlign w:val="bottom"/>
          </w:tcPr>
          <w:p>
            <w:pPr>
              <w:jc w:val="right"/>
              <w:ind w:right="491"/>
              <w:spacing w:after="0"/>
              <w:rPr>
                <w:sz w:val="20"/>
                <w:szCs w:val="20"/>
                <w:color w:val="auto"/>
              </w:rPr>
            </w:pPr>
            <w:r>
              <w:rPr>
                <w:rFonts w:ascii="Arial" w:cs="Arial" w:eastAsia="Arial" w:hAnsi="Arial"/>
                <w:sz w:val="14"/>
                <w:szCs w:val="14"/>
                <w:color w:val="auto"/>
              </w:rPr>
              <w:t>540,811</w:t>
            </w:r>
          </w:p>
        </w:tc>
      </w:tr>
      <w:tr>
        <w:trPr>
          <w:trHeight w:val="169"/>
        </w:trPr>
        <w:tc>
          <w:tcPr>
            <w:tcW w:w="2180" w:type="dxa"/>
            <w:vAlign w:val="bottom"/>
            <w:shd w:val="clear" w:color="auto" w:fill="9DBDE4"/>
          </w:tcPr>
          <w:p>
            <w:pPr>
              <w:ind w:left="200"/>
              <w:spacing w:after="0"/>
              <w:rPr>
                <w:sz w:val="20"/>
                <w:szCs w:val="20"/>
                <w:color w:val="auto"/>
              </w:rPr>
            </w:pPr>
            <w:r>
              <w:rPr>
                <w:rFonts w:ascii="Arial" w:cs="Arial" w:eastAsia="Arial" w:hAnsi="Arial"/>
                <w:sz w:val="14"/>
                <w:szCs w:val="14"/>
                <w:color w:val="auto"/>
              </w:rPr>
              <w:t>Deborah L. Guerra</w:t>
            </w:r>
          </w:p>
        </w:tc>
        <w:tc>
          <w:tcPr>
            <w:tcW w:w="1780" w:type="dxa"/>
            <w:vAlign w:val="bottom"/>
            <w:shd w:val="clear" w:color="auto" w:fill="9DBDE4"/>
          </w:tcPr>
          <w:p>
            <w:pPr>
              <w:jc w:val="right"/>
              <w:ind w:right="591"/>
              <w:spacing w:after="0"/>
              <w:rPr>
                <w:sz w:val="20"/>
                <w:szCs w:val="20"/>
                <w:color w:val="auto"/>
              </w:rPr>
            </w:pPr>
            <w:r>
              <w:rPr>
                <w:rFonts w:ascii="Arial" w:cs="Arial" w:eastAsia="Arial" w:hAnsi="Arial"/>
                <w:sz w:val="14"/>
                <w:szCs w:val="14"/>
                <w:color w:val="auto"/>
              </w:rPr>
              <w:t>-</w:t>
            </w:r>
          </w:p>
        </w:tc>
        <w:tc>
          <w:tcPr>
            <w:tcW w:w="1700" w:type="dxa"/>
            <w:vAlign w:val="bottom"/>
            <w:shd w:val="clear" w:color="auto" w:fill="9DBDE4"/>
          </w:tcPr>
          <w:p>
            <w:pPr>
              <w:jc w:val="right"/>
              <w:ind w:right="531"/>
              <w:spacing w:after="0"/>
              <w:rPr>
                <w:sz w:val="20"/>
                <w:szCs w:val="20"/>
                <w:color w:val="auto"/>
              </w:rPr>
            </w:pPr>
            <w:r>
              <w:rPr>
                <w:rFonts w:ascii="Arial" w:cs="Arial" w:eastAsia="Arial" w:hAnsi="Arial"/>
                <w:sz w:val="14"/>
                <w:szCs w:val="14"/>
                <w:color w:val="auto"/>
              </w:rPr>
              <w:t>-</w:t>
            </w:r>
          </w:p>
        </w:tc>
        <w:tc>
          <w:tcPr>
            <w:tcW w:w="1920" w:type="dxa"/>
            <w:vAlign w:val="bottom"/>
            <w:shd w:val="clear" w:color="auto" w:fill="9DBDE4"/>
          </w:tcPr>
          <w:p>
            <w:pPr>
              <w:jc w:val="right"/>
              <w:ind w:right="691"/>
              <w:spacing w:after="0"/>
              <w:rPr>
                <w:sz w:val="20"/>
                <w:szCs w:val="20"/>
                <w:color w:val="auto"/>
              </w:rPr>
            </w:pPr>
            <w:r>
              <w:rPr>
                <w:rFonts w:ascii="Arial" w:cs="Arial" w:eastAsia="Arial" w:hAnsi="Arial"/>
                <w:sz w:val="14"/>
                <w:szCs w:val="14"/>
                <w:color w:val="auto"/>
              </w:rPr>
              <w:t>16,727</w:t>
            </w:r>
          </w:p>
        </w:tc>
        <w:tc>
          <w:tcPr>
            <w:tcW w:w="1760" w:type="dxa"/>
            <w:vAlign w:val="bottom"/>
            <w:shd w:val="clear" w:color="auto" w:fill="9DBDE4"/>
          </w:tcPr>
          <w:p>
            <w:pPr>
              <w:jc w:val="right"/>
              <w:ind w:right="491"/>
              <w:spacing w:after="0"/>
              <w:rPr>
                <w:sz w:val="20"/>
                <w:szCs w:val="20"/>
                <w:color w:val="auto"/>
              </w:rPr>
            </w:pPr>
            <w:r>
              <w:rPr>
                <w:rFonts w:ascii="Arial" w:cs="Arial" w:eastAsia="Arial" w:hAnsi="Arial"/>
                <w:sz w:val="14"/>
                <w:szCs w:val="14"/>
                <w:color w:val="auto"/>
              </w:rPr>
              <w:t>427,400</w:t>
            </w:r>
          </w:p>
        </w:tc>
      </w:tr>
      <w:tr>
        <w:trPr>
          <w:trHeight w:val="187"/>
        </w:trPr>
        <w:tc>
          <w:tcPr>
            <w:tcW w:w="2180" w:type="dxa"/>
            <w:vAlign w:val="bottom"/>
          </w:tcPr>
          <w:p>
            <w:pPr>
              <w:ind w:left="200"/>
              <w:spacing w:after="0"/>
              <w:rPr>
                <w:sz w:val="20"/>
                <w:szCs w:val="20"/>
                <w:color w:val="auto"/>
              </w:rPr>
            </w:pPr>
            <w:r>
              <w:rPr>
                <w:rFonts w:ascii="Arial" w:cs="Arial" w:eastAsia="Arial" w:hAnsi="Arial"/>
                <w:sz w:val="14"/>
                <w:szCs w:val="14"/>
                <w:color w:val="auto"/>
              </w:rPr>
              <w:t>Abraham Kuruvilla</w:t>
            </w:r>
          </w:p>
        </w:tc>
        <w:tc>
          <w:tcPr>
            <w:tcW w:w="1780" w:type="dxa"/>
            <w:vAlign w:val="bottom"/>
          </w:tcPr>
          <w:p>
            <w:pPr>
              <w:jc w:val="right"/>
              <w:ind w:right="591"/>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531"/>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691"/>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491"/>
              <w:spacing w:after="0"/>
              <w:rPr>
                <w:sz w:val="20"/>
                <w:szCs w:val="20"/>
                <w:color w:val="auto"/>
              </w:rPr>
            </w:pPr>
            <w:r>
              <w:rPr>
                <w:rFonts w:ascii="Arial" w:cs="Arial" w:eastAsia="Arial" w:hAnsi="Arial"/>
                <w:sz w:val="14"/>
                <w:szCs w:val="14"/>
                <w:color w:val="auto"/>
              </w:rPr>
              <w:t>-</w:t>
            </w:r>
          </w:p>
        </w:tc>
      </w:tr>
    </w:tbl>
    <w:p>
      <w:pPr>
        <w:spacing w:after="0" w:line="152" w:lineRule="exact"/>
        <w:rPr>
          <w:sz w:val="20"/>
          <w:szCs w:val="20"/>
          <w:color w:val="auto"/>
        </w:rPr>
      </w:pPr>
    </w:p>
    <w:p>
      <w:pPr>
        <w:jc w:val="both"/>
        <w:ind w:left="360" w:right="300" w:hanging="354"/>
        <w:spacing w:after="0" w:line="215" w:lineRule="auto"/>
        <w:tabs>
          <w:tab w:leader="none" w:pos="360" w:val="left"/>
        </w:tabs>
        <w:numPr>
          <w:ilvl w:val="0"/>
          <w:numId w:val="50"/>
        </w:numPr>
        <w:rPr>
          <w:rFonts w:ascii="Arial" w:cs="Arial" w:eastAsia="Arial" w:hAnsi="Arial"/>
          <w:sz w:val="23"/>
          <w:szCs w:val="23"/>
          <w:color w:val="auto"/>
          <w:vertAlign w:val="superscript"/>
        </w:rPr>
      </w:pPr>
      <w:r>
        <w:rPr>
          <w:rFonts w:ascii="Arial" w:cs="Arial" w:eastAsia="Arial" w:hAnsi="Arial"/>
          <w:sz w:val="16"/>
          <w:szCs w:val="16"/>
          <w:color w:val="auto"/>
        </w:rPr>
        <w:t>The amounts in column (c) were calculated by determining the difference between the market price of the underlying shares at exercise and the exercise price of the options. The amounts in column (e) were calculated by multiplying the number of vested shares by the closing price per share of ACI common stock on the vesting date.</w:t>
      </w:r>
    </w:p>
    <w:p>
      <w:pPr>
        <w:spacing w:after="0" w:line="177"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2023 Nonqualified Deferred Compensation</w:t>
      </w:r>
    </w:p>
    <w:p>
      <w:pPr>
        <w:spacing w:after="0" w:line="228"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Our Named Executive Officers (other than the Interim CEO) are eligible to participate in our Amended and Restated Deferred Compensation Plan (the “DCP”). Pursuant to the DCP, participating Named Executive Officers may elect to defer a portion of their eligible compensation. The Company may, in its discretion, credit participant accounts with Company contributions. Participant contributions are always fully vested, and Company contributions may be subject to a vesting schedule of up to five years. Participants in the DCP are permitted to elect from among one or more earnings indices designated by the Compensation Committee in which to notionally invest their DCP balances. Unless otherwise elected by the participant, balances in a participant’s account under the DCP are generally distributed in a lump sum on the earliest of (1) the participant’s separation from service, (2) the participant’s death, or (3) the participant’s qualifying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141605</wp:posOffset>
            </wp:positionV>
            <wp:extent cx="8255" cy="1435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143573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141605</wp:posOffset>
            </wp:positionV>
            <wp:extent cx="8255" cy="1435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1435735"/>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141605</wp:posOffset>
            </wp:positionV>
            <wp:extent cx="8255" cy="1435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1435735"/>
                    </a:xfrm>
                    <a:prstGeom prst="rect">
                      <a:avLst/>
                    </a:prstGeom>
                    <a:noFill/>
                  </pic:spPr>
                </pic:pic>
              </a:graphicData>
            </a:graphic>
          </wp:anchor>
        </w:drawing>
        <w:drawing>
          <wp:anchor simplePos="0" relativeHeight="251657728" behindDoc="1" locked="0" layoutInCell="0" allowOverlap="1">
            <wp:simplePos x="0" y="0"/>
            <wp:positionH relativeFrom="column">
              <wp:posOffset>1790065</wp:posOffset>
            </wp:positionH>
            <wp:positionV relativeFrom="paragraph">
              <wp:posOffset>141605</wp:posOffset>
            </wp:positionV>
            <wp:extent cx="8255" cy="1435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143573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141605</wp:posOffset>
            </wp:positionV>
            <wp:extent cx="8255" cy="1435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1435735"/>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shd w:val="clear" w:color="auto" w:fill="284993"/>
          </w:tcPr>
          <w:p>
            <w:pPr>
              <w:spacing w:after="0"/>
              <w:rPr>
                <w:sz w:val="14"/>
                <w:szCs w:val="14"/>
                <w:color w:val="auto"/>
              </w:rPr>
            </w:pPr>
          </w:p>
        </w:tc>
        <w:tc>
          <w:tcPr>
            <w:tcW w:w="1360" w:type="dxa"/>
            <w:vAlign w:val="bottom"/>
            <w:gridSpan w:val="2"/>
            <w:shd w:val="clear" w:color="auto" w:fill="284993"/>
          </w:tcPr>
          <w:p>
            <w:pPr>
              <w:jc w:val="center"/>
              <w:ind w:right="271"/>
              <w:spacing w:after="0"/>
              <w:rPr>
                <w:sz w:val="20"/>
                <w:szCs w:val="20"/>
                <w:color w:val="auto"/>
              </w:rPr>
            </w:pPr>
            <w:r>
              <w:rPr>
                <w:rFonts w:ascii="Arial" w:cs="Arial" w:eastAsia="Arial" w:hAnsi="Arial"/>
                <w:sz w:val="14"/>
                <w:szCs w:val="14"/>
                <w:b w:val="1"/>
                <w:bCs w:val="1"/>
                <w:color w:val="FFFFFF"/>
                <w:w w:val="89"/>
              </w:rPr>
              <w:t>   Executive</w:t>
            </w:r>
          </w:p>
        </w:tc>
        <w:tc>
          <w:tcPr>
            <w:tcW w:w="1680" w:type="dxa"/>
            <w:vAlign w:val="bottom"/>
            <w:gridSpan w:val="2"/>
            <w:shd w:val="clear" w:color="auto" w:fill="284993"/>
          </w:tcPr>
          <w:p>
            <w:pPr>
              <w:jc w:val="center"/>
              <w:spacing w:after="0"/>
              <w:rPr>
                <w:sz w:val="20"/>
                <w:szCs w:val="20"/>
                <w:color w:val="auto"/>
              </w:rPr>
            </w:pPr>
            <w:r>
              <w:rPr>
                <w:rFonts w:ascii="Arial" w:cs="Arial" w:eastAsia="Arial" w:hAnsi="Arial"/>
                <w:sz w:val="14"/>
                <w:szCs w:val="14"/>
                <w:b w:val="1"/>
                <w:bCs w:val="1"/>
                <w:color w:val="FFFFFF"/>
                <w:w w:val="90"/>
              </w:rPr>
              <w:t>   Registrant</w:t>
            </w:r>
          </w:p>
        </w:tc>
        <w:tc>
          <w:tcPr>
            <w:tcW w:w="1720" w:type="dxa"/>
            <w:vAlign w:val="bottom"/>
            <w:shd w:val="clear" w:color="auto" w:fill="284993"/>
          </w:tcPr>
          <w:p>
            <w:pPr>
              <w:spacing w:after="0"/>
              <w:rPr>
                <w:sz w:val="14"/>
                <w:szCs w:val="14"/>
                <w:color w:val="auto"/>
              </w:rPr>
            </w:pPr>
          </w:p>
        </w:tc>
        <w:tc>
          <w:tcPr>
            <w:tcW w:w="380" w:type="dxa"/>
            <w:vAlign w:val="bottom"/>
            <w:shd w:val="clear" w:color="auto" w:fill="284993"/>
          </w:tcPr>
          <w:p>
            <w:pPr>
              <w:ind w:left="340"/>
              <w:spacing w:after="0"/>
              <w:rPr>
                <w:sz w:val="20"/>
                <w:szCs w:val="20"/>
                <w:color w:val="auto"/>
              </w:rPr>
            </w:pPr>
            <w:r>
              <w:rPr>
                <w:rFonts w:ascii="Arial" w:cs="Arial" w:eastAsia="Arial" w:hAnsi="Arial"/>
                <w:sz w:val="2"/>
                <w:szCs w:val="2"/>
                <w:b w:val="1"/>
                <w:bCs w:val="1"/>
                <w:color w:val="FFFFFF"/>
                <w:w w:val="97"/>
              </w:rPr>
              <w:t> </w:t>
            </w:r>
          </w:p>
        </w:tc>
        <w:tc>
          <w:tcPr>
            <w:tcW w:w="1120" w:type="dxa"/>
            <w:vAlign w:val="bottom"/>
            <w:shd w:val="clear" w:color="auto" w:fill="284993"/>
          </w:tcPr>
          <w:p>
            <w:pPr>
              <w:jc w:val="center"/>
              <w:ind w:right="171"/>
              <w:spacing w:after="0"/>
              <w:rPr>
                <w:sz w:val="20"/>
                <w:szCs w:val="20"/>
                <w:color w:val="auto"/>
              </w:rPr>
            </w:pPr>
            <w:r>
              <w:rPr>
                <w:rFonts w:ascii="Arial" w:cs="Arial" w:eastAsia="Arial" w:hAnsi="Arial"/>
                <w:sz w:val="14"/>
                <w:szCs w:val="14"/>
                <w:b w:val="1"/>
                <w:bCs w:val="1"/>
                <w:color w:val="FFFFFF"/>
                <w:w w:val="98"/>
              </w:rPr>
              <w:t>Aggregate</w:t>
            </w:r>
          </w:p>
        </w:tc>
        <w:tc>
          <w:tcPr>
            <w:tcW w:w="1540" w:type="dxa"/>
            <w:vAlign w:val="bottom"/>
            <w:gridSpan w:val="2"/>
            <w:shd w:val="clear" w:color="auto" w:fill="284993"/>
          </w:tcPr>
          <w:p>
            <w:pPr>
              <w:jc w:val="center"/>
              <w:ind w:left="54"/>
              <w:spacing w:after="0"/>
              <w:rPr>
                <w:sz w:val="20"/>
                <w:szCs w:val="20"/>
                <w:color w:val="auto"/>
              </w:rPr>
            </w:pPr>
            <w:r>
              <w:rPr>
                <w:rFonts w:ascii="Arial" w:cs="Arial" w:eastAsia="Arial" w:hAnsi="Arial"/>
                <w:sz w:val="14"/>
                <w:szCs w:val="14"/>
                <w:b w:val="1"/>
                <w:bCs w:val="1"/>
                <w:color w:val="FFFFFF"/>
                <w:w w:val="91"/>
              </w:rPr>
              <w:t>  Aggregate</w:t>
            </w:r>
          </w:p>
        </w:tc>
      </w:tr>
      <w:tr>
        <w:trPr>
          <w:trHeight w:val="156"/>
        </w:trPr>
        <w:tc>
          <w:tcPr>
            <w:tcW w:w="20" w:type="dxa"/>
            <w:vAlign w:val="bottom"/>
          </w:tcPr>
          <w:p>
            <w:pPr>
              <w:spacing w:after="0"/>
              <w:rPr>
                <w:sz w:val="13"/>
                <w:szCs w:val="13"/>
                <w:color w:val="auto"/>
              </w:rPr>
            </w:pPr>
          </w:p>
        </w:tc>
        <w:tc>
          <w:tcPr>
            <w:tcW w:w="1540" w:type="dxa"/>
            <w:vAlign w:val="bottom"/>
            <w:shd w:val="clear" w:color="auto" w:fill="284993"/>
          </w:tcPr>
          <w:p>
            <w:pPr>
              <w:ind w:left="1440"/>
              <w:spacing w:after="0"/>
              <w:rPr>
                <w:sz w:val="20"/>
                <w:szCs w:val="20"/>
                <w:color w:val="auto"/>
              </w:rPr>
            </w:pPr>
            <w:r>
              <w:rPr>
                <w:rFonts w:ascii="Arial" w:cs="Arial" w:eastAsia="Arial" w:hAnsi="Arial"/>
                <w:sz w:val="10"/>
                <w:szCs w:val="10"/>
                <w:b w:val="1"/>
                <w:bCs w:val="1"/>
                <w:color w:val="FFFFFF"/>
                <w:w w:val="79"/>
              </w:rPr>
              <w:t> </w:t>
            </w:r>
          </w:p>
        </w:tc>
        <w:tc>
          <w:tcPr>
            <w:tcW w:w="1360" w:type="dxa"/>
            <w:vAlign w:val="bottom"/>
            <w:gridSpan w:val="2"/>
            <w:shd w:val="clear" w:color="auto" w:fill="284993"/>
          </w:tcPr>
          <w:p>
            <w:pPr>
              <w:jc w:val="center"/>
              <w:ind w:right="131"/>
              <w:spacing w:after="0" w:line="156" w:lineRule="exact"/>
              <w:rPr>
                <w:sz w:val="20"/>
                <w:szCs w:val="20"/>
                <w:color w:val="auto"/>
              </w:rPr>
            </w:pPr>
            <w:r>
              <w:rPr>
                <w:rFonts w:ascii="Arial" w:cs="Arial" w:eastAsia="Arial" w:hAnsi="Arial"/>
                <w:sz w:val="14"/>
                <w:szCs w:val="14"/>
                <w:b w:val="1"/>
                <w:bCs w:val="1"/>
                <w:color w:val="FFFFFF"/>
                <w:w w:val="99"/>
              </w:rPr>
              <w:t>Contributions in</w:t>
            </w:r>
          </w:p>
        </w:tc>
        <w:tc>
          <w:tcPr>
            <w:tcW w:w="1680" w:type="dxa"/>
            <w:vAlign w:val="bottom"/>
            <w:gridSpan w:val="2"/>
            <w:shd w:val="clear" w:color="auto" w:fill="284993"/>
          </w:tcPr>
          <w:p>
            <w:pPr>
              <w:jc w:val="center"/>
              <w:spacing w:after="0" w:line="156" w:lineRule="exact"/>
              <w:rPr>
                <w:sz w:val="20"/>
                <w:szCs w:val="20"/>
                <w:color w:val="auto"/>
              </w:rPr>
            </w:pPr>
            <w:r>
              <w:rPr>
                <w:rFonts w:ascii="Arial" w:cs="Arial" w:eastAsia="Arial" w:hAnsi="Arial"/>
                <w:sz w:val="14"/>
                <w:szCs w:val="14"/>
                <w:b w:val="1"/>
                <w:bCs w:val="1"/>
                <w:color w:val="FFFFFF"/>
                <w:w w:val="92"/>
              </w:rPr>
              <w:t>   Contributions in</w:t>
            </w:r>
          </w:p>
        </w:tc>
        <w:tc>
          <w:tcPr>
            <w:tcW w:w="1720" w:type="dxa"/>
            <w:vAlign w:val="bottom"/>
            <w:shd w:val="clear" w:color="auto" w:fill="284993"/>
          </w:tcPr>
          <w:p>
            <w:pPr>
              <w:jc w:val="center"/>
              <w:spacing w:after="0" w:line="156" w:lineRule="exact"/>
              <w:rPr>
                <w:sz w:val="20"/>
                <w:szCs w:val="20"/>
                <w:color w:val="auto"/>
              </w:rPr>
            </w:pPr>
            <w:r>
              <w:rPr>
                <w:rFonts w:ascii="Arial" w:cs="Arial" w:eastAsia="Arial" w:hAnsi="Arial"/>
                <w:sz w:val="14"/>
                <w:szCs w:val="14"/>
                <w:b w:val="1"/>
                <w:bCs w:val="1"/>
                <w:color w:val="FFFFFF"/>
                <w:w w:val="94"/>
              </w:rPr>
              <w:t>  Aggregate</w:t>
            </w:r>
          </w:p>
        </w:tc>
        <w:tc>
          <w:tcPr>
            <w:tcW w:w="380" w:type="dxa"/>
            <w:vAlign w:val="bottom"/>
            <w:shd w:val="clear" w:color="auto" w:fill="284993"/>
          </w:tcPr>
          <w:p>
            <w:pPr>
              <w:ind w:left="260"/>
              <w:spacing w:after="0" w:line="156" w:lineRule="exact"/>
              <w:rPr>
                <w:sz w:val="20"/>
                <w:szCs w:val="20"/>
                <w:color w:val="auto"/>
              </w:rPr>
            </w:pPr>
            <w:r>
              <w:rPr>
                <w:rFonts w:ascii="Arial" w:cs="Arial" w:eastAsia="Arial" w:hAnsi="Arial"/>
                <w:sz w:val="14"/>
                <w:szCs w:val="14"/>
                <w:b w:val="1"/>
                <w:bCs w:val="1"/>
                <w:color w:val="FFFFFF"/>
                <w:w w:val="71"/>
              </w:rPr>
              <w:t> </w:t>
            </w:r>
          </w:p>
        </w:tc>
        <w:tc>
          <w:tcPr>
            <w:tcW w:w="1120" w:type="dxa"/>
            <w:vAlign w:val="bottom"/>
            <w:shd w:val="clear" w:color="auto" w:fill="284993"/>
          </w:tcPr>
          <w:p>
            <w:pPr>
              <w:jc w:val="center"/>
              <w:ind w:right="171"/>
              <w:spacing w:after="0" w:line="156" w:lineRule="exact"/>
              <w:rPr>
                <w:sz w:val="20"/>
                <w:szCs w:val="20"/>
                <w:color w:val="auto"/>
              </w:rPr>
            </w:pPr>
            <w:r>
              <w:rPr>
                <w:rFonts w:ascii="Arial" w:cs="Arial" w:eastAsia="Arial" w:hAnsi="Arial"/>
                <w:sz w:val="14"/>
                <w:szCs w:val="14"/>
                <w:b w:val="1"/>
                <w:bCs w:val="1"/>
                <w:color w:val="FFFFFF"/>
                <w:w w:val="97"/>
              </w:rPr>
              <w:t>Withdrawals/</w:t>
            </w:r>
          </w:p>
        </w:tc>
        <w:tc>
          <w:tcPr>
            <w:tcW w:w="1540" w:type="dxa"/>
            <w:vAlign w:val="bottom"/>
            <w:gridSpan w:val="2"/>
            <w:shd w:val="clear" w:color="auto" w:fill="284993"/>
          </w:tcPr>
          <w:p>
            <w:pPr>
              <w:jc w:val="center"/>
              <w:ind w:left="54"/>
              <w:spacing w:after="0" w:line="156" w:lineRule="exact"/>
              <w:rPr>
                <w:sz w:val="20"/>
                <w:szCs w:val="20"/>
                <w:color w:val="auto"/>
              </w:rPr>
            </w:pPr>
            <w:r>
              <w:rPr>
                <w:rFonts w:ascii="Arial" w:cs="Arial" w:eastAsia="Arial" w:hAnsi="Arial"/>
                <w:sz w:val="14"/>
                <w:szCs w:val="14"/>
                <w:b w:val="1"/>
                <w:bCs w:val="1"/>
                <w:color w:val="FFFFFF"/>
                <w:w w:val="93"/>
              </w:rPr>
              <w:t>   Balance at Last</w:t>
            </w:r>
          </w:p>
        </w:tc>
      </w:tr>
      <w:tr>
        <w:trPr>
          <w:trHeight w:val="156"/>
        </w:trPr>
        <w:tc>
          <w:tcPr>
            <w:tcW w:w="20" w:type="dxa"/>
            <w:vAlign w:val="bottom"/>
          </w:tcPr>
          <w:p>
            <w:pPr>
              <w:spacing w:after="0"/>
              <w:rPr>
                <w:sz w:val="13"/>
                <w:szCs w:val="13"/>
                <w:color w:val="auto"/>
              </w:rPr>
            </w:pPr>
          </w:p>
        </w:tc>
        <w:tc>
          <w:tcPr>
            <w:tcW w:w="1540" w:type="dxa"/>
            <w:vAlign w:val="bottom"/>
            <w:shd w:val="clear" w:color="auto" w:fill="284993"/>
          </w:tcPr>
          <w:p>
            <w:pPr>
              <w:spacing w:after="0"/>
              <w:rPr>
                <w:sz w:val="13"/>
                <w:szCs w:val="13"/>
                <w:color w:val="auto"/>
              </w:rPr>
            </w:pPr>
          </w:p>
        </w:tc>
        <w:tc>
          <w:tcPr>
            <w:tcW w:w="320" w:type="dxa"/>
            <w:vAlign w:val="bottom"/>
            <w:shd w:val="clear" w:color="auto" w:fill="284993"/>
          </w:tcPr>
          <w:p>
            <w:pPr>
              <w:ind w:left="280"/>
              <w:spacing w:after="0"/>
              <w:rPr>
                <w:sz w:val="20"/>
                <w:szCs w:val="20"/>
                <w:color w:val="auto"/>
              </w:rPr>
            </w:pPr>
            <w:r>
              <w:rPr>
                <w:rFonts w:ascii="Arial" w:cs="Arial" w:eastAsia="Arial" w:hAnsi="Arial"/>
                <w:sz w:val="2"/>
                <w:szCs w:val="2"/>
                <w:b w:val="1"/>
                <w:bCs w:val="1"/>
                <w:color w:val="FFFFFF"/>
                <w:w w:val="97"/>
              </w:rPr>
              <w:t> </w:t>
            </w:r>
          </w:p>
        </w:tc>
        <w:tc>
          <w:tcPr>
            <w:tcW w:w="1040" w:type="dxa"/>
            <w:vAlign w:val="bottom"/>
            <w:shd w:val="clear" w:color="auto" w:fill="284993"/>
          </w:tcPr>
          <w:p>
            <w:pPr>
              <w:jc w:val="center"/>
              <w:ind w:right="451"/>
              <w:spacing w:after="0" w:line="156" w:lineRule="exact"/>
              <w:rPr>
                <w:sz w:val="20"/>
                <w:szCs w:val="20"/>
                <w:color w:val="auto"/>
              </w:rPr>
            </w:pPr>
            <w:r>
              <w:rPr>
                <w:rFonts w:ascii="Arial" w:cs="Arial" w:eastAsia="Arial" w:hAnsi="Arial"/>
                <w:sz w:val="14"/>
                <w:szCs w:val="14"/>
                <w:b w:val="1"/>
                <w:bCs w:val="1"/>
                <w:color w:val="FFFFFF"/>
              </w:rPr>
              <w:t>2023</w:t>
            </w:r>
          </w:p>
        </w:tc>
        <w:tc>
          <w:tcPr>
            <w:tcW w:w="740" w:type="dxa"/>
            <w:vAlign w:val="bottom"/>
            <w:shd w:val="clear" w:color="auto" w:fill="284993"/>
          </w:tcPr>
          <w:p>
            <w:pPr>
              <w:ind w:left="620"/>
              <w:spacing w:after="0" w:line="156" w:lineRule="exact"/>
              <w:rPr>
                <w:sz w:val="20"/>
                <w:szCs w:val="20"/>
                <w:color w:val="auto"/>
              </w:rPr>
            </w:pPr>
            <w:r>
              <w:rPr>
                <w:rFonts w:ascii="Arial" w:cs="Arial" w:eastAsia="Arial" w:hAnsi="Arial"/>
                <w:sz w:val="14"/>
                <w:szCs w:val="14"/>
                <w:b w:val="1"/>
                <w:bCs w:val="1"/>
                <w:color w:val="FFFFFF"/>
                <w:w w:val="71"/>
              </w:rPr>
              <w:t> </w:t>
            </w:r>
          </w:p>
        </w:tc>
        <w:tc>
          <w:tcPr>
            <w:tcW w:w="940" w:type="dxa"/>
            <w:vAlign w:val="bottom"/>
            <w:shd w:val="clear" w:color="auto" w:fill="284993"/>
          </w:tcPr>
          <w:p>
            <w:pPr>
              <w:jc w:val="center"/>
              <w:ind w:right="531"/>
              <w:spacing w:after="0" w:line="156" w:lineRule="exact"/>
              <w:rPr>
                <w:sz w:val="20"/>
                <w:szCs w:val="20"/>
                <w:color w:val="auto"/>
              </w:rPr>
            </w:pPr>
            <w:r>
              <w:rPr>
                <w:rFonts w:ascii="Arial" w:cs="Arial" w:eastAsia="Arial" w:hAnsi="Arial"/>
                <w:sz w:val="14"/>
                <w:szCs w:val="14"/>
                <w:b w:val="1"/>
                <w:bCs w:val="1"/>
                <w:color w:val="FFFFFF"/>
                <w:w w:val="96"/>
              </w:rPr>
              <w:t>2023</w:t>
            </w:r>
          </w:p>
        </w:tc>
        <w:tc>
          <w:tcPr>
            <w:tcW w:w="1720" w:type="dxa"/>
            <w:vAlign w:val="bottom"/>
            <w:shd w:val="clear" w:color="auto" w:fill="284993"/>
          </w:tcPr>
          <w:p>
            <w:pPr>
              <w:jc w:val="center"/>
              <w:spacing w:after="0" w:line="156" w:lineRule="exact"/>
              <w:rPr>
                <w:sz w:val="20"/>
                <w:szCs w:val="20"/>
                <w:color w:val="auto"/>
              </w:rPr>
            </w:pPr>
            <w:r>
              <w:rPr>
                <w:rFonts w:ascii="Arial" w:cs="Arial" w:eastAsia="Arial" w:hAnsi="Arial"/>
                <w:sz w:val="14"/>
                <w:szCs w:val="14"/>
                <w:b w:val="1"/>
                <w:bCs w:val="1"/>
                <w:color w:val="FFFFFF"/>
                <w:w w:val="93"/>
              </w:rPr>
              <w:t>   Earnings in 2023</w:t>
            </w:r>
          </w:p>
        </w:tc>
        <w:tc>
          <w:tcPr>
            <w:tcW w:w="380" w:type="dxa"/>
            <w:vAlign w:val="bottom"/>
            <w:shd w:val="clear" w:color="auto" w:fill="284993"/>
          </w:tcPr>
          <w:p>
            <w:pPr>
              <w:ind w:left="260"/>
              <w:spacing w:after="0" w:line="156" w:lineRule="exact"/>
              <w:rPr>
                <w:sz w:val="20"/>
                <w:szCs w:val="20"/>
                <w:color w:val="auto"/>
              </w:rPr>
            </w:pPr>
            <w:r>
              <w:rPr>
                <w:rFonts w:ascii="Arial" w:cs="Arial" w:eastAsia="Arial" w:hAnsi="Arial"/>
                <w:sz w:val="14"/>
                <w:szCs w:val="14"/>
                <w:b w:val="1"/>
                <w:bCs w:val="1"/>
                <w:color w:val="FFFFFF"/>
                <w:w w:val="71"/>
              </w:rPr>
              <w:t> </w:t>
            </w:r>
          </w:p>
        </w:tc>
        <w:tc>
          <w:tcPr>
            <w:tcW w:w="1120" w:type="dxa"/>
            <w:vAlign w:val="bottom"/>
            <w:shd w:val="clear" w:color="auto" w:fill="284993"/>
          </w:tcPr>
          <w:p>
            <w:pPr>
              <w:jc w:val="center"/>
              <w:ind w:right="171"/>
              <w:spacing w:after="0" w:line="156" w:lineRule="exact"/>
              <w:rPr>
                <w:sz w:val="20"/>
                <w:szCs w:val="20"/>
                <w:color w:val="auto"/>
              </w:rPr>
            </w:pPr>
            <w:r>
              <w:rPr>
                <w:rFonts w:ascii="Arial" w:cs="Arial" w:eastAsia="Arial" w:hAnsi="Arial"/>
                <w:sz w:val="14"/>
                <w:szCs w:val="14"/>
                <w:b w:val="1"/>
                <w:bCs w:val="1"/>
                <w:color w:val="FFFFFF"/>
                <w:w w:val="97"/>
              </w:rPr>
              <w:t>Distributions</w:t>
            </w:r>
          </w:p>
        </w:tc>
        <w:tc>
          <w:tcPr>
            <w:tcW w:w="660" w:type="dxa"/>
            <w:vAlign w:val="bottom"/>
            <w:shd w:val="clear" w:color="auto" w:fill="284993"/>
          </w:tcPr>
          <w:p>
            <w:pPr>
              <w:ind w:left="620"/>
              <w:spacing w:after="0"/>
              <w:rPr>
                <w:sz w:val="20"/>
                <w:szCs w:val="20"/>
                <w:color w:val="auto"/>
              </w:rPr>
            </w:pPr>
            <w:r>
              <w:rPr>
                <w:rFonts w:ascii="Arial" w:cs="Arial" w:eastAsia="Arial" w:hAnsi="Arial"/>
                <w:sz w:val="2"/>
                <w:szCs w:val="2"/>
                <w:b w:val="1"/>
                <w:bCs w:val="1"/>
                <w:color w:val="FFFFFF"/>
                <w:w w:val="97"/>
              </w:rPr>
              <w:t> </w:t>
            </w:r>
          </w:p>
        </w:tc>
        <w:tc>
          <w:tcPr>
            <w:tcW w:w="880" w:type="dxa"/>
            <w:vAlign w:val="bottom"/>
            <w:shd w:val="clear" w:color="auto" w:fill="284993"/>
          </w:tcPr>
          <w:p>
            <w:pPr>
              <w:ind w:left="100"/>
              <w:spacing w:after="0" w:line="156" w:lineRule="exact"/>
              <w:rPr>
                <w:sz w:val="20"/>
                <w:szCs w:val="20"/>
                <w:color w:val="auto"/>
              </w:rPr>
            </w:pPr>
            <w:r>
              <w:rPr>
                <w:rFonts w:ascii="Arial" w:cs="Arial" w:eastAsia="Arial" w:hAnsi="Arial"/>
                <w:sz w:val="14"/>
                <w:szCs w:val="14"/>
                <w:b w:val="1"/>
                <w:bCs w:val="1"/>
                <w:color w:val="FFFFFF"/>
              </w:rPr>
              <w:t>FYE</w:t>
            </w:r>
          </w:p>
        </w:tc>
      </w:tr>
      <w:tr>
        <w:trPr>
          <w:trHeight w:val="152"/>
        </w:trPr>
        <w:tc>
          <w:tcPr>
            <w:tcW w:w="20" w:type="dxa"/>
            <w:vAlign w:val="bottom"/>
          </w:tcPr>
          <w:p>
            <w:pPr>
              <w:spacing w:after="0"/>
              <w:rPr>
                <w:sz w:val="13"/>
                <w:szCs w:val="13"/>
                <w:color w:val="auto"/>
              </w:rPr>
            </w:pPr>
          </w:p>
        </w:tc>
        <w:tc>
          <w:tcPr>
            <w:tcW w:w="1540" w:type="dxa"/>
            <w:vAlign w:val="bottom"/>
            <w:shd w:val="clear" w:color="auto" w:fill="284993"/>
          </w:tcPr>
          <w:p>
            <w:pPr>
              <w:spacing w:after="0"/>
              <w:rPr>
                <w:sz w:val="13"/>
                <w:szCs w:val="13"/>
                <w:color w:val="auto"/>
              </w:rPr>
            </w:pPr>
          </w:p>
        </w:tc>
        <w:tc>
          <w:tcPr>
            <w:tcW w:w="320" w:type="dxa"/>
            <w:vAlign w:val="bottom"/>
            <w:shd w:val="clear" w:color="auto" w:fill="284993"/>
          </w:tcPr>
          <w:p>
            <w:pPr>
              <w:spacing w:after="0"/>
              <w:rPr>
                <w:sz w:val="13"/>
                <w:szCs w:val="13"/>
                <w:color w:val="auto"/>
              </w:rPr>
            </w:pPr>
          </w:p>
        </w:tc>
        <w:tc>
          <w:tcPr>
            <w:tcW w:w="1040" w:type="dxa"/>
            <w:vAlign w:val="bottom"/>
            <w:shd w:val="clear" w:color="auto" w:fill="284993"/>
          </w:tcPr>
          <w:p>
            <w:pPr>
              <w:jc w:val="center"/>
              <w:ind w:right="591"/>
              <w:spacing w:after="0" w:line="152" w:lineRule="exact"/>
              <w:rPr>
                <w:sz w:val="20"/>
                <w:szCs w:val="20"/>
                <w:color w:val="auto"/>
              </w:rPr>
            </w:pPr>
            <w:r>
              <w:rPr>
                <w:rFonts w:ascii="Arial" w:cs="Arial" w:eastAsia="Arial" w:hAnsi="Arial"/>
                <w:sz w:val="14"/>
                <w:szCs w:val="14"/>
                <w:b w:val="1"/>
                <w:bCs w:val="1"/>
                <w:color w:val="FFFFFF"/>
                <w:w w:val="77"/>
              </w:rPr>
              <w:t>   ($)</w:t>
            </w:r>
          </w:p>
        </w:tc>
        <w:tc>
          <w:tcPr>
            <w:tcW w:w="1680" w:type="dxa"/>
            <w:vAlign w:val="bottom"/>
            <w:gridSpan w:val="2"/>
            <w:shd w:val="clear" w:color="auto" w:fill="284993"/>
          </w:tcPr>
          <w:p>
            <w:pPr>
              <w:ind w:left="680"/>
              <w:spacing w:after="0" w:line="152" w:lineRule="exact"/>
              <w:rPr>
                <w:sz w:val="20"/>
                <w:szCs w:val="20"/>
                <w:color w:val="auto"/>
              </w:rPr>
            </w:pPr>
            <w:r>
              <w:rPr>
                <w:rFonts w:ascii="Arial" w:cs="Arial" w:eastAsia="Arial" w:hAnsi="Arial"/>
                <w:sz w:val="14"/>
                <w:szCs w:val="14"/>
                <w:b w:val="1"/>
                <w:bCs w:val="1"/>
                <w:color w:val="FFFFFF"/>
              </w:rPr>
              <w:t>   ($)</w:t>
            </w:r>
          </w:p>
        </w:tc>
        <w:tc>
          <w:tcPr>
            <w:tcW w:w="1720" w:type="dxa"/>
            <w:vAlign w:val="bottom"/>
            <w:shd w:val="clear" w:color="auto" w:fill="284993"/>
          </w:tcPr>
          <w:p>
            <w:pPr>
              <w:jc w:val="center"/>
              <w:spacing w:after="0" w:line="152" w:lineRule="exact"/>
              <w:rPr>
                <w:sz w:val="20"/>
                <w:szCs w:val="20"/>
                <w:color w:val="auto"/>
              </w:rPr>
            </w:pPr>
            <w:r>
              <w:rPr>
                <w:rFonts w:ascii="Arial" w:cs="Arial" w:eastAsia="Arial" w:hAnsi="Arial"/>
                <w:sz w:val="14"/>
                <w:szCs w:val="14"/>
                <w:b w:val="1"/>
                <w:bCs w:val="1"/>
                <w:color w:val="FFFFFF"/>
                <w:w w:val="77"/>
              </w:rPr>
              <w:t>   ($)</w:t>
            </w:r>
          </w:p>
        </w:tc>
        <w:tc>
          <w:tcPr>
            <w:tcW w:w="380" w:type="dxa"/>
            <w:vAlign w:val="bottom"/>
            <w:shd w:val="clear" w:color="auto" w:fill="284993"/>
          </w:tcPr>
          <w:p>
            <w:pPr>
              <w:spacing w:after="0"/>
              <w:rPr>
                <w:sz w:val="13"/>
                <w:szCs w:val="13"/>
                <w:color w:val="auto"/>
              </w:rPr>
            </w:pPr>
          </w:p>
        </w:tc>
        <w:tc>
          <w:tcPr>
            <w:tcW w:w="1120" w:type="dxa"/>
            <w:vAlign w:val="bottom"/>
            <w:shd w:val="clear" w:color="auto" w:fill="284993"/>
          </w:tcPr>
          <w:p>
            <w:pPr>
              <w:ind w:left="220"/>
              <w:spacing w:after="0" w:line="152" w:lineRule="exact"/>
              <w:rPr>
                <w:sz w:val="20"/>
                <w:szCs w:val="20"/>
                <w:color w:val="auto"/>
              </w:rPr>
            </w:pPr>
            <w:r>
              <w:rPr>
                <w:rFonts w:ascii="Arial" w:cs="Arial" w:eastAsia="Arial" w:hAnsi="Arial"/>
                <w:sz w:val="14"/>
                <w:szCs w:val="14"/>
                <w:b w:val="1"/>
                <w:bCs w:val="1"/>
                <w:color w:val="FFFFFF"/>
              </w:rPr>
              <w:t>   ($)</w:t>
            </w:r>
          </w:p>
        </w:tc>
        <w:tc>
          <w:tcPr>
            <w:tcW w:w="660" w:type="dxa"/>
            <w:vAlign w:val="bottom"/>
            <w:shd w:val="clear" w:color="auto" w:fill="284993"/>
          </w:tcPr>
          <w:p>
            <w:pPr>
              <w:spacing w:after="0"/>
              <w:rPr>
                <w:sz w:val="13"/>
                <w:szCs w:val="13"/>
                <w:color w:val="auto"/>
              </w:rPr>
            </w:pPr>
          </w:p>
        </w:tc>
        <w:tc>
          <w:tcPr>
            <w:tcW w:w="880" w:type="dxa"/>
            <w:vAlign w:val="bottom"/>
            <w:shd w:val="clear" w:color="auto" w:fill="284993"/>
          </w:tcPr>
          <w:p>
            <w:pPr>
              <w:jc w:val="center"/>
              <w:ind w:right="491"/>
              <w:spacing w:after="0" w:line="152" w:lineRule="exact"/>
              <w:rPr>
                <w:sz w:val="20"/>
                <w:szCs w:val="20"/>
                <w:color w:val="auto"/>
              </w:rPr>
            </w:pPr>
            <w:r>
              <w:rPr>
                <w:rFonts w:ascii="Arial" w:cs="Arial" w:eastAsia="Arial" w:hAnsi="Arial"/>
                <w:sz w:val="14"/>
                <w:szCs w:val="14"/>
                <w:b w:val="1"/>
                <w:bCs w:val="1"/>
                <w:color w:val="FFFFFF"/>
                <w:w w:val="82"/>
              </w:rPr>
              <w:t>   ($)</w:t>
            </w:r>
          </w:p>
        </w:tc>
      </w:tr>
      <w:tr>
        <w:trPr>
          <w:trHeight w:val="182"/>
        </w:trPr>
        <w:tc>
          <w:tcPr>
            <w:tcW w:w="20" w:type="dxa"/>
            <w:vAlign w:val="bottom"/>
          </w:tcPr>
          <w:p>
            <w:pPr>
              <w:spacing w:after="0"/>
              <w:rPr>
                <w:sz w:val="15"/>
                <w:szCs w:val="15"/>
                <w:color w:val="auto"/>
              </w:rPr>
            </w:pPr>
          </w:p>
        </w:tc>
        <w:tc>
          <w:tcPr>
            <w:tcW w:w="1540" w:type="dxa"/>
            <w:vAlign w:val="bottom"/>
            <w:shd w:val="clear" w:color="auto" w:fill="284993"/>
          </w:tcPr>
          <w:p>
            <w:pPr>
              <w:spacing w:after="0"/>
              <w:rPr>
                <w:sz w:val="20"/>
                <w:szCs w:val="20"/>
                <w:color w:val="auto"/>
              </w:rPr>
            </w:pPr>
            <w:r>
              <w:rPr>
                <w:rFonts w:ascii="Arial" w:cs="Arial" w:eastAsia="Arial" w:hAnsi="Arial"/>
                <w:sz w:val="14"/>
                <w:szCs w:val="14"/>
                <w:b w:val="1"/>
                <w:bCs w:val="1"/>
                <w:color w:val="FFFFFF"/>
              </w:rPr>
              <w:t> Name</w:t>
            </w:r>
          </w:p>
        </w:tc>
        <w:tc>
          <w:tcPr>
            <w:tcW w:w="320" w:type="dxa"/>
            <w:vAlign w:val="bottom"/>
            <w:shd w:val="clear" w:color="auto" w:fill="284993"/>
          </w:tcPr>
          <w:p>
            <w:pPr>
              <w:ind w:left="280"/>
              <w:spacing w:after="0"/>
              <w:rPr>
                <w:sz w:val="20"/>
                <w:szCs w:val="20"/>
                <w:color w:val="auto"/>
              </w:rPr>
            </w:pPr>
            <w:r>
              <w:rPr>
                <w:rFonts w:ascii="Arial" w:cs="Arial" w:eastAsia="Arial" w:hAnsi="Arial"/>
                <w:sz w:val="2"/>
                <w:szCs w:val="2"/>
                <w:b w:val="1"/>
                <w:bCs w:val="1"/>
                <w:color w:val="FFFFFF"/>
                <w:w w:val="97"/>
              </w:rPr>
              <w:t> </w:t>
            </w:r>
          </w:p>
        </w:tc>
        <w:tc>
          <w:tcPr>
            <w:tcW w:w="1040" w:type="dxa"/>
            <w:vAlign w:val="bottom"/>
            <w:shd w:val="clear" w:color="auto" w:fill="284993"/>
          </w:tcPr>
          <w:p>
            <w:pPr>
              <w:jc w:val="center"/>
              <w:ind w:right="431"/>
              <w:spacing w:after="0" w:line="182" w:lineRule="exact"/>
              <w:rPr>
                <w:sz w:val="20"/>
                <w:szCs w:val="20"/>
                <w:color w:val="auto"/>
              </w:rPr>
            </w:pPr>
            <w:r>
              <w:rPr>
                <w:rFonts w:ascii="Arial" w:cs="Arial" w:eastAsia="Arial" w:hAnsi="Arial"/>
                <w:sz w:val="14"/>
                <w:szCs w:val="14"/>
                <w:b w:val="1"/>
                <w:bCs w:val="1"/>
                <w:color w:val="FFFFFF"/>
                <w:w w:val="99"/>
              </w:rPr>
              <w:t>(b)</w:t>
            </w:r>
            <w:r>
              <w:rPr>
                <w:rFonts w:ascii="Arial" w:cs="Arial" w:eastAsia="Arial" w:hAnsi="Arial"/>
                <w:sz w:val="20"/>
                <w:szCs w:val="20"/>
                <w:b w:val="1"/>
                <w:bCs w:val="1"/>
                <w:color w:val="FFFFFF"/>
                <w:w w:val="99"/>
                <w:vertAlign w:val="superscript"/>
              </w:rPr>
              <w:t>(1)</w:t>
            </w:r>
            <w:r>
              <w:rPr>
                <w:rFonts w:ascii="Arial" w:cs="Arial" w:eastAsia="Arial" w:hAnsi="Arial"/>
                <w:sz w:val="14"/>
                <w:szCs w:val="14"/>
                <w:b w:val="1"/>
                <w:bCs w:val="1"/>
                <w:color w:val="FFFFFF"/>
                <w:w w:val="99"/>
              </w:rPr>
              <w:t xml:space="preserve"> </w:t>
            </w:r>
          </w:p>
        </w:tc>
        <w:tc>
          <w:tcPr>
            <w:tcW w:w="740" w:type="dxa"/>
            <w:vAlign w:val="bottom"/>
            <w:shd w:val="clear" w:color="auto" w:fill="284993"/>
          </w:tcPr>
          <w:p>
            <w:pPr>
              <w:ind w:left="680"/>
              <w:spacing w:after="0"/>
              <w:rPr>
                <w:sz w:val="20"/>
                <w:szCs w:val="20"/>
                <w:color w:val="auto"/>
              </w:rPr>
            </w:pPr>
            <w:r>
              <w:rPr>
                <w:rFonts w:ascii="Arial" w:cs="Arial" w:eastAsia="Arial" w:hAnsi="Arial"/>
                <w:sz w:val="5"/>
                <w:szCs w:val="5"/>
                <w:b w:val="1"/>
                <w:bCs w:val="1"/>
                <w:color w:val="FFFFFF"/>
                <w:w w:val="79"/>
              </w:rPr>
              <w:t> </w:t>
            </w:r>
          </w:p>
        </w:tc>
        <w:tc>
          <w:tcPr>
            <w:tcW w:w="940" w:type="dxa"/>
            <w:vAlign w:val="bottom"/>
            <w:shd w:val="clear" w:color="auto" w:fill="284993"/>
          </w:tcPr>
          <w:p>
            <w:pPr>
              <w:ind w:left="80"/>
              <w:spacing w:after="0"/>
              <w:rPr>
                <w:sz w:val="20"/>
                <w:szCs w:val="20"/>
                <w:color w:val="auto"/>
              </w:rPr>
            </w:pPr>
            <w:r>
              <w:rPr>
                <w:rFonts w:ascii="Arial" w:cs="Arial" w:eastAsia="Arial" w:hAnsi="Arial"/>
                <w:sz w:val="14"/>
                <w:szCs w:val="14"/>
                <w:b w:val="1"/>
                <w:bCs w:val="1"/>
                <w:color w:val="FFFFFF"/>
              </w:rPr>
              <w:t xml:space="preserve">(c) </w:t>
            </w:r>
          </w:p>
        </w:tc>
        <w:tc>
          <w:tcPr>
            <w:tcW w:w="1720" w:type="dxa"/>
            <w:vAlign w:val="bottom"/>
            <w:shd w:val="clear" w:color="auto" w:fill="284993"/>
          </w:tcPr>
          <w:p>
            <w:pPr>
              <w:ind w:left="640"/>
              <w:spacing w:after="0" w:line="182" w:lineRule="exact"/>
              <w:rPr>
                <w:sz w:val="20"/>
                <w:szCs w:val="20"/>
                <w:color w:val="auto"/>
              </w:rPr>
            </w:pPr>
            <w:r>
              <w:rPr>
                <w:rFonts w:ascii="Arial" w:cs="Arial" w:eastAsia="Arial" w:hAnsi="Arial"/>
                <w:sz w:val="14"/>
                <w:szCs w:val="14"/>
                <w:b w:val="1"/>
                <w:bCs w:val="1"/>
                <w:color w:val="FFFFFF"/>
              </w:rPr>
              <w:t>   (d)</w:t>
            </w:r>
            <w:r>
              <w:rPr>
                <w:rFonts w:ascii="Arial" w:cs="Arial" w:eastAsia="Arial" w:hAnsi="Arial"/>
                <w:sz w:val="20"/>
                <w:szCs w:val="20"/>
                <w:b w:val="1"/>
                <w:bCs w:val="1"/>
                <w:color w:val="FFFFFF"/>
                <w:vertAlign w:val="superscript"/>
              </w:rPr>
              <w:t>(2)</w:t>
            </w:r>
            <w:r>
              <w:rPr>
                <w:rFonts w:ascii="Arial" w:cs="Arial" w:eastAsia="Arial" w:hAnsi="Arial"/>
                <w:sz w:val="14"/>
                <w:szCs w:val="14"/>
                <w:b w:val="1"/>
                <w:bCs w:val="1"/>
                <w:color w:val="FFFFFF"/>
              </w:rPr>
              <w:t xml:space="preserve"> </w:t>
            </w:r>
          </w:p>
        </w:tc>
        <w:tc>
          <w:tcPr>
            <w:tcW w:w="380" w:type="dxa"/>
            <w:vAlign w:val="bottom"/>
            <w:shd w:val="clear" w:color="auto" w:fill="284993"/>
          </w:tcPr>
          <w:p>
            <w:pPr>
              <w:spacing w:after="0"/>
              <w:rPr>
                <w:sz w:val="15"/>
                <w:szCs w:val="15"/>
                <w:color w:val="auto"/>
              </w:rPr>
            </w:pPr>
          </w:p>
        </w:tc>
        <w:tc>
          <w:tcPr>
            <w:tcW w:w="1120" w:type="dxa"/>
            <w:vAlign w:val="bottom"/>
            <w:shd w:val="clear" w:color="auto" w:fill="284993"/>
          </w:tcPr>
          <w:p>
            <w:pPr>
              <w:ind w:left="220"/>
              <w:spacing w:after="0"/>
              <w:rPr>
                <w:sz w:val="20"/>
                <w:szCs w:val="20"/>
                <w:color w:val="auto"/>
              </w:rPr>
            </w:pPr>
            <w:r>
              <w:rPr>
                <w:rFonts w:ascii="Arial" w:cs="Arial" w:eastAsia="Arial" w:hAnsi="Arial"/>
                <w:sz w:val="14"/>
                <w:szCs w:val="14"/>
                <w:b w:val="1"/>
                <w:bCs w:val="1"/>
                <w:color w:val="FFFFFF"/>
              </w:rPr>
              <w:t xml:space="preserve">   (e) </w:t>
            </w:r>
          </w:p>
        </w:tc>
        <w:tc>
          <w:tcPr>
            <w:tcW w:w="660" w:type="dxa"/>
            <w:vAlign w:val="bottom"/>
            <w:shd w:val="clear" w:color="auto" w:fill="284993"/>
          </w:tcPr>
          <w:p>
            <w:pPr>
              <w:ind w:left="620"/>
              <w:spacing w:after="0"/>
              <w:rPr>
                <w:sz w:val="20"/>
                <w:szCs w:val="20"/>
                <w:color w:val="auto"/>
              </w:rPr>
            </w:pPr>
            <w:r>
              <w:rPr>
                <w:rFonts w:ascii="Arial" w:cs="Arial" w:eastAsia="Arial" w:hAnsi="Arial"/>
                <w:sz w:val="2"/>
                <w:szCs w:val="2"/>
                <w:b w:val="1"/>
                <w:bCs w:val="1"/>
                <w:color w:val="FFFFFF"/>
                <w:w w:val="97"/>
              </w:rPr>
              <w:t> </w:t>
            </w:r>
          </w:p>
        </w:tc>
        <w:tc>
          <w:tcPr>
            <w:tcW w:w="880" w:type="dxa"/>
            <w:vAlign w:val="bottom"/>
            <w:shd w:val="clear" w:color="auto" w:fill="284993"/>
          </w:tcPr>
          <w:p>
            <w:pPr>
              <w:ind w:left="100"/>
              <w:spacing w:after="0" w:line="182" w:lineRule="exact"/>
              <w:rPr>
                <w:sz w:val="20"/>
                <w:szCs w:val="20"/>
                <w:color w:val="auto"/>
              </w:rPr>
            </w:pPr>
            <w:r>
              <w:rPr>
                <w:rFonts w:ascii="Arial" w:cs="Arial" w:eastAsia="Arial" w:hAnsi="Arial"/>
                <w:sz w:val="14"/>
                <w:szCs w:val="14"/>
                <w:b w:val="1"/>
                <w:bCs w:val="1"/>
                <w:color w:val="FFFFFF"/>
              </w:rPr>
              <w:t>(f)</w:t>
            </w:r>
            <w:r>
              <w:rPr>
                <w:rFonts w:ascii="Arial" w:cs="Arial" w:eastAsia="Arial" w:hAnsi="Arial"/>
                <w:sz w:val="20"/>
                <w:szCs w:val="20"/>
                <w:b w:val="1"/>
                <w:bCs w:val="1"/>
                <w:color w:val="FFFFFF"/>
                <w:vertAlign w:val="superscript"/>
              </w:rPr>
              <w:t>(3)</w:t>
            </w:r>
            <w:r>
              <w:rPr>
                <w:rFonts w:ascii="Arial" w:cs="Arial" w:eastAsia="Arial" w:hAnsi="Arial"/>
                <w:sz w:val="14"/>
                <w:szCs w:val="14"/>
                <w:b w:val="1"/>
                <w:bCs w:val="1"/>
                <w:color w:val="FFFFFF"/>
              </w:rPr>
              <w:t xml:space="preserve"> </w:t>
            </w:r>
          </w:p>
        </w:tc>
      </w:tr>
      <w:tr>
        <w:trPr>
          <w:trHeight w:val="149"/>
        </w:trPr>
        <w:tc>
          <w:tcPr>
            <w:tcW w:w="20" w:type="dxa"/>
            <w:vAlign w:val="bottom"/>
          </w:tcPr>
          <w:p>
            <w:pPr>
              <w:spacing w:after="0"/>
              <w:rPr>
                <w:sz w:val="12"/>
                <w:szCs w:val="12"/>
                <w:color w:val="auto"/>
              </w:rPr>
            </w:pPr>
          </w:p>
        </w:tc>
        <w:tc>
          <w:tcPr>
            <w:tcW w:w="1540" w:type="dxa"/>
            <w:vAlign w:val="bottom"/>
          </w:tcPr>
          <w:p>
            <w:pPr>
              <w:ind w:left="40"/>
              <w:spacing w:after="0" w:line="149" w:lineRule="exact"/>
              <w:rPr>
                <w:sz w:val="20"/>
                <w:szCs w:val="20"/>
                <w:color w:val="auto"/>
              </w:rPr>
            </w:pPr>
            <w:r>
              <w:rPr>
                <w:rFonts w:ascii="Arial" w:cs="Arial" w:eastAsia="Arial" w:hAnsi="Arial"/>
                <w:sz w:val="14"/>
                <w:szCs w:val="14"/>
                <w:color w:val="auto"/>
              </w:rPr>
              <w:t>Thomas W.</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Arial" w:cs="Arial" w:eastAsia="Arial" w:hAnsi="Arial"/>
                <w:sz w:val="14"/>
                <w:szCs w:val="14"/>
                <w:color w:val="auto"/>
              </w:rPr>
              <w:t>Warsop III</w:t>
            </w:r>
          </w:p>
        </w:tc>
        <w:tc>
          <w:tcPr>
            <w:tcW w:w="320" w:type="dxa"/>
            <w:vAlign w:val="bottom"/>
          </w:tcPr>
          <w:p>
            <w:pPr>
              <w:spacing w:after="0"/>
              <w:rPr>
                <w:sz w:val="14"/>
                <w:szCs w:val="14"/>
                <w:color w:val="auto"/>
              </w:rPr>
            </w:pPr>
          </w:p>
        </w:tc>
        <w:tc>
          <w:tcPr>
            <w:tcW w:w="1040" w:type="dxa"/>
            <w:vAlign w:val="bottom"/>
          </w:tcPr>
          <w:p>
            <w:pPr>
              <w:jc w:val="center"/>
              <w:ind w:right="451"/>
              <w:spacing w:after="0"/>
              <w:rPr>
                <w:sz w:val="20"/>
                <w:szCs w:val="20"/>
                <w:color w:val="auto"/>
              </w:rPr>
            </w:pPr>
            <w:r>
              <w:rPr>
                <w:rFonts w:ascii="Arial" w:cs="Arial" w:eastAsia="Arial" w:hAnsi="Arial"/>
                <w:sz w:val="14"/>
                <w:szCs w:val="14"/>
                <w:color w:val="auto"/>
                <w:w w:val="84"/>
              </w:rPr>
              <w:t>-</w:t>
            </w:r>
          </w:p>
        </w:tc>
        <w:tc>
          <w:tcPr>
            <w:tcW w:w="740" w:type="dxa"/>
            <w:vAlign w:val="bottom"/>
          </w:tcPr>
          <w:p>
            <w:pPr>
              <w:spacing w:after="0"/>
              <w:rPr>
                <w:sz w:val="14"/>
                <w:szCs w:val="14"/>
                <w:color w:val="auto"/>
              </w:rPr>
            </w:pPr>
          </w:p>
        </w:tc>
        <w:tc>
          <w:tcPr>
            <w:tcW w:w="940" w:type="dxa"/>
            <w:vAlign w:val="bottom"/>
          </w:tcPr>
          <w:p>
            <w:pPr>
              <w:jc w:val="center"/>
              <w:ind w:right="551"/>
              <w:spacing w:after="0"/>
              <w:rPr>
                <w:sz w:val="20"/>
                <w:szCs w:val="20"/>
                <w:color w:val="auto"/>
              </w:rPr>
            </w:pPr>
            <w:r>
              <w:rPr>
                <w:rFonts w:ascii="Arial" w:cs="Arial" w:eastAsia="Arial" w:hAnsi="Arial"/>
                <w:sz w:val="14"/>
                <w:szCs w:val="14"/>
                <w:color w:val="auto"/>
                <w:w w:val="84"/>
              </w:rPr>
              <w:t>-</w:t>
            </w:r>
          </w:p>
        </w:tc>
        <w:tc>
          <w:tcPr>
            <w:tcW w:w="1720" w:type="dxa"/>
            <w:vAlign w:val="bottom"/>
          </w:tcPr>
          <w:p>
            <w:pPr>
              <w:jc w:val="center"/>
              <w:ind w:left="91"/>
              <w:spacing w:after="0"/>
              <w:rPr>
                <w:sz w:val="20"/>
                <w:szCs w:val="20"/>
                <w:color w:val="auto"/>
              </w:rPr>
            </w:pPr>
            <w:r>
              <w:rPr>
                <w:rFonts w:ascii="Arial" w:cs="Arial" w:eastAsia="Arial" w:hAnsi="Arial"/>
                <w:sz w:val="14"/>
                <w:szCs w:val="14"/>
                <w:color w:val="auto"/>
                <w:w w:val="84"/>
              </w:rPr>
              <w:t>-</w:t>
            </w:r>
          </w:p>
        </w:tc>
        <w:tc>
          <w:tcPr>
            <w:tcW w:w="380" w:type="dxa"/>
            <w:vAlign w:val="bottom"/>
          </w:tcPr>
          <w:p>
            <w:pPr>
              <w:spacing w:after="0"/>
              <w:rPr>
                <w:sz w:val="14"/>
                <w:szCs w:val="14"/>
                <w:color w:val="auto"/>
              </w:rPr>
            </w:pPr>
          </w:p>
        </w:tc>
        <w:tc>
          <w:tcPr>
            <w:tcW w:w="1120" w:type="dxa"/>
            <w:vAlign w:val="bottom"/>
          </w:tcPr>
          <w:p>
            <w:pPr>
              <w:jc w:val="center"/>
              <w:ind w:right="171"/>
              <w:spacing w:after="0"/>
              <w:rPr>
                <w:sz w:val="20"/>
                <w:szCs w:val="20"/>
                <w:color w:val="auto"/>
              </w:rPr>
            </w:pPr>
            <w:r>
              <w:rPr>
                <w:rFonts w:ascii="Arial" w:cs="Arial" w:eastAsia="Arial" w:hAnsi="Arial"/>
                <w:sz w:val="14"/>
                <w:szCs w:val="14"/>
                <w:color w:val="auto"/>
                <w:w w:val="84"/>
              </w:rPr>
              <w:t>-</w:t>
            </w:r>
          </w:p>
        </w:tc>
        <w:tc>
          <w:tcPr>
            <w:tcW w:w="660" w:type="dxa"/>
            <w:vAlign w:val="bottom"/>
          </w:tcPr>
          <w:p>
            <w:pPr>
              <w:spacing w:after="0"/>
              <w:rPr>
                <w:sz w:val="14"/>
                <w:szCs w:val="14"/>
                <w:color w:val="auto"/>
              </w:rPr>
            </w:pPr>
          </w:p>
        </w:tc>
        <w:tc>
          <w:tcPr>
            <w:tcW w:w="880" w:type="dxa"/>
            <w:vAlign w:val="bottom"/>
          </w:tcPr>
          <w:p>
            <w:pPr>
              <w:jc w:val="center"/>
              <w:ind w:right="351"/>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1540" w:type="dxa"/>
            <w:vAlign w:val="bottom"/>
            <w:shd w:val="clear" w:color="auto" w:fill="9DBDE4"/>
          </w:tcPr>
          <w:p>
            <w:pPr>
              <w:ind w:left="40"/>
              <w:spacing w:after="0" w:line="149" w:lineRule="exact"/>
              <w:rPr>
                <w:sz w:val="20"/>
                <w:szCs w:val="20"/>
                <w:color w:val="auto"/>
              </w:rPr>
            </w:pPr>
            <w:r>
              <w:rPr>
                <w:rFonts w:ascii="Arial" w:cs="Arial" w:eastAsia="Arial" w:hAnsi="Arial"/>
                <w:sz w:val="14"/>
                <w:szCs w:val="14"/>
                <w:color w:val="auto"/>
              </w:rPr>
              <w:t>Scott W.</w:t>
            </w:r>
          </w:p>
        </w:tc>
        <w:tc>
          <w:tcPr>
            <w:tcW w:w="320" w:type="dxa"/>
            <w:vAlign w:val="bottom"/>
            <w:shd w:val="clear" w:color="auto" w:fill="9DBDE4"/>
          </w:tcPr>
          <w:p>
            <w:pPr>
              <w:spacing w:after="0"/>
              <w:rPr>
                <w:sz w:val="12"/>
                <w:szCs w:val="12"/>
                <w:color w:val="auto"/>
              </w:rPr>
            </w:pPr>
          </w:p>
        </w:tc>
        <w:tc>
          <w:tcPr>
            <w:tcW w:w="1040" w:type="dxa"/>
            <w:vAlign w:val="bottom"/>
            <w:shd w:val="clear" w:color="auto" w:fill="9DBDE4"/>
          </w:tcPr>
          <w:p>
            <w:pPr>
              <w:spacing w:after="0"/>
              <w:rPr>
                <w:sz w:val="12"/>
                <w:szCs w:val="12"/>
                <w:color w:val="auto"/>
              </w:rPr>
            </w:pPr>
          </w:p>
        </w:tc>
        <w:tc>
          <w:tcPr>
            <w:tcW w:w="740" w:type="dxa"/>
            <w:vAlign w:val="bottom"/>
            <w:shd w:val="clear" w:color="auto" w:fill="9DBDE4"/>
          </w:tcPr>
          <w:p>
            <w:pPr>
              <w:spacing w:after="0"/>
              <w:rPr>
                <w:sz w:val="12"/>
                <w:szCs w:val="12"/>
                <w:color w:val="auto"/>
              </w:rPr>
            </w:pPr>
          </w:p>
        </w:tc>
        <w:tc>
          <w:tcPr>
            <w:tcW w:w="940" w:type="dxa"/>
            <w:vAlign w:val="bottom"/>
            <w:shd w:val="clear" w:color="auto" w:fill="9DBDE4"/>
          </w:tcPr>
          <w:p>
            <w:pPr>
              <w:spacing w:after="0"/>
              <w:rPr>
                <w:sz w:val="12"/>
                <w:szCs w:val="12"/>
                <w:color w:val="auto"/>
              </w:rPr>
            </w:pPr>
          </w:p>
        </w:tc>
        <w:tc>
          <w:tcPr>
            <w:tcW w:w="1720" w:type="dxa"/>
            <w:vAlign w:val="bottom"/>
            <w:shd w:val="clear" w:color="auto" w:fill="9DBDE4"/>
          </w:tcPr>
          <w:p>
            <w:pPr>
              <w:spacing w:after="0"/>
              <w:rPr>
                <w:sz w:val="12"/>
                <w:szCs w:val="12"/>
                <w:color w:val="auto"/>
              </w:rPr>
            </w:pPr>
          </w:p>
        </w:tc>
        <w:tc>
          <w:tcPr>
            <w:tcW w:w="380" w:type="dxa"/>
            <w:vAlign w:val="bottom"/>
            <w:shd w:val="clear" w:color="auto" w:fill="9DBDE4"/>
          </w:tcPr>
          <w:p>
            <w:pPr>
              <w:spacing w:after="0"/>
              <w:rPr>
                <w:sz w:val="12"/>
                <w:szCs w:val="12"/>
                <w:color w:val="auto"/>
              </w:rPr>
            </w:pPr>
          </w:p>
        </w:tc>
        <w:tc>
          <w:tcPr>
            <w:tcW w:w="1120" w:type="dxa"/>
            <w:vAlign w:val="bottom"/>
            <w:shd w:val="clear" w:color="auto" w:fill="9DBDE4"/>
          </w:tcPr>
          <w:p>
            <w:pPr>
              <w:spacing w:after="0"/>
              <w:rPr>
                <w:sz w:val="12"/>
                <w:szCs w:val="12"/>
                <w:color w:val="auto"/>
              </w:rPr>
            </w:pPr>
          </w:p>
        </w:tc>
        <w:tc>
          <w:tcPr>
            <w:tcW w:w="660" w:type="dxa"/>
            <w:vAlign w:val="bottom"/>
            <w:shd w:val="clear" w:color="auto" w:fill="9DBDE4"/>
          </w:tcPr>
          <w:p>
            <w:pPr>
              <w:spacing w:after="0"/>
              <w:rPr>
                <w:sz w:val="12"/>
                <w:szCs w:val="12"/>
                <w:color w:val="auto"/>
              </w:rPr>
            </w:pPr>
          </w:p>
        </w:tc>
        <w:tc>
          <w:tcPr>
            <w:tcW w:w="880" w:type="dxa"/>
            <w:vAlign w:val="bottom"/>
            <w:shd w:val="clear" w:color="auto" w:fill="9DBDE4"/>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1540" w:type="dxa"/>
            <w:vAlign w:val="bottom"/>
            <w:shd w:val="clear" w:color="auto" w:fill="9DBDE4"/>
          </w:tcPr>
          <w:p>
            <w:pPr>
              <w:ind w:left="40"/>
              <w:spacing w:after="0"/>
              <w:rPr>
                <w:sz w:val="20"/>
                <w:szCs w:val="20"/>
                <w:color w:val="auto"/>
              </w:rPr>
            </w:pPr>
            <w:r>
              <w:rPr>
                <w:rFonts w:ascii="Arial" w:cs="Arial" w:eastAsia="Arial" w:hAnsi="Arial"/>
                <w:sz w:val="14"/>
                <w:szCs w:val="14"/>
                <w:color w:val="auto"/>
              </w:rPr>
              <w:t>Behrens</w:t>
            </w:r>
          </w:p>
        </w:tc>
        <w:tc>
          <w:tcPr>
            <w:tcW w:w="320" w:type="dxa"/>
            <w:vAlign w:val="bottom"/>
            <w:shd w:val="clear" w:color="auto" w:fill="9DBDE4"/>
          </w:tcPr>
          <w:p>
            <w:pPr>
              <w:spacing w:after="0"/>
              <w:rPr>
                <w:sz w:val="14"/>
                <w:szCs w:val="14"/>
                <w:color w:val="auto"/>
              </w:rPr>
            </w:pPr>
          </w:p>
        </w:tc>
        <w:tc>
          <w:tcPr>
            <w:tcW w:w="1040" w:type="dxa"/>
            <w:vAlign w:val="bottom"/>
            <w:shd w:val="clear" w:color="auto" w:fill="9DBDE4"/>
          </w:tcPr>
          <w:p>
            <w:pPr>
              <w:jc w:val="center"/>
              <w:ind w:right="451"/>
              <w:spacing w:after="0"/>
              <w:rPr>
                <w:sz w:val="20"/>
                <w:szCs w:val="20"/>
                <w:color w:val="auto"/>
              </w:rPr>
            </w:pPr>
            <w:r>
              <w:rPr>
                <w:rFonts w:ascii="Arial" w:cs="Arial" w:eastAsia="Arial" w:hAnsi="Arial"/>
                <w:sz w:val="14"/>
                <w:szCs w:val="14"/>
                <w:color w:val="auto"/>
                <w:w w:val="84"/>
              </w:rPr>
              <w:t>-</w:t>
            </w:r>
          </w:p>
        </w:tc>
        <w:tc>
          <w:tcPr>
            <w:tcW w:w="740" w:type="dxa"/>
            <w:vAlign w:val="bottom"/>
            <w:shd w:val="clear" w:color="auto" w:fill="9DBDE4"/>
          </w:tcPr>
          <w:p>
            <w:pPr>
              <w:spacing w:after="0"/>
              <w:rPr>
                <w:sz w:val="14"/>
                <w:szCs w:val="14"/>
                <w:color w:val="auto"/>
              </w:rPr>
            </w:pPr>
          </w:p>
        </w:tc>
        <w:tc>
          <w:tcPr>
            <w:tcW w:w="940" w:type="dxa"/>
            <w:vAlign w:val="bottom"/>
            <w:shd w:val="clear" w:color="auto" w:fill="9DBDE4"/>
          </w:tcPr>
          <w:p>
            <w:pPr>
              <w:jc w:val="center"/>
              <w:ind w:right="551"/>
              <w:spacing w:after="0"/>
              <w:rPr>
                <w:sz w:val="20"/>
                <w:szCs w:val="20"/>
                <w:color w:val="auto"/>
              </w:rPr>
            </w:pPr>
            <w:r>
              <w:rPr>
                <w:rFonts w:ascii="Arial" w:cs="Arial" w:eastAsia="Arial" w:hAnsi="Arial"/>
                <w:sz w:val="14"/>
                <w:szCs w:val="14"/>
                <w:color w:val="auto"/>
                <w:w w:val="84"/>
              </w:rPr>
              <w:t>-</w:t>
            </w:r>
          </w:p>
        </w:tc>
        <w:tc>
          <w:tcPr>
            <w:tcW w:w="1720" w:type="dxa"/>
            <w:vAlign w:val="bottom"/>
            <w:shd w:val="clear" w:color="auto" w:fill="9DBDE4"/>
          </w:tcPr>
          <w:p>
            <w:pPr>
              <w:jc w:val="center"/>
              <w:ind w:left="91"/>
              <w:spacing w:after="0"/>
              <w:rPr>
                <w:sz w:val="20"/>
                <w:szCs w:val="20"/>
                <w:color w:val="auto"/>
              </w:rPr>
            </w:pPr>
            <w:r>
              <w:rPr>
                <w:rFonts w:ascii="Arial" w:cs="Arial" w:eastAsia="Arial" w:hAnsi="Arial"/>
                <w:sz w:val="14"/>
                <w:szCs w:val="14"/>
                <w:color w:val="auto"/>
                <w:w w:val="84"/>
              </w:rPr>
              <w:t>-</w:t>
            </w:r>
          </w:p>
        </w:tc>
        <w:tc>
          <w:tcPr>
            <w:tcW w:w="380" w:type="dxa"/>
            <w:vAlign w:val="bottom"/>
            <w:shd w:val="clear" w:color="auto" w:fill="9DBDE4"/>
          </w:tcPr>
          <w:p>
            <w:pPr>
              <w:spacing w:after="0"/>
              <w:rPr>
                <w:sz w:val="14"/>
                <w:szCs w:val="14"/>
                <w:color w:val="auto"/>
              </w:rPr>
            </w:pPr>
          </w:p>
        </w:tc>
        <w:tc>
          <w:tcPr>
            <w:tcW w:w="1120" w:type="dxa"/>
            <w:vAlign w:val="bottom"/>
            <w:shd w:val="clear" w:color="auto" w:fill="9DBDE4"/>
          </w:tcPr>
          <w:p>
            <w:pPr>
              <w:jc w:val="center"/>
              <w:ind w:right="171"/>
              <w:spacing w:after="0"/>
              <w:rPr>
                <w:sz w:val="20"/>
                <w:szCs w:val="20"/>
                <w:color w:val="auto"/>
              </w:rPr>
            </w:pPr>
            <w:r>
              <w:rPr>
                <w:rFonts w:ascii="Arial" w:cs="Arial" w:eastAsia="Arial" w:hAnsi="Arial"/>
                <w:sz w:val="14"/>
                <w:szCs w:val="14"/>
                <w:color w:val="auto"/>
                <w:w w:val="84"/>
              </w:rPr>
              <w:t>-</w:t>
            </w:r>
          </w:p>
        </w:tc>
        <w:tc>
          <w:tcPr>
            <w:tcW w:w="660" w:type="dxa"/>
            <w:vAlign w:val="bottom"/>
            <w:shd w:val="clear" w:color="auto" w:fill="9DBDE4"/>
          </w:tcPr>
          <w:p>
            <w:pPr>
              <w:spacing w:after="0"/>
              <w:rPr>
                <w:sz w:val="14"/>
                <w:szCs w:val="14"/>
                <w:color w:val="auto"/>
              </w:rPr>
            </w:pPr>
          </w:p>
        </w:tc>
        <w:tc>
          <w:tcPr>
            <w:tcW w:w="880" w:type="dxa"/>
            <w:vAlign w:val="bottom"/>
            <w:shd w:val="clear" w:color="auto" w:fill="9DBDE4"/>
          </w:tcPr>
          <w:p>
            <w:pPr>
              <w:jc w:val="center"/>
              <w:ind w:right="351"/>
              <w:spacing w:after="0"/>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1540" w:type="dxa"/>
            <w:vAlign w:val="bottom"/>
          </w:tcPr>
          <w:p>
            <w:pPr>
              <w:ind w:left="40"/>
              <w:spacing w:after="0" w:line="156" w:lineRule="exact"/>
              <w:rPr>
                <w:sz w:val="20"/>
                <w:szCs w:val="20"/>
                <w:color w:val="auto"/>
              </w:rPr>
            </w:pPr>
            <w:r>
              <w:rPr>
                <w:rFonts w:ascii="Arial" w:cs="Arial" w:eastAsia="Arial" w:hAnsi="Arial"/>
                <w:sz w:val="14"/>
                <w:szCs w:val="14"/>
                <w:color w:val="auto"/>
              </w:rPr>
              <w:t>Alessandro Silva</w:t>
            </w:r>
          </w:p>
        </w:tc>
        <w:tc>
          <w:tcPr>
            <w:tcW w:w="320" w:type="dxa"/>
            <w:vAlign w:val="bottom"/>
          </w:tcPr>
          <w:p>
            <w:pPr>
              <w:spacing w:after="0"/>
              <w:rPr>
                <w:sz w:val="13"/>
                <w:szCs w:val="13"/>
                <w:color w:val="auto"/>
              </w:rPr>
            </w:pPr>
          </w:p>
        </w:tc>
        <w:tc>
          <w:tcPr>
            <w:tcW w:w="1040" w:type="dxa"/>
            <w:vAlign w:val="bottom"/>
          </w:tcPr>
          <w:p>
            <w:pPr>
              <w:jc w:val="center"/>
              <w:ind w:right="451"/>
              <w:spacing w:after="0" w:line="156" w:lineRule="exact"/>
              <w:rPr>
                <w:sz w:val="20"/>
                <w:szCs w:val="20"/>
                <w:color w:val="auto"/>
              </w:rPr>
            </w:pPr>
            <w:r>
              <w:rPr>
                <w:rFonts w:ascii="Arial" w:cs="Arial" w:eastAsia="Arial" w:hAnsi="Arial"/>
                <w:sz w:val="14"/>
                <w:szCs w:val="14"/>
                <w:color w:val="auto"/>
                <w:w w:val="84"/>
              </w:rPr>
              <w:t>-</w:t>
            </w:r>
          </w:p>
        </w:tc>
        <w:tc>
          <w:tcPr>
            <w:tcW w:w="740" w:type="dxa"/>
            <w:vAlign w:val="bottom"/>
          </w:tcPr>
          <w:p>
            <w:pPr>
              <w:spacing w:after="0"/>
              <w:rPr>
                <w:sz w:val="13"/>
                <w:szCs w:val="13"/>
                <w:color w:val="auto"/>
              </w:rPr>
            </w:pPr>
          </w:p>
        </w:tc>
        <w:tc>
          <w:tcPr>
            <w:tcW w:w="940" w:type="dxa"/>
            <w:vAlign w:val="bottom"/>
          </w:tcPr>
          <w:p>
            <w:pPr>
              <w:jc w:val="center"/>
              <w:ind w:right="551"/>
              <w:spacing w:after="0" w:line="156" w:lineRule="exact"/>
              <w:rPr>
                <w:sz w:val="20"/>
                <w:szCs w:val="20"/>
                <w:color w:val="auto"/>
              </w:rPr>
            </w:pPr>
            <w:r>
              <w:rPr>
                <w:rFonts w:ascii="Arial" w:cs="Arial" w:eastAsia="Arial" w:hAnsi="Arial"/>
                <w:sz w:val="14"/>
                <w:szCs w:val="14"/>
                <w:color w:val="auto"/>
                <w:w w:val="84"/>
              </w:rPr>
              <w:t>-</w:t>
            </w:r>
          </w:p>
        </w:tc>
        <w:tc>
          <w:tcPr>
            <w:tcW w:w="1720" w:type="dxa"/>
            <w:vAlign w:val="bottom"/>
          </w:tcPr>
          <w:p>
            <w:pPr>
              <w:jc w:val="center"/>
              <w:ind w:left="91"/>
              <w:spacing w:after="0" w:line="156" w:lineRule="exact"/>
              <w:rPr>
                <w:sz w:val="20"/>
                <w:szCs w:val="20"/>
                <w:color w:val="auto"/>
              </w:rPr>
            </w:pPr>
            <w:r>
              <w:rPr>
                <w:rFonts w:ascii="Arial" w:cs="Arial" w:eastAsia="Arial" w:hAnsi="Arial"/>
                <w:sz w:val="14"/>
                <w:szCs w:val="14"/>
                <w:color w:val="auto"/>
                <w:w w:val="84"/>
              </w:rPr>
              <w:t>-</w:t>
            </w:r>
          </w:p>
        </w:tc>
        <w:tc>
          <w:tcPr>
            <w:tcW w:w="380" w:type="dxa"/>
            <w:vAlign w:val="bottom"/>
          </w:tcPr>
          <w:p>
            <w:pPr>
              <w:spacing w:after="0"/>
              <w:rPr>
                <w:sz w:val="13"/>
                <w:szCs w:val="13"/>
                <w:color w:val="auto"/>
              </w:rPr>
            </w:pPr>
          </w:p>
        </w:tc>
        <w:tc>
          <w:tcPr>
            <w:tcW w:w="1120" w:type="dxa"/>
            <w:vAlign w:val="bottom"/>
          </w:tcPr>
          <w:p>
            <w:pPr>
              <w:jc w:val="center"/>
              <w:ind w:right="171"/>
              <w:spacing w:after="0" w:line="156" w:lineRule="exact"/>
              <w:rPr>
                <w:sz w:val="20"/>
                <w:szCs w:val="20"/>
                <w:color w:val="auto"/>
              </w:rPr>
            </w:pPr>
            <w:r>
              <w:rPr>
                <w:rFonts w:ascii="Arial" w:cs="Arial" w:eastAsia="Arial" w:hAnsi="Arial"/>
                <w:sz w:val="14"/>
                <w:szCs w:val="14"/>
                <w:color w:val="auto"/>
                <w:w w:val="84"/>
              </w:rPr>
              <w:t>-</w:t>
            </w:r>
          </w:p>
        </w:tc>
        <w:tc>
          <w:tcPr>
            <w:tcW w:w="660" w:type="dxa"/>
            <w:vAlign w:val="bottom"/>
          </w:tcPr>
          <w:p>
            <w:pPr>
              <w:spacing w:after="0"/>
              <w:rPr>
                <w:sz w:val="13"/>
                <w:szCs w:val="13"/>
                <w:color w:val="auto"/>
              </w:rPr>
            </w:pPr>
          </w:p>
        </w:tc>
        <w:tc>
          <w:tcPr>
            <w:tcW w:w="880" w:type="dxa"/>
            <w:vAlign w:val="bottom"/>
          </w:tcPr>
          <w:p>
            <w:pPr>
              <w:jc w:val="center"/>
              <w:ind w:right="351"/>
              <w:spacing w:after="0" w:line="156"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1540" w:type="dxa"/>
            <w:vAlign w:val="bottom"/>
            <w:shd w:val="clear" w:color="auto" w:fill="9DBDE4"/>
          </w:tcPr>
          <w:p>
            <w:pPr>
              <w:ind w:left="40"/>
              <w:spacing w:after="0" w:line="149" w:lineRule="exact"/>
              <w:rPr>
                <w:sz w:val="20"/>
                <w:szCs w:val="20"/>
                <w:color w:val="auto"/>
              </w:rPr>
            </w:pPr>
            <w:r>
              <w:rPr>
                <w:rFonts w:ascii="Arial" w:cs="Arial" w:eastAsia="Arial" w:hAnsi="Arial"/>
                <w:sz w:val="14"/>
                <w:szCs w:val="14"/>
                <w:color w:val="auto"/>
              </w:rPr>
              <w:t>Deborah L.</w:t>
            </w:r>
          </w:p>
        </w:tc>
        <w:tc>
          <w:tcPr>
            <w:tcW w:w="320" w:type="dxa"/>
            <w:vAlign w:val="bottom"/>
            <w:shd w:val="clear" w:color="auto" w:fill="9DBDE4"/>
          </w:tcPr>
          <w:p>
            <w:pPr>
              <w:spacing w:after="0"/>
              <w:rPr>
                <w:sz w:val="12"/>
                <w:szCs w:val="12"/>
                <w:color w:val="auto"/>
              </w:rPr>
            </w:pPr>
          </w:p>
        </w:tc>
        <w:tc>
          <w:tcPr>
            <w:tcW w:w="1040" w:type="dxa"/>
            <w:vAlign w:val="bottom"/>
            <w:shd w:val="clear" w:color="auto" w:fill="9DBDE4"/>
          </w:tcPr>
          <w:p>
            <w:pPr>
              <w:spacing w:after="0"/>
              <w:rPr>
                <w:sz w:val="12"/>
                <w:szCs w:val="12"/>
                <w:color w:val="auto"/>
              </w:rPr>
            </w:pPr>
          </w:p>
        </w:tc>
        <w:tc>
          <w:tcPr>
            <w:tcW w:w="740" w:type="dxa"/>
            <w:vAlign w:val="bottom"/>
            <w:shd w:val="clear" w:color="auto" w:fill="9DBDE4"/>
          </w:tcPr>
          <w:p>
            <w:pPr>
              <w:spacing w:after="0"/>
              <w:rPr>
                <w:sz w:val="12"/>
                <w:szCs w:val="12"/>
                <w:color w:val="auto"/>
              </w:rPr>
            </w:pPr>
          </w:p>
        </w:tc>
        <w:tc>
          <w:tcPr>
            <w:tcW w:w="940" w:type="dxa"/>
            <w:vAlign w:val="bottom"/>
            <w:shd w:val="clear" w:color="auto" w:fill="9DBDE4"/>
          </w:tcPr>
          <w:p>
            <w:pPr>
              <w:spacing w:after="0"/>
              <w:rPr>
                <w:sz w:val="12"/>
                <w:szCs w:val="12"/>
                <w:color w:val="auto"/>
              </w:rPr>
            </w:pPr>
          </w:p>
        </w:tc>
        <w:tc>
          <w:tcPr>
            <w:tcW w:w="1720" w:type="dxa"/>
            <w:vAlign w:val="bottom"/>
            <w:shd w:val="clear" w:color="auto" w:fill="9DBDE4"/>
          </w:tcPr>
          <w:p>
            <w:pPr>
              <w:spacing w:after="0"/>
              <w:rPr>
                <w:sz w:val="12"/>
                <w:szCs w:val="12"/>
                <w:color w:val="auto"/>
              </w:rPr>
            </w:pPr>
          </w:p>
        </w:tc>
        <w:tc>
          <w:tcPr>
            <w:tcW w:w="380" w:type="dxa"/>
            <w:vAlign w:val="bottom"/>
            <w:shd w:val="clear" w:color="auto" w:fill="9DBDE4"/>
          </w:tcPr>
          <w:p>
            <w:pPr>
              <w:spacing w:after="0"/>
              <w:rPr>
                <w:sz w:val="12"/>
                <w:szCs w:val="12"/>
                <w:color w:val="auto"/>
              </w:rPr>
            </w:pPr>
          </w:p>
        </w:tc>
        <w:tc>
          <w:tcPr>
            <w:tcW w:w="1120" w:type="dxa"/>
            <w:vAlign w:val="bottom"/>
            <w:shd w:val="clear" w:color="auto" w:fill="9DBDE4"/>
          </w:tcPr>
          <w:p>
            <w:pPr>
              <w:spacing w:after="0"/>
              <w:rPr>
                <w:sz w:val="12"/>
                <w:szCs w:val="12"/>
                <w:color w:val="auto"/>
              </w:rPr>
            </w:pPr>
          </w:p>
        </w:tc>
        <w:tc>
          <w:tcPr>
            <w:tcW w:w="660" w:type="dxa"/>
            <w:vAlign w:val="bottom"/>
            <w:shd w:val="clear" w:color="auto" w:fill="9DBDE4"/>
          </w:tcPr>
          <w:p>
            <w:pPr>
              <w:spacing w:after="0"/>
              <w:rPr>
                <w:sz w:val="12"/>
                <w:szCs w:val="12"/>
                <w:color w:val="auto"/>
              </w:rPr>
            </w:pPr>
          </w:p>
        </w:tc>
        <w:tc>
          <w:tcPr>
            <w:tcW w:w="880" w:type="dxa"/>
            <w:vAlign w:val="bottom"/>
            <w:shd w:val="clear" w:color="auto" w:fill="9DBDE4"/>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1540" w:type="dxa"/>
            <w:vAlign w:val="bottom"/>
            <w:shd w:val="clear" w:color="auto" w:fill="9DBDE4"/>
          </w:tcPr>
          <w:p>
            <w:pPr>
              <w:ind w:left="40"/>
              <w:spacing w:after="0"/>
              <w:rPr>
                <w:sz w:val="20"/>
                <w:szCs w:val="20"/>
                <w:color w:val="auto"/>
              </w:rPr>
            </w:pPr>
            <w:r>
              <w:rPr>
                <w:rFonts w:ascii="Arial" w:cs="Arial" w:eastAsia="Arial" w:hAnsi="Arial"/>
                <w:sz w:val="14"/>
                <w:szCs w:val="14"/>
                <w:color w:val="auto"/>
              </w:rPr>
              <w:t>Guerra</w:t>
            </w:r>
          </w:p>
        </w:tc>
        <w:tc>
          <w:tcPr>
            <w:tcW w:w="320" w:type="dxa"/>
            <w:vAlign w:val="bottom"/>
            <w:shd w:val="clear" w:color="auto" w:fill="9DBDE4"/>
          </w:tcPr>
          <w:p>
            <w:pPr>
              <w:spacing w:after="0"/>
              <w:rPr>
                <w:sz w:val="14"/>
                <w:szCs w:val="14"/>
                <w:color w:val="auto"/>
              </w:rPr>
            </w:pPr>
          </w:p>
        </w:tc>
        <w:tc>
          <w:tcPr>
            <w:tcW w:w="1040" w:type="dxa"/>
            <w:vAlign w:val="bottom"/>
            <w:shd w:val="clear" w:color="auto" w:fill="9DBDE4"/>
          </w:tcPr>
          <w:p>
            <w:pPr>
              <w:jc w:val="center"/>
              <w:ind w:right="471"/>
              <w:spacing w:after="0"/>
              <w:rPr>
                <w:sz w:val="20"/>
                <w:szCs w:val="20"/>
                <w:color w:val="auto"/>
              </w:rPr>
            </w:pPr>
            <w:r>
              <w:rPr>
                <w:rFonts w:ascii="Arial" w:cs="Arial" w:eastAsia="Arial" w:hAnsi="Arial"/>
                <w:sz w:val="14"/>
                <w:szCs w:val="14"/>
                <w:color w:val="auto"/>
                <w:w w:val="98"/>
              </w:rPr>
              <w:t>120,000</w:t>
            </w:r>
          </w:p>
        </w:tc>
        <w:tc>
          <w:tcPr>
            <w:tcW w:w="740" w:type="dxa"/>
            <w:vAlign w:val="bottom"/>
            <w:shd w:val="clear" w:color="auto" w:fill="9DBDE4"/>
          </w:tcPr>
          <w:p>
            <w:pPr>
              <w:spacing w:after="0"/>
              <w:rPr>
                <w:sz w:val="14"/>
                <w:szCs w:val="14"/>
                <w:color w:val="auto"/>
              </w:rPr>
            </w:pPr>
          </w:p>
        </w:tc>
        <w:tc>
          <w:tcPr>
            <w:tcW w:w="940" w:type="dxa"/>
            <w:vAlign w:val="bottom"/>
            <w:shd w:val="clear" w:color="auto" w:fill="9DBDE4"/>
          </w:tcPr>
          <w:p>
            <w:pPr>
              <w:jc w:val="center"/>
              <w:ind w:right="551"/>
              <w:spacing w:after="0"/>
              <w:rPr>
                <w:sz w:val="20"/>
                <w:szCs w:val="20"/>
                <w:color w:val="auto"/>
              </w:rPr>
            </w:pPr>
            <w:r>
              <w:rPr>
                <w:rFonts w:ascii="Arial" w:cs="Arial" w:eastAsia="Arial" w:hAnsi="Arial"/>
                <w:sz w:val="14"/>
                <w:szCs w:val="14"/>
                <w:color w:val="auto"/>
                <w:w w:val="84"/>
              </w:rPr>
              <w:t>-</w:t>
            </w:r>
          </w:p>
        </w:tc>
        <w:tc>
          <w:tcPr>
            <w:tcW w:w="1720" w:type="dxa"/>
            <w:vAlign w:val="bottom"/>
            <w:shd w:val="clear" w:color="auto" w:fill="9DBDE4"/>
          </w:tcPr>
          <w:p>
            <w:pPr>
              <w:jc w:val="center"/>
              <w:ind w:left="71"/>
              <w:spacing w:after="0"/>
              <w:rPr>
                <w:sz w:val="20"/>
                <w:szCs w:val="20"/>
                <w:color w:val="auto"/>
              </w:rPr>
            </w:pPr>
            <w:r>
              <w:rPr>
                <w:rFonts w:ascii="Arial" w:cs="Arial" w:eastAsia="Arial" w:hAnsi="Arial"/>
                <w:sz w:val="14"/>
                <w:szCs w:val="14"/>
                <w:color w:val="auto"/>
                <w:w w:val="97"/>
              </w:rPr>
              <w:t>17,047</w:t>
            </w:r>
          </w:p>
        </w:tc>
        <w:tc>
          <w:tcPr>
            <w:tcW w:w="380" w:type="dxa"/>
            <w:vAlign w:val="bottom"/>
            <w:shd w:val="clear" w:color="auto" w:fill="9DBDE4"/>
          </w:tcPr>
          <w:p>
            <w:pPr>
              <w:spacing w:after="0"/>
              <w:rPr>
                <w:sz w:val="14"/>
                <w:szCs w:val="14"/>
                <w:color w:val="auto"/>
              </w:rPr>
            </w:pPr>
          </w:p>
        </w:tc>
        <w:tc>
          <w:tcPr>
            <w:tcW w:w="1120" w:type="dxa"/>
            <w:vAlign w:val="bottom"/>
            <w:shd w:val="clear" w:color="auto" w:fill="9DBDE4"/>
          </w:tcPr>
          <w:p>
            <w:pPr>
              <w:jc w:val="center"/>
              <w:ind w:right="171"/>
              <w:spacing w:after="0"/>
              <w:rPr>
                <w:sz w:val="20"/>
                <w:szCs w:val="20"/>
                <w:color w:val="auto"/>
              </w:rPr>
            </w:pPr>
            <w:r>
              <w:rPr>
                <w:rFonts w:ascii="Arial" w:cs="Arial" w:eastAsia="Arial" w:hAnsi="Arial"/>
                <w:sz w:val="14"/>
                <w:szCs w:val="14"/>
                <w:color w:val="auto"/>
                <w:w w:val="84"/>
              </w:rPr>
              <w:t>-</w:t>
            </w:r>
          </w:p>
        </w:tc>
        <w:tc>
          <w:tcPr>
            <w:tcW w:w="1540" w:type="dxa"/>
            <w:vAlign w:val="bottom"/>
            <w:gridSpan w:val="2"/>
            <w:shd w:val="clear" w:color="auto" w:fill="9DBDE4"/>
          </w:tcPr>
          <w:p>
            <w:pPr>
              <w:jc w:val="center"/>
              <w:ind w:left="194"/>
              <w:spacing w:after="0"/>
              <w:rPr>
                <w:sz w:val="20"/>
                <w:szCs w:val="20"/>
                <w:color w:val="auto"/>
              </w:rPr>
            </w:pPr>
            <w:r>
              <w:rPr>
                <w:rFonts w:ascii="Arial" w:cs="Arial" w:eastAsia="Arial" w:hAnsi="Arial"/>
                <w:sz w:val="14"/>
                <w:szCs w:val="14"/>
                <w:color w:val="auto"/>
                <w:w w:val="98"/>
              </w:rPr>
              <w:t>173,372</w:t>
            </w:r>
          </w:p>
        </w:tc>
      </w:tr>
      <w:tr>
        <w:trPr>
          <w:trHeight w:val="149"/>
        </w:trPr>
        <w:tc>
          <w:tcPr>
            <w:tcW w:w="20" w:type="dxa"/>
            <w:vAlign w:val="bottom"/>
          </w:tcPr>
          <w:p>
            <w:pPr>
              <w:spacing w:after="0"/>
              <w:rPr>
                <w:sz w:val="12"/>
                <w:szCs w:val="12"/>
                <w:color w:val="auto"/>
              </w:rPr>
            </w:pPr>
          </w:p>
        </w:tc>
        <w:tc>
          <w:tcPr>
            <w:tcW w:w="1540" w:type="dxa"/>
            <w:vAlign w:val="bottom"/>
          </w:tcPr>
          <w:p>
            <w:pPr>
              <w:ind w:left="40"/>
              <w:spacing w:after="0" w:line="149" w:lineRule="exact"/>
              <w:rPr>
                <w:sz w:val="20"/>
                <w:szCs w:val="20"/>
                <w:color w:val="auto"/>
              </w:rPr>
            </w:pPr>
            <w:r>
              <w:rPr>
                <w:rFonts w:ascii="Arial" w:cs="Arial" w:eastAsia="Arial" w:hAnsi="Arial"/>
                <w:sz w:val="14"/>
                <w:szCs w:val="14"/>
                <w:color w:val="auto"/>
              </w:rPr>
              <w:t>Abraham</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1"/>
        </w:trPr>
        <w:tc>
          <w:tcPr>
            <w:tcW w:w="20" w:type="dxa"/>
            <w:vAlign w:val="bottom"/>
          </w:tcPr>
          <w:p>
            <w:pPr>
              <w:spacing w:after="0"/>
              <w:rPr>
                <w:sz w:val="15"/>
                <w:szCs w:val="15"/>
                <w:color w:val="auto"/>
              </w:rPr>
            </w:pPr>
          </w:p>
        </w:tc>
        <w:tc>
          <w:tcPr>
            <w:tcW w:w="1540" w:type="dxa"/>
            <w:vAlign w:val="bottom"/>
          </w:tcPr>
          <w:p>
            <w:pPr>
              <w:ind w:left="40"/>
              <w:spacing w:after="0"/>
              <w:rPr>
                <w:sz w:val="20"/>
                <w:szCs w:val="20"/>
                <w:color w:val="auto"/>
              </w:rPr>
            </w:pPr>
            <w:r>
              <w:rPr>
                <w:rFonts w:ascii="Arial" w:cs="Arial" w:eastAsia="Arial" w:hAnsi="Arial"/>
                <w:sz w:val="14"/>
                <w:szCs w:val="14"/>
                <w:color w:val="auto"/>
              </w:rPr>
              <w:t>Kuruvilla</w:t>
            </w:r>
          </w:p>
        </w:tc>
        <w:tc>
          <w:tcPr>
            <w:tcW w:w="320" w:type="dxa"/>
            <w:vAlign w:val="bottom"/>
          </w:tcPr>
          <w:p>
            <w:pPr>
              <w:spacing w:after="0"/>
              <w:rPr>
                <w:sz w:val="15"/>
                <w:szCs w:val="15"/>
                <w:color w:val="auto"/>
              </w:rPr>
            </w:pPr>
          </w:p>
        </w:tc>
        <w:tc>
          <w:tcPr>
            <w:tcW w:w="1040" w:type="dxa"/>
            <w:vAlign w:val="bottom"/>
          </w:tcPr>
          <w:p>
            <w:pPr>
              <w:jc w:val="center"/>
              <w:ind w:right="451"/>
              <w:spacing w:after="0"/>
              <w:rPr>
                <w:sz w:val="20"/>
                <w:szCs w:val="20"/>
                <w:color w:val="auto"/>
              </w:rPr>
            </w:pPr>
            <w:r>
              <w:rPr>
                <w:rFonts w:ascii="Arial" w:cs="Arial" w:eastAsia="Arial" w:hAnsi="Arial"/>
                <w:sz w:val="14"/>
                <w:szCs w:val="14"/>
                <w:color w:val="auto"/>
                <w:w w:val="84"/>
              </w:rPr>
              <w:t>-</w:t>
            </w:r>
          </w:p>
        </w:tc>
        <w:tc>
          <w:tcPr>
            <w:tcW w:w="740" w:type="dxa"/>
            <w:vAlign w:val="bottom"/>
          </w:tcPr>
          <w:p>
            <w:pPr>
              <w:spacing w:after="0"/>
              <w:rPr>
                <w:sz w:val="15"/>
                <w:szCs w:val="15"/>
                <w:color w:val="auto"/>
              </w:rPr>
            </w:pPr>
          </w:p>
        </w:tc>
        <w:tc>
          <w:tcPr>
            <w:tcW w:w="940" w:type="dxa"/>
            <w:vAlign w:val="bottom"/>
          </w:tcPr>
          <w:p>
            <w:pPr>
              <w:jc w:val="center"/>
              <w:ind w:right="551"/>
              <w:spacing w:after="0"/>
              <w:rPr>
                <w:sz w:val="20"/>
                <w:szCs w:val="20"/>
                <w:color w:val="auto"/>
              </w:rPr>
            </w:pPr>
            <w:r>
              <w:rPr>
                <w:rFonts w:ascii="Arial" w:cs="Arial" w:eastAsia="Arial" w:hAnsi="Arial"/>
                <w:sz w:val="14"/>
                <w:szCs w:val="14"/>
                <w:color w:val="auto"/>
                <w:w w:val="84"/>
              </w:rPr>
              <w:t>-</w:t>
            </w:r>
          </w:p>
        </w:tc>
        <w:tc>
          <w:tcPr>
            <w:tcW w:w="1720" w:type="dxa"/>
            <w:vAlign w:val="bottom"/>
          </w:tcPr>
          <w:p>
            <w:pPr>
              <w:jc w:val="center"/>
              <w:ind w:left="91"/>
              <w:spacing w:after="0"/>
              <w:rPr>
                <w:sz w:val="20"/>
                <w:szCs w:val="20"/>
                <w:color w:val="auto"/>
              </w:rPr>
            </w:pPr>
            <w:r>
              <w:rPr>
                <w:rFonts w:ascii="Arial" w:cs="Arial" w:eastAsia="Arial" w:hAnsi="Arial"/>
                <w:sz w:val="14"/>
                <w:szCs w:val="14"/>
                <w:color w:val="auto"/>
                <w:w w:val="84"/>
              </w:rPr>
              <w:t>-</w:t>
            </w:r>
          </w:p>
        </w:tc>
        <w:tc>
          <w:tcPr>
            <w:tcW w:w="380" w:type="dxa"/>
            <w:vAlign w:val="bottom"/>
          </w:tcPr>
          <w:p>
            <w:pPr>
              <w:spacing w:after="0"/>
              <w:rPr>
                <w:sz w:val="15"/>
                <w:szCs w:val="15"/>
                <w:color w:val="auto"/>
              </w:rPr>
            </w:pPr>
          </w:p>
        </w:tc>
        <w:tc>
          <w:tcPr>
            <w:tcW w:w="1120" w:type="dxa"/>
            <w:vAlign w:val="bottom"/>
          </w:tcPr>
          <w:p>
            <w:pPr>
              <w:jc w:val="center"/>
              <w:ind w:right="171"/>
              <w:spacing w:after="0"/>
              <w:rPr>
                <w:sz w:val="20"/>
                <w:szCs w:val="20"/>
                <w:color w:val="auto"/>
              </w:rPr>
            </w:pPr>
            <w:r>
              <w:rPr>
                <w:rFonts w:ascii="Arial" w:cs="Arial" w:eastAsia="Arial" w:hAnsi="Arial"/>
                <w:sz w:val="14"/>
                <w:szCs w:val="14"/>
                <w:color w:val="auto"/>
                <w:w w:val="84"/>
              </w:rPr>
              <w:t>-</w:t>
            </w:r>
          </w:p>
        </w:tc>
        <w:tc>
          <w:tcPr>
            <w:tcW w:w="660" w:type="dxa"/>
            <w:vAlign w:val="bottom"/>
          </w:tcPr>
          <w:p>
            <w:pPr>
              <w:spacing w:after="0"/>
              <w:rPr>
                <w:sz w:val="15"/>
                <w:szCs w:val="15"/>
                <w:color w:val="auto"/>
              </w:rPr>
            </w:pPr>
          </w:p>
        </w:tc>
        <w:tc>
          <w:tcPr>
            <w:tcW w:w="880" w:type="dxa"/>
            <w:vAlign w:val="bottom"/>
          </w:tcPr>
          <w:p>
            <w:pPr>
              <w:jc w:val="center"/>
              <w:ind w:right="351"/>
              <w:spacing w:after="0"/>
              <w:rPr>
                <w:sz w:val="20"/>
                <w:szCs w:val="20"/>
                <w:color w:val="auto"/>
              </w:rPr>
            </w:pPr>
            <w:r>
              <w:rPr>
                <w:rFonts w:ascii="Arial" w:cs="Arial" w:eastAsia="Arial" w:hAnsi="Arial"/>
                <w:sz w:val="14"/>
                <w:szCs w:val="14"/>
                <w:color w:val="auto"/>
              </w:rPr>
              <w:t>-</w:t>
            </w:r>
          </w:p>
        </w:tc>
      </w:tr>
      <w:tr>
        <w:trPr>
          <w:trHeight w:val="34"/>
        </w:trPr>
        <w:tc>
          <w:tcPr>
            <w:tcW w:w="20" w:type="dxa"/>
            <w:vAlign w:val="bottom"/>
          </w:tcPr>
          <w:p>
            <w:pPr>
              <w:spacing w:after="0"/>
              <w:rPr>
                <w:sz w:val="2"/>
                <w:szCs w:val="2"/>
                <w:color w:val="auto"/>
              </w:rPr>
            </w:pPr>
          </w:p>
        </w:tc>
        <w:tc>
          <w:tcPr>
            <w:tcW w:w="1540" w:type="dxa"/>
            <w:vAlign w:val="bottom"/>
            <w:tcBorders>
              <w:bottom w:val="single" w:sz="8" w:color="284993"/>
            </w:tcBorders>
          </w:tcPr>
          <w:p>
            <w:pPr>
              <w:spacing w:after="0"/>
              <w:rPr>
                <w:sz w:val="2"/>
                <w:szCs w:val="2"/>
                <w:color w:val="auto"/>
              </w:rPr>
            </w:pPr>
          </w:p>
        </w:tc>
        <w:tc>
          <w:tcPr>
            <w:tcW w:w="320" w:type="dxa"/>
            <w:vAlign w:val="bottom"/>
            <w:tcBorders>
              <w:bottom w:val="single" w:sz="8" w:color="284993"/>
            </w:tcBorders>
          </w:tcPr>
          <w:p>
            <w:pPr>
              <w:spacing w:after="0"/>
              <w:rPr>
                <w:sz w:val="2"/>
                <w:szCs w:val="2"/>
                <w:color w:val="auto"/>
              </w:rPr>
            </w:pPr>
          </w:p>
        </w:tc>
        <w:tc>
          <w:tcPr>
            <w:tcW w:w="1040" w:type="dxa"/>
            <w:vAlign w:val="bottom"/>
            <w:tcBorders>
              <w:bottom w:val="single" w:sz="8" w:color="284993"/>
            </w:tcBorders>
          </w:tcPr>
          <w:p>
            <w:pPr>
              <w:spacing w:after="0"/>
              <w:rPr>
                <w:sz w:val="2"/>
                <w:szCs w:val="2"/>
                <w:color w:val="auto"/>
              </w:rPr>
            </w:pPr>
          </w:p>
        </w:tc>
        <w:tc>
          <w:tcPr>
            <w:tcW w:w="740" w:type="dxa"/>
            <w:vAlign w:val="bottom"/>
            <w:tcBorders>
              <w:bottom w:val="single" w:sz="8" w:color="284993"/>
            </w:tcBorders>
          </w:tcPr>
          <w:p>
            <w:pPr>
              <w:spacing w:after="0"/>
              <w:rPr>
                <w:sz w:val="2"/>
                <w:szCs w:val="2"/>
                <w:color w:val="auto"/>
              </w:rPr>
            </w:pPr>
          </w:p>
        </w:tc>
        <w:tc>
          <w:tcPr>
            <w:tcW w:w="940" w:type="dxa"/>
            <w:vAlign w:val="bottom"/>
            <w:tcBorders>
              <w:bottom w:val="single" w:sz="8" w:color="284993"/>
            </w:tcBorders>
          </w:tcPr>
          <w:p>
            <w:pPr>
              <w:spacing w:after="0"/>
              <w:rPr>
                <w:sz w:val="2"/>
                <w:szCs w:val="2"/>
                <w:color w:val="auto"/>
              </w:rPr>
            </w:pPr>
          </w:p>
        </w:tc>
        <w:tc>
          <w:tcPr>
            <w:tcW w:w="1720" w:type="dxa"/>
            <w:vAlign w:val="bottom"/>
            <w:tcBorders>
              <w:bottom w:val="single" w:sz="8" w:color="284993"/>
            </w:tcBorders>
          </w:tcPr>
          <w:p>
            <w:pPr>
              <w:spacing w:after="0"/>
              <w:rPr>
                <w:sz w:val="2"/>
                <w:szCs w:val="2"/>
                <w:color w:val="auto"/>
              </w:rPr>
            </w:pPr>
          </w:p>
        </w:tc>
        <w:tc>
          <w:tcPr>
            <w:tcW w:w="380" w:type="dxa"/>
            <w:vAlign w:val="bottom"/>
            <w:tcBorders>
              <w:bottom w:val="single" w:sz="8" w:color="284993"/>
            </w:tcBorders>
          </w:tcPr>
          <w:p>
            <w:pPr>
              <w:spacing w:after="0"/>
              <w:rPr>
                <w:sz w:val="2"/>
                <w:szCs w:val="2"/>
                <w:color w:val="auto"/>
              </w:rPr>
            </w:pPr>
          </w:p>
        </w:tc>
        <w:tc>
          <w:tcPr>
            <w:tcW w:w="1120" w:type="dxa"/>
            <w:vAlign w:val="bottom"/>
            <w:tcBorders>
              <w:bottom w:val="single" w:sz="8" w:color="284993"/>
            </w:tcBorders>
          </w:tcPr>
          <w:p>
            <w:pPr>
              <w:spacing w:after="0"/>
              <w:rPr>
                <w:sz w:val="2"/>
                <w:szCs w:val="2"/>
                <w:color w:val="auto"/>
              </w:rPr>
            </w:pPr>
          </w:p>
        </w:tc>
        <w:tc>
          <w:tcPr>
            <w:tcW w:w="660" w:type="dxa"/>
            <w:vAlign w:val="bottom"/>
            <w:tcBorders>
              <w:bottom w:val="single" w:sz="8" w:color="284993"/>
            </w:tcBorders>
          </w:tcPr>
          <w:p>
            <w:pPr>
              <w:spacing w:after="0"/>
              <w:rPr>
                <w:sz w:val="2"/>
                <w:szCs w:val="2"/>
                <w:color w:val="auto"/>
              </w:rPr>
            </w:pPr>
          </w:p>
        </w:tc>
        <w:tc>
          <w:tcPr>
            <w:tcW w:w="880" w:type="dxa"/>
            <w:vAlign w:val="bottom"/>
            <w:tcBorders>
              <w:bottom w:val="single" w:sz="8" w:color="284993"/>
            </w:tcBorders>
          </w:tcPr>
          <w:p>
            <w:pPr>
              <w:spacing w:after="0"/>
              <w:rPr>
                <w:sz w:val="2"/>
                <w:szCs w:val="2"/>
                <w:color w:val="auto"/>
              </w:rPr>
            </w:pPr>
          </w:p>
        </w:tc>
      </w:tr>
    </w:tbl>
    <w:p>
      <w:pPr>
        <w:ind w:left="280" w:hanging="274"/>
        <w:spacing w:after="0" w:line="234" w:lineRule="auto"/>
        <w:tabs>
          <w:tab w:leader="none" w:pos="280" w:val="left"/>
        </w:tabs>
        <w:numPr>
          <w:ilvl w:val="0"/>
          <w:numId w:val="51"/>
        </w:numPr>
        <w:rPr>
          <w:rFonts w:ascii="Arial" w:cs="Arial" w:eastAsia="Arial" w:hAnsi="Arial"/>
          <w:sz w:val="18"/>
          <w:szCs w:val="18"/>
          <w:color w:val="auto"/>
          <w:vertAlign w:val="superscript"/>
        </w:rPr>
      </w:pPr>
      <w:r>
        <w:rPr>
          <w:rFonts w:ascii="Arial" w:cs="Arial" w:eastAsia="Arial" w:hAnsi="Arial"/>
          <w:sz w:val="12"/>
          <w:szCs w:val="12"/>
          <w:color w:val="auto"/>
        </w:rPr>
        <w:t>The amount reported in this column was reported as “Non-Equity Incentive Plan Compensation” in the 2023 Summary Compensation Table.</w:t>
      </w:r>
    </w:p>
    <w:p>
      <w:pPr>
        <w:ind w:left="280" w:hanging="274"/>
        <w:spacing w:after="0" w:line="180" w:lineRule="auto"/>
        <w:tabs>
          <w:tab w:leader="none" w:pos="280" w:val="left"/>
        </w:tabs>
        <w:numPr>
          <w:ilvl w:val="0"/>
          <w:numId w:val="51"/>
        </w:numPr>
        <w:rPr>
          <w:rFonts w:ascii="Arial" w:cs="Arial" w:eastAsia="Arial" w:hAnsi="Arial"/>
          <w:sz w:val="15"/>
          <w:szCs w:val="15"/>
          <w:color w:val="auto"/>
          <w:vertAlign w:val="superscript"/>
        </w:rPr>
      </w:pPr>
      <w:r>
        <w:rPr>
          <w:rFonts w:ascii="Arial" w:cs="Arial" w:eastAsia="Arial" w:hAnsi="Arial"/>
          <w:sz w:val="10"/>
          <w:szCs w:val="10"/>
          <w:color w:val="auto"/>
        </w:rPr>
        <w:t>The amount reported in this column is not reported in the 2023 Summary Compensation Table because the earnings are not above-market or preferential.</w:t>
      </w:r>
    </w:p>
    <w:p>
      <w:pPr>
        <w:ind w:left="280" w:hanging="274"/>
        <w:spacing w:after="0" w:line="181" w:lineRule="auto"/>
        <w:tabs>
          <w:tab w:leader="none" w:pos="280" w:val="left"/>
        </w:tabs>
        <w:numPr>
          <w:ilvl w:val="0"/>
          <w:numId w:val="51"/>
        </w:numPr>
        <w:rPr>
          <w:rFonts w:ascii="Arial" w:cs="Arial" w:eastAsia="Arial" w:hAnsi="Arial"/>
          <w:sz w:val="17"/>
          <w:szCs w:val="17"/>
          <w:color w:val="auto"/>
          <w:vertAlign w:val="superscript"/>
        </w:rPr>
      </w:pPr>
      <w:r>
        <w:rPr>
          <w:rFonts w:ascii="Arial" w:cs="Arial" w:eastAsia="Arial" w:hAnsi="Arial"/>
          <w:sz w:val="12"/>
          <w:szCs w:val="12"/>
          <w:color w:val="auto"/>
        </w:rPr>
        <w:t>Of the amount set forth in this column for Ms. Guerra, $36,325 was reported as compensation in a prior year’s Summary Compensation Table.</w:t>
      </w:r>
    </w:p>
    <w:p>
      <w:pPr>
        <w:spacing w:after="0" w:line="122" w:lineRule="exact"/>
        <w:rPr>
          <w:sz w:val="20"/>
          <w:szCs w:val="20"/>
          <w:color w:val="auto"/>
        </w:rPr>
      </w:pPr>
    </w:p>
    <w:p>
      <w:pPr>
        <w:ind w:left="7460"/>
        <w:spacing w:after="0"/>
        <w:rPr>
          <w:sz w:val="20"/>
          <w:szCs w:val="20"/>
          <w:color w:val="auto"/>
        </w:rPr>
      </w:pPr>
      <w:r>
        <w:rPr>
          <w:rFonts w:ascii="Arial" w:cs="Arial" w:eastAsia="Arial" w:hAnsi="Arial"/>
          <w:sz w:val="13"/>
          <w:szCs w:val="13"/>
          <w:color w:val="auto"/>
        </w:rPr>
        <w:t>2024 PROXY STATEMENT</w:t>
      </w:r>
      <w:r>
        <w:rPr>
          <w:rFonts w:ascii="Arial" w:cs="Arial" w:eastAsia="Arial" w:hAnsi="Arial"/>
          <w:sz w:val="13"/>
          <w:szCs w:val="13"/>
          <w:b w:val="1"/>
          <w:bCs w:val="1"/>
          <w:color w:val="284993"/>
        </w:rPr>
        <w:t xml:space="preserve">  61</w:t>
      </w:r>
    </w:p>
    <w:p>
      <w:pPr>
        <w:sectPr>
          <w:pgSz w:w="11900" w:h="16838" w:orient="portrait"/>
          <w:cols w:equalWidth="0" w:num="1">
            <w:col w:w="9360"/>
          </w:cols>
          <w:pgMar w:left="1260" w:top="286" w:right="1279" w:bottom="1440" w:gutter="0" w:footer="0" w:header="0"/>
        </w:sectPr>
      </w:pPr>
    </w:p>
    <w:bookmarkStart w:id="67" w:name="page68"/>
    <w:bookmarkEnd w:id="67"/>
    <w:p>
      <w:pPr>
        <w:jc w:val="center"/>
        <w:ind w:left="1300"/>
        <w:spacing w:after="0" w:line="271" w:lineRule="auto"/>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150495</wp:posOffset>
            </wp:positionV>
            <wp:extent cx="59410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Severance Policy</w:t>
      </w:r>
    </w:p>
    <w:p>
      <w:pPr>
        <w:spacing w:after="0" w:line="124"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For Named Executive Officers, we adopted a severance policy which we refer to as our Severance Pay Plan. That policy provides severance, medical and dental continuation benefits to eligible employees. Under the Plan, all Named Executive Officers participated during 2023 (except as described below with respect to the CEO). Participating Named Executive Officers are eligible to receive one year’s worth of base salary, target bonus, and a one-year continuation of benefits and outplacement services if they are terminated by us without cause.</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CEO Severance Agreement</w:t>
      </w:r>
    </w:p>
    <w:p>
      <w:pPr>
        <w:spacing w:after="0" w:line="124"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color w:val="auto"/>
        </w:rPr>
        <w:t>We entered into a severance agreement with our CEO on June 1, 2023 (the “2023 CEO Severance Agreement”), which has a three-year term. The 2023 CEO Severance Agreement provides that if the Company terminates Mr. Warsop’s employment other than for “Cause”, “Death or “Disability,” or Mr. Warsop terminates his employment for “Good Reason,” other than in circumstances covered by Mr. Warsop’s CIC Agreement (defined below), Mr. Warsop would be entitled to the following benefits: (1) a lump sum cash amount equal to 1.5 times the sum of his annual base salary plus his target annual bonus; (2) generally, at least 18 months of continued benefits to him and his family at the same after-tax cost to him as would have applied prior to the termination (or certain economically equivalent benefits); (3) pro-rata vesting of his then-outstanding restricted stock units; and (4) pro-rata vesting of his then-outstanding PSUs based on actual performance for the full performance period. Pro-rata vesting of equity awards as described above is based on Mr. Warsop’s completed months of service during the vesting or performance period, as applicable. The terms “Cause”, “Disability,” and “Good Reason” have the meanings assigned thereto in Mr. Warsop’s CIC Agreement. The separation benefits described above are generally subject to Mr. Warsop’s execution and non-revocation of a customary release of claims in favor of the Company, as well as his compliance with certain customary confidentiality, non-competition, and employee and customer non-solicitation restrictive covenants. Because of his 2023 CEO Severance Agreement, Mr. Warsop did not participate in the Company’s Severance Pay Plan.</w:t>
      </w:r>
    </w:p>
    <w:p>
      <w:pPr>
        <w:spacing w:after="0" w:line="341"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Change in Control Agreements</w:t>
      </w:r>
    </w:p>
    <w:p>
      <w:pPr>
        <w:spacing w:after="0" w:line="124" w:lineRule="exact"/>
        <w:rPr>
          <w:sz w:val="20"/>
          <w:szCs w:val="20"/>
          <w:color w:val="auto"/>
        </w:rPr>
      </w:pPr>
    </w:p>
    <w:p>
      <w:pPr>
        <w:jc w:val="both"/>
        <w:ind w:right="320"/>
        <w:spacing w:after="0" w:line="251" w:lineRule="auto"/>
        <w:rPr>
          <w:sz w:val="20"/>
          <w:szCs w:val="20"/>
          <w:color w:val="auto"/>
        </w:rPr>
      </w:pPr>
      <w:r>
        <w:rPr>
          <w:rFonts w:ascii="Arial" w:cs="Arial" w:eastAsia="Arial" w:hAnsi="Arial"/>
          <w:sz w:val="16"/>
          <w:szCs w:val="16"/>
          <w:color w:val="auto"/>
        </w:rPr>
        <w:t>We have entered into a Change in Control Agreement (the “CIC Agreement”) with each of our Named Executive Officers (each an “Executive” for purposes of this section). The CIC Agreement has an initial term of two years and is extended by two years on each anniversary of the effective date unless proper notice is provided to the Executive.</w:t>
      </w:r>
    </w:p>
    <w:p>
      <w:pPr>
        <w:spacing w:after="0" w:line="176"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The CIC Agreement provides that ACI will employ the Executive for a two-year period following a change in control (as defined in the CIC Agreement) (the “Employment Period”). During the Employment Period, ACI will (i) pay the Executive a base salary equal to the highest annual rate of base salary paid or payable to the executive for the 12-month period prior to the change in control, (ii) award the Executive for each fiscal period during the Employment Period total annual and quarterly bonus opportunities equal to at least the executive’s target annual and quarterly bonus opportunities for the year in which the change in control occurs, and (iii) allow the Executive opportunities to participate in ACI’s incentive, savings and retirement plans to an extent no less favorable than opportunities provided for by ACI in the 120-day period prior to the effective date of any change in control.</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The CIC Agreement also sets forth our obligations in the event the Executive’s employment terminates during the Employment Period.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such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Termination of Employment by the Company Other Than for Cause or by the Executive for Good Reason</w:t>
      </w:r>
    </w:p>
    <w:p>
      <w:pPr>
        <w:spacing w:after="0" w:line="108"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The CIC Agreement provides that if the Executive’s employment is terminated during the Employment Period other than for cause or the Executive’s death or disability, or the Executive terminates employment for good reason, the Executive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72390</wp:posOffset>
            </wp:positionV>
            <wp:extent cx="693420" cy="1320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3420" cy="13208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62</w:t>
      </w:r>
    </w:p>
    <w:p>
      <w:pPr>
        <w:sectPr>
          <w:pgSz w:w="11900" w:h="16838" w:orient="portrait"/>
          <w:cols w:equalWidth="0" w:num="1">
            <w:col w:w="9340"/>
          </w:cols>
          <w:pgMar w:left="1260" w:top="254" w:right="1299" w:bottom="1440" w:gutter="0" w:footer="0" w:header="0"/>
        </w:sectPr>
      </w:pPr>
    </w:p>
    <w:bookmarkStart w:id="68" w:name="page69"/>
    <w:bookmarkEnd w:id="68"/>
    <w:p>
      <w:pPr>
        <w:spacing w:after="0" w:line="2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entitled to receive from ACI certain payments and benefits, contingent upon the receipt of a release of claims as set forth in the CIC Agreement. These payments and benefits include (i) the lump sum of (a) the Executive’s unpaid current-year annual base salary through the date of termination, a portion of current-year bonus based on the current-year target annual bonus, prorated through the date of termination, and any accrued and unpaid vacation pay (together, the “Accrued Obligations”), plus(b) two times, the sum of the annual base salary and target annual bonus; (ii) continued participation at ACI’s cost in welfare benefits plans in which the Executive would have been participating for two years, from the date of termination or until the Executive receives equivalent benefits from a subsequent employer, in which case, welfare benefits plans provided pursuant to the CIC Agreement shall be secondary to those provided under such other plans during the applicable period of eligibility; (iii) outplacement services at ACI’s sole expense, not to exceed $50,000; (iv) any unpaid amounts that are vested benefits or that the Executive is otherwise entitled to receive under any plan, policy, practice, program, or any other contract or agreement with ACI or the affiliated companies at or subsequent to the date of termination (the “Other Benefits”); and (v) the Executive shall become fully vested and entitled to immediately exercise (if applicable), all stock-based awards, granted to the Executive under any plans or agreement of ACI.</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Death and Disability</w:t>
      </w:r>
    </w:p>
    <w:p>
      <w:pPr>
        <w:spacing w:after="0" w:line="108"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If the Executive’s employment is terminated by reason of the Executive’s death or disability after a change in control, we must provide the Executive’s estate or beneficiaries with the Accrued Obligations and the timely payment or delivery of the Other Benefits and will have no other severance obligations under the CIC Agreement.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Termination of Employment for Cause or by Executive Other Than for Good Reason</w:t>
      </w:r>
    </w:p>
    <w:p>
      <w:pPr>
        <w:spacing w:after="0" w:line="108"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The CIC Agreement provides that if the Executive’s employment is terminated for cause, ACI shall provide the Executive with the executive’s annual base salary through the date of termination, and the timely payment or delivery of the Other Benefits and shall have no other severance obligations under the CIC Agreement. If the Executive voluntarily terminates employment, excluding a termination for good reason, ACI shall provide to the Executive the Accrued Obligations and the timely payment or delivery of the Other Benefits, and shall have no other severance obligations under the CIC Agreement.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No Tax Gross-Up</w:t>
      </w:r>
    </w:p>
    <w:p>
      <w:pPr>
        <w:spacing w:after="0" w:line="108"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The CIC Agreement does not provide for ACI to pay the Executive any gross-up payments for excise taxes that may be imposed upon the Executive as a result of any payments made pursuant to the CIC Agreement. Instead, the CIC Agreements provide for a “best results” provision, which can, in certain circumstances, reduce the amount of payments to an Executive contingent on a change in control, if such reduction would provide the Executive a higher payment net of taxes, including the “Golden Parachute” tax under Section 280G of the Internal Revenue Code.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Acceleration of Equity Awards</w:t>
      </w:r>
    </w:p>
    <w:p>
      <w:pPr>
        <w:spacing w:after="0" w:line="108" w:lineRule="exact"/>
        <w:rPr>
          <w:sz w:val="20"/>
          <w:szCs w:val="20"/>
          <w:color w:val="auto"/>
        </w:rPr>
      </w:pPr>
    </w:p>
    <w:p>
      <w:pPr>
        <w:ind w:right="380"/>
        <w:spacing w:after="0" w:line="264" w:lineRule="auto"/>
        <w:rPr>
          <w:sz w:val="20"/>
          <w:szCs w:val="20"/>
          <w:color w:val="auto"/>
        </w:rPr>
      </w:pPr>
      <w:r>
        <w:rPr>
          <w:rFonts w:ascii="Arial" w:cs="Arial" w:eastAsia="Arial" w:hAnsi="Arial"/>
          <w:sz w:val="16"/>
          <w:szCs w:val="16"/>
          <w:color w:val="auto"/>
        </w:rPr>
        <w:t>No awards accelerate upon a “single trigger” Change in Control. As noted above, there is full vesting acceleration of equity awards upon a qualifying termination.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Non-solicitation and Non-Competition Provisions</w:t>
      </w:r>
    </w:p>
    <w:p>
      <w:pPr>
        <w:spacing w:after="0" w:line="108"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color w:val="auto"/>
        </w:rPr>
        <w:t>During the Employment Period and for a period of one year following termination of employment, each Executive agrees not to (i) enter into or engage in any business that competes with ACI’s business within a specified restricted territory; (ii) solicit customers with whom the Executive had any contact or for which such Executive had any responsibility (either direct or supervisory) at the date of termination or at any time during the one year prior to such date of termination, whether within or outside of the restricted territory, or solicit business, patronage or orders for, or sell, any products and services in competition with, or for any business that competes with ACI’s business within the restricted territory; (iii) divert, entice or otherwise take away any customers, business, patronage or orders of ACI within the restricted territory, or attempt to do so; (iv) promote or assist, financially or otherwise, any person, firm, association, partnership, corporation or other entity engaged in any business that competes with ACI’s business within the restricted territory; or</w:t>
      </w:r>
    </w:p>
    <w:p>
      <w:pPr>
        <w:spacing w:after="0" w:line="4" w:lineRule="exact"/>
        <w:rPr>
          <w:sz w:val="20"/>
          <w:szCs w:val="20"/>
          <w:color w:val="auto"/>
        </w:rPr>
      </w:pPr>
    </w:p>
    <w:p>
      <w:pPr>
        <w:ind w:right="160" w:firstLine="6"/>
        <w:spacing w:after="0"/>
        <w:tabs>
          <w:tab w:leader="none" w:pos="225" w:val="left"/>
        </w:tabs>
        <w:numPr>
          <w:ilvl w:val="0"/>
          <w:numId w:val="52"/>
        </w:numPr>
        <w:rPr>
          <w:rFonts w:ascii="Arial" w:cs="Arial" w:eastAsia="Arial" w:hAnsi="Arial"/>
          <w:sz w:val="16"/>
          <w:szCs w:val="16"/>
          <w:color w:val="auto"/>
        </w:rPr>
      </w:pPr>
      <w:r>
        <w:rPr>
          <w:rFonts w:ascii="Arial" w:cs="Arial" w:eastAsia="Arial" w:hAnsi="Arial"/>
          <w:sz w:val="16"/>
          <w:szCs w:val="16"/>
          <w:color w:val="auto"/>
        </w:rPr>
        <w:t>solicit, induce or attempt to solicit or induce any employee(s), sales representative(s), agent(s) or consultant(s) of ACI and/or its affiliated companies to terminate their employment, representation or other association with ACI and/or its affiliated companies, provided that the foregoing shall not apply to general advertising not specifically targeted at employees, sales representatives, agents or consultants of ACI and/or its affiliated companies.</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63</w:t>
      </w:r>
    </w:p>
    <w:p>
      <w:pPr>
        <w:sectPr>
          <w:pgSz w:w="11900" w:h="16838" w:orient="portrait"/>
          <w:cols w:equalWidth="0" w:num="1">
            <w:col w:w="9360"/>
          </w:cols>
          <w:pgMar w:left="1260" w:top="296" w:right="127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i w:val="1"/>
          <w:i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Release</w:t>
      </w:r>
    </w:p>
    <w:p>
      <w:pPr>
        <w:spacing w:after="0" w:line="108"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As a condition to receiving any of the severance benefits under the CIC Agreements, the Executive is required to release ACI and its employees from all claims that the Executive may have against them.</w:t>
      </w:r>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Post-Termination Benefits Under Incentive Plans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Short-Term Incentive Plan Terms</w:t>
      </w:r>
    </w:p>
    <w:p>
      <w:pPr>
        <w:spacing w:after="0" w:line="108"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Under the 2023 STIP, to be entitled to a payment, the executive, including our Named Executive Officers, must be employed by ACI on the date of payment. If employment with ACI is terminated for any reason prior to the payment date, the executive will not be eligible for a bonus under the 2023 STIP and the executive forfeits all rights to such payment except to the extent otherwise provided by ACI (including under the CIC Agreements).</w:t>
      </w:r>
    </w:p>
    <w:p>
      <w:pPr>
        <w:spacing w:after="0" w:line="181"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The individual award agreements with each executive officer, including our Named Executive Officers, related to the 2023 STIP program, grant ACI the right to require an executive officer to forfeit his or her right to payment or to reimburse ACI for any payments previously paid, along with any other action ACI deems necessary or appropriate, in the event it is determined that the executive officer engaged in misconduct in the course of his or her employment.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Equity Incentive Plan Terms</w:t>
      </w:r>
    </w:p>
    <w:p>
      <w:pPr>
        <w:spacing w:after="0" w:line="108" w:lineRule="exact"/>
        <w:rPr>
          <w:sz w:val="20"/>
          <w:szCs w:val="20"/>
          <w:color w:val="auto"/>
        </w:rPr>
      </w:pPr>
    </w:p>
    <w:p>
      <w:pPr>
        <w:spacing w:after="0" w:line="241" w:lineRule="auto"/>
        <w:rPr>
          <w:sz w:val="20"/>
          <w:szCs w:val="20"/>
          <w:color w:val="auto"/>
        </w:rPr>
      </w:pPr>
      <w:r>
        <w:rPr>
          <w:rFonts w:ascii="Arial" w:cs="Arial" w:eastAsia="Arial" w:hAnsi="Arial"/>
          <w:sz w:val="16"/>
          <w:szCs w:val="16"/>
          <w:b w:val="1"/>
          <w:bCs w:val="1"/>
          <w:i w:val="1"/>
          <w:iCs w:val="1"/>
          <w:color w:val="auto"/>
        </w:rPr>
        <w:t>Performance Share Units</w:t>
      </w:r>
      <w:r>
        <w:rPr>
          <w:rFonts w:ascii="Arial" w:cs="Arial" w:eastAsia="Arial" w:hAnsi="Arial"/>
          <w:sz w:val="16"/>
          <w:szCs w:val="16"/>
          <w:color w:val="auto"/>
        </w:rPr>
        <w:t>. The award agreements for PSUs generally provide that if an employee, including a Named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voluntarily terminates employment with ACI prior to payment of the PSUs, all PSUs are forfeited. In the event of death, disability, or termination of employment by the Company without cause, the award agreements generally provide that ACI will provide the employee a pro-rata portion of the PSUs during the full fiscal quarters completed during the applicable performance period until the date of termination based on the shares earned through the end of the full performance period. Such amounts will be paid as soon as practicable after determination of the number of shares earned under PSU awards. Upon the close of a change in control, the performance period for our PSAs will be truncated and the actual performance will be measured. The earned awards will then convert to RSUs with a vesting schedule equal to the PSAs.</w:t>
      </w:r>
    </w:p>
    <w:p>
      <w:pPr>
        <w:spacing w:after="0" w:line="185" w:lineRule="exact"/>
        <w:rPr>
          <w:sz w:val="20"/>
          <w:szCs w:val="20"/>
          <w:color w:val="auto"/>
        </w:rPr>
      </w:pPr>
    </w:p>
    <w:p>
      <w:pPr>
        <w:ind w:right="260"/>
        <w:spacing w:after="0" w:line="293" w:lineRule="auto"/>
        <w:rPr>
          <w:sz w:val="20"/>
          <w:szCs w:val="20"/>
          <w:color w:val="auto"/>
        </w:rPr>
      </w:pPr>
      <w:r>
        <w:rPr>
          <w:rFonts w:ascii="Arial" w:cs="Arial" w:eastAsia="Arial" w:hAnsi="Arial"/>
          <w:sz w:val="14"/>
          <w:szCs w:val="14"/>
          <w:b w:val="1"/>
          <w:bCs w:val="1"/>
          <w:i w:val="1"/>
          <w:iCs w:val="1"/>
          <w:color w:val="auto"/>
        </w:rPr>
        <w:t>RSUs</w:t>
      </w:r>
      <w:r>
        <w:rPr>
          <w:rFonts w:ascii="Arial" w:cs="Arial" w:eastAsia="Arial" w:hAnsi="Arial"/>
          <w:sz w:val="14"/>
          <w:szCs w:val="14"/>
          <w:color w:val="auto"/>
        </w:rPr>
        <w:t>. The award agreements for RSUs generally provide that if any employee, including a Named Executive Officer, voluntarily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terminates employment with ACI or we terminated the Named Executive Officer’s employment for any reason, the Named Executive Officer forfeits all unvested RSUs. However, the award agreements also generally provide that if the Named Executive Officer’s employment terminates due to death or disability, all RSUs will immediately vest upon their termination due to death or disability.</w:t>
      </w:r>
    </w:p>
    <w:p>
      <w:pPr>
        <w:spacing w:after="0" w:line="139"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Forfeiture and Right of Recoupment</w:t>
      </w:r>
    </w:p>
    <w:p>
      <w:pPr>
        <w:spacing w:after="0" w:line="124" w:lineRule="exact"/>
        <w:rPr>
          <w:sz w:val="20"/>
          <w:szCs w:val="20"/>
          <w:color w:val="auto"/>
        </w:rPr>
      </w:pPr>
    </w:p>
    <w:p>
      <w:pPr>
        <w:ind w:right="80"/>
        <w:spacing w:after="0"/>
        <w:rPr>
          <w:sz w:val="20"/>
          <w:szCs w:val="20"/>
          <w:color w:val="auto"/>
        </w:rPr>
      </w:pPr>
      <w:r>
        <w:rPr>
          <w:rFonts w:ascii="Arial" w:cs="Arial" w:eastAsia="Arial" w:hAnsi="Arial"/>
          <w:sz w:val="16"/>
          <w:szCs w:val="16"/>
          <w:color w:val="auto"/>
        </w:rPr>
        <w:t>In 2023, we adopted a recoupment policy that complies with the new SEC regulations and Nasdaq listing requirements. Under the new policy, in the event of an accounting restatement, we generally must recover from current or former Section 16 erroneously awarded incentive-based compensation received by them, regardless of any fault or misconduct by the officer. The compensation to be recovered (absent limited exceptions prescribed in the policy) is the actual incentive-based compensation received by an officer minus the amount the officer would have received had such compensation been determined based on the restated financial statements, calculated on a pre-tax basis. This policy applies to incentive-based compensation received by the Section 16 officer on or after October 2, 2023 and during the three fiscal years that ended immediately before the Company determines that it is required to restate its financial statements, and that is granted, earned or vested based wholly or in part on the achievement of any financial reporting measure or based on the Company’s stock price or total shareholder return.</w:t>
      </w:r>
    </w:p>
    <w:p>
      <w:pPr>
        <w:spacing w:after="0" w:line="189" w:lineRule="exact"/>
        <w:rPr>
          <w:sz w:val="20"/>
          <w:szCs w:val="20"/>
          <w:color w:val="auto"/>
        </w:rPr>
      </w:pPr>
    </w:p>
    <w:p>
      <w:pPr>
        <w:ind w:right="220"/>
        <w:spacing w:after="0" w:line="241" w:lineRule="auto"/>
        <w:rPr>
          <w:sz w:val="20"/>
          <w:szCs w:val="20"/>
          <w:color w:val="auto"/>
        </w:rPr>
      </w:pPr>
      <w:r>
        <w:rPr>
          <w:rFonts w:ascii="Arial" w:cs="Arial" w:eastAsia="Arial" w:hAnsi="Arial"/>
          <w:sz w:val="16"/>
          <w:szCs w:val="16"/>
          <w:color w:val="auto"/>
        </w:rPr>
        <w:t>Our legacy recoupment policy, which applies to incentive compensation received before October 2, 2023, and to all award recipients, including Named Executive Officers, provides that (a) if ACI is required to restate its consolidated financial statements because of material noncompliance due to irregularities with the federal securities laws, which restatement is due, in whole or in part, to the misconduct of the employee, or (b) it is determined that the employee has otherwise engaged in misconduct (whether or not such misconduct is discovered prior to the termination of the employee’s employment), ACI has the right to (a) cause the forfeiture or cancellation of any unvested and/or vested portion of an option, any unvested restricted shares or RSUs, or any unearned PSUs; (b) cause the transfer of ownership back to ACI of any vested shares not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85725</wp:posOffset>
            </wp:positionV>
            <wp:extent cx="693420" cy="1320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3420" cy="13208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64</w:t>
      </w:r>
    </w:p>
    <w:p>
      <w:pPr>
        <w:sectPr>
          <w:pgSz w:w="11900" w:h="16838" w:orient="portrait"/>
          <w:cols w:equalWidth="0" w:num="1">
            <w:col w:w="9360"/>
          </w:cols>
          <w:pgMar w:left="1260" w:top="292" w:right="1279" w:bottom="1440" w:gutter="0" w:footer="0" w:header="0"/>
        </w:sectPr>
      </w:pPr>
    </w:p>
    <w:bookmarkStart w:id="70" w:name="page71"/>
    <w:bookmarkEnd w:id="70"/>
    <w:p>
      <w:pPr>
        <w:ind w:right="100"/>
        <w:spacing w:after="0" w:line="24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transfer restrictions, common shares issued as payment for earned PSUs or RSUs, or cash received as payment for earned PSUs or RSUs; (c) recoup any proceeds from (i) the exercise or vesting of an option, (ii) the vesting of the restricted shares, (iii) the sale of shares of our common stock issued pursuant to the exercise of the option or as payment for earned PSUs or RSUs and (iv) the sale of any unrestricted shares, along with any other action ACI determines is necessary or appropriate and in the best interest of ACI and its stockholders; and (d) recoup any annual incentive cash-based payouts.</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Potential Post-Termination Benefits Table</w:t>
      </w:r>
    </w:p>
    <w:p>
      <w:pPr>
        <w:spacing w:after="0" w:line="124"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The table below quantifies certain compensation and benefits that would have become payable to our Named Executive Officers who remained with the Company through the end of 2023 in the event such executive officer’s employment had terminated on December 29, 2023 under various circumstances.</w:t>
      </w:r>
    </w:p>
    <w:p>
      <w:pPr>
        <w:spacing w:after="0" w:line="176"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The estimates set forth in the table below are based on our Named Executive Officers’ compensation and service levels as of such date and, if applicable, the closing stock price of our common stock on December 29, 2023, the last trading day of 2023, which was $30.60. These benefits are in addition to benefits generally available to salaried employees such as distributions under our 401(k) Plan, disability benefits and accrued vacation pay.</w:t>
      </w:r>
    </w:p>
    <w:p>
      <w:pPr>
        <w:spacing w:after="0" w:line="181"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Due to the number of factors that affect the nature and amount of any benefits provided upon the events discussed below, any actual amounts paid or distributed to our Named Executive Officers may be different. Factors that could affect these amounts include the timing of any such event and our stock price.</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65</w:t>
      </w:r>
    </w:p>
    <w:p>
      <w:pPr>
        <w:sectPr>
          <w:pgSz w:w="11900" w:h="16838" w:orient="portrait"/>
          <w:cols w:equalWidth="0" w:num="1">
            <w:col w:w="9360"/>
          </w:cols>
          <w:pgMar w:left="1260" w:top="296" w:right="1279" w:bottom="1440" w:gutter="0" w:footer="0" w:header="0"/>
        </w:sectPr>
      </w:pPr>
    </w:p>
    <w:bookmarkStart w:id="71" w:name="page72"/>
    <w:bookmarkEnd w:id="71"/>
    <w:tbl>
      <w:tblPr>
        <w:tblLayout w:type="fixed"/>
        <w:tblInd w:w="20" w:type="dxa"/>
        <w:tblCellMar>
          <w:top w:w="0" w:type="dxa"/>
          <w:left w:w="0" w:type="dxa"/>
          <w:bottom w:w="0" w:type="dxa"/>
          <w:right w:w="0" w:type="dxa"/>
        </w:tblCellMar>
      </w:tblPr>
      <w:tr>
        <w:trPr>
          <w:trHeight w:val="161"/>
        </w:trPr>
        <w:tc>
          <w:tcPr>
            <w:tcW w:w="220" w:type="dxa"/>
            <w:vAlign w:val="bottom"/>
            <w:shd w:val="clear" w:color="auto" w:fill="284993"/>
          </w:tcPr>
          <w:p>
            <w:pPr>
              <w:spacing w:after="0"/>
              <w:rPr>
                <w:sz w:val="14"/>
                <w:szCs w:val="14"/>
                <w:color w:val="auto"/>
              </w:rPr>
            </w:pPr>
          </w:p>
        </w:tc>
        <w:tc>
          <w:tcPr>
            <w:tcW w:w="400" w:type="dxa"/>
            <w:vAlign w:val="bottom"/>
            <w:shd w:val="clear" w:color="auto" w:fill="284993"/>
          </w:tcPr>
          <w:p>
            <w:pPr>
              <w:spacing w:after="0"/>
              <w:rPr>
                <w:sz w:val="14"/>
                <w:szCs w:val="14"/>
                <w:color w:val="auto"/>
              </w:rPr>
            </w:pPr>
          </w:p>
        </w:tc>
        <w:tc>
          <w:tcPr>
            <w:tcW w:w="40" w:type="dxa"/>
            <w:vAlign w:val="bottom"/>
            <w:shd w:val="clear" w:color="auto" w:fill="284993"/>
          </w:tcPr>
          <w:p>
            <w:pPr>
              <w:spacing w:after="0"/>
              <w:rPr>
                <w:sz w:val="14"/>
                <w:szCs w:val="14"/>
                <w:color w:val="auto"/>
              </w:rPr>
            </w:pPr>
          </w:p>
        </w:tc>
        <w:tc>
          <w:tcPr>
            <w:tcW w:w="600" w:type="dxa"/>
            <w:vAlign w:val="bottom"/>
            <w:shd w:val="clear" w:color="auto" w:fill="284993"/>
          </w:tcPr>
          <w:p>
            <w:pPr>
              <w:spacing w:after="0"/>
              <w:rPr>
                <w:sz w:val="14"/>
                <w:szCs w:val="14"/>
                <w:color w:val="auto"/>
              </w:rPr>
            </w:pPr>
          </w:p>
        </w:tc>
        <w:tc>
          <w:tcPr>
            <w:tcW w:w="60" w:type="dxa"/>
            <w:vAlign w:val="bottom"/>
            <w:tcBorders>
              <w:right w:val="single" w:sz="8" w:color="284993"/>
            </w:tcBorders>
            <w:shd w:val="clear" w:color="auto" w:fill="284993"/>
          </w:tcPr>
          <w:p>
            <w:pPr>
              <w:spacing w:after="0"/>
              <w:rPr>
                <w:sz w:val="14"/>
                <w:szCs w:val="14"/>
                <w:color w:val="auto"/>
              </w:rPr>
            </w:pPr>
          </w:p>
        </w:tc>
        <w:tc>
          <w:tcPr>
            <w:tcW w:w="60" w:type="dxa"/>
            <w:vAlign w:val="bottom"/>
            <w:shd w:val="clear" w:color="auto" w:fill="284993"/>
          </w:tcPr>
          <w:p>
            <w:pPr>
              <w:spacing w:after="0"/>
              <w:rPr>
                <w:sz w:val="14"/>
                <w:szCs w:val="14"/>
                <w:color w:val="auto"/>
              </w:rPr>
            </w:pPr>
          </w:p>
        </w:tc>
        <w:tc>
          <w:tcPr>
            <w:tcW w:w="320" w:type="dxa"/>
            <w:vAlign w:val="bottom"/>
            <w:shd w:val="clear" w:color="auto" w:fill="284993"/>
          </w:tcPr>
          <w:p>
            <w:pPr>
              <w:spacing w:after="0"/>
              <w:rPr>
                <w:sz w:val="14"/>
                <w:szCs w:val="14"/>
                <w:color w:val="auto"/>
              </w:rPr>
            </w:pPr>
          </w:p>
        </w:tc>
        <w:tc>
          <w:tcPr>
            <w:tcW w:w="80" w:type="dxa"/>
            <w:vAlign w:val="bottom"/>
            <w:shd w:val="clear" w:color="auto" w:fill="284993"/>
          </w:tcPr>
          <w:p>
            <w:pPr>
              <w:spacing w:after="0"/>
              <w:rPr>
                <w:sz w:val="14"/>
                <w:szCs w:val="14"/>
                <w:color w:val="auto"/>
              </w:rPr>
            </w:pPr>
          </w:p>
        </w:tc>
        <w:tc>
          <w:tcPr>
            <w:tcW w:w="80" w:type="dxa"/>
            <w:vAlign w:val="bottom"/>
            <w:shd w:val="clear" w:color="auto" w:fill="284993"/>
          </w:tcPr>
          <w:p>
            <w:pPr>
              <w:spacing w:after="0"/>
              <w:rPr>
                <w:sz w:val="14"/>
                <w:szCs w:val="14"/>
                <w:color w:val="auto"/>
              </w:rPr>
            </w:pPr>
          </w:p>
        </w:tc>
        <w:tc>
          <w:tcPr>
            <w:tcW w:w="140" w:type="dxa"/>
            <w:vAlign w:val="bottom"/>
            <w:shd w:val="clear" w:color="auto" w:fill="284993"/>
          </w:tcPr>
          <w:p>
            <w:pPr>
              <w:spacing w:after="0"/>
              <w:rPr>
                <w:sz w:val="14"/>
                <w:szCs w:val="14"/>
                <w:color w:val="auto"/>
              </w:rPr>
            </w:pPr>
          </w:p>
        </w:tc>
        <w:tc>
          <w:tcPr>
            <w:tcW w:w="700" w:type="dxa"/>
            <w:vAlign w:val="bottom"/>
            <w:shd w:val="clear" w:color="auto" w:fill="284993"/>
          </w:tcPr>
          <w:p>
            <w:pPr>
              <w:spacing w:after="0"/>
              <w:rPr>
                <w:sz w:val="14"/>
                <w:szCs w:val="14"/>
                <w:color w:val="auto"/>
              </w:rPr>
            </w:pPr>
          </w:p>
        </w:tc>
        <w:tc>
          <w:tcPr>
            <w:tcW w:w="1960" w:type="dxa"/>
            <w:vAlign w:val="bottom"/>
            <w:gridSpan w:val="2"/>
            <w:shd w:val="clear" w:color="auto" w:fill="284993"/>
          </w:tcPr>
          <w:p>
            <w:pPr>
              <w:jc w:val="right"/>
              <w:ind w:right="471"/>
              <w:spacing w:after="0"/>
              <w:rPr>
                <w:sz w:val="20"/>
                <w:szCs w:val="20"/>
                <w:color w:val="auto"/>
              </w:rPr>
            </w:pPr>
            <w:r>
              <w:rPr>
                <w:rFonts w:ascii="Arial" w:cs="Arial" w:eastAsia="Arial" w:hAnsi="Arial"/>
                <w:sz w:val="14"/>
                <w:szCs w:val="14"/>
                <w:b w:val="1"/>
                <w:bCs w:val="1"/>
                <w:color w:val="FFFFFF"/>
              </w:rPr>
              <w:t>By Executive</w:t>
            </w:r>
          </w:p>
        </w:tc>
        <w:tc>
          <w:tcPr>
            <w:tcW w:w="500" w:type="dxa"/>
            <w:vAlign w:val="bottom"/>
            <w:shd w:val="clear" w:color="auto" w:fill="284993"/>
          </w:tcPr>
          <w:p>
            <w:pPr>
              <w:spacing w:after="0"/>
              <w:rPr>
                <w:sz w:val="14"/>
                <w:szCs w:val="14"/>
                <w:color w:val="auto"/>
              </w:rPr>
            </w:pPr>
          </w:p>
        </w:tc>
        <w:tc>
          <w:tcPr>
            <w:tcW w:w="1000" w:type="dxa"/>
            <w:vAlign w:val="bottom"/>
            <w:shd w:val="clear" w:color="auto" w:fill="284993"/>
          </w:tcPr>
          <w:p>
            <w:pPr>
              <w:jc w:val="right"/>
              <w:ind w:right="471"/>
              <w:spacing w:after="0"/>
              <w:rPr>
                <w:sz w:val="20"/>
                <w:szCs w:val="20"/>
                <w:color w:val="auto"/>
              </w:rPr>
            </w:pPr>
            <w:r>
              <w:rPr>
                <w:rFonts w:ascii="Arial" w:cs="Arial" w:eastAsia="Arial" w:hAnsi="Arial"/>
                <w:sz w:val="14"/>
                <w:szCs w:val="14"/>
                <w:b w:val="1"/>
                <w:bCs w:val="1"/>
                <w:color w:val="FFFFFF"/>
                <w:w w:val="95"/>
              </w:rPr>
              <w:t>By ACI</w:t>
            </w:r>
          </w:p>
        </w:tc>
        <w:tc>
          <w:tcPr>
            <w:tcW w:w="900" w:type="dxa"/>
            <w:vAlign w:val="bottom"/>
            <w:shd w:val="clear" w:color="auto" w:fill="284993"/>
          </w:tcPr>
          <w:p>
            <w:pPr>
              <w:spacing w:after="0"/>
              <w:rPr>
                <w:sz w:val="14"/>
                <w:szCs w:val="14"/>
                <w:color w:val="auto"/>
              </w:rPr>
            </w:pPr>
          </w:p>
        </w:tc>
        <w:tc>
          <w:tcPr>
            <w:tcW w:w="860" w:type="dxa"/>
            <w:vAlign w:val="bottom"/>
            <w:shd w:val="clear" w:color="auto" w:fill="284993"/>
          </w:tcPr>
          <w:p>
            <w:pPr>
              <w:spacing w:after="0"/>
              <w:rPr>
                <w:sz w:val="14"/>
                <w:szCs w:val="14"/>
                <w:color w:val="auto"/>
              </w:rPr>
            </w:pPr>
          </w:p>
        </w:tc>
        <w:tc>
          <w:tcPr>
            <w:tcW w:w="1420" w:type="dxa"/>
            <w:vAlign w:val="bottom"/>
            <w:vMerge w:val="restart"/>
            <w:shd w:val="clear" w:color="auto" w:fill="284993"/>
          </w:tcPr>
          <w:p>
            <w:pPr>
              <w:jc w:val="center"/>
              <w:spacing w:after="0"/>
              <w:rPr>
                <w:sz w:val="20"/>
                <w:szCs w:val="20"/>
                <w:color w:val="auto"/>
              </w:rPr>
            </w:pPr>
            <w:r>
              <w:rPr>
                <w:rFonts w:ascii="Arial" w:cs="Arial" w:eastAsia="Arial" w:hAnsi="Arial"/>
                <w:sz w:val="14"/>
                <w:szCs w:val="14"/>
                <w:b w:val="1"/>
                <w:bCs w:val="1"/>
                <w:color w:val="FFFFFF"/>
                <w:w w:val="98"/>
              </w:rPr>
              <w:t>Involuntary or For</w:t>
            </w:r>
          </w:p>
        </w:tc>
        <w:tc>
          <w:tcPr>
            <w:tcW w:w="0" w:type="dxa"/>
            <w:vAlign w:val="bottom"/>
          </w:tcPr>
          <w:p>
            <w:pPr>
              <w:spacing w:after="0"/>
              <w:rPr>
                <w:sz w:val="1"/>
                <w:szCs w:val="1"/>
                <w:color w:val="auto"/>
              </w:rPr>
            </w:pPr>
          </w:p>
        </w:tc>
      </w:tr>
      <w:tr>
        <w:trPr>
          <w:trHeight w:val="147"/>
        </w:trPr>
        <w:tc>
          <w:tcPr>
            <w:tcW w:w="220" w:type="dxa"/>
            <w:vAlign w:val="bottom"/>
            <w:shd w:val="clear" w:color="auto" w:fill="284993"/>
          </w:tcPr>
          <w:p>
            <w:pPr>
              <w:spacing w:after="0"/>
              <w:rPr>
                <w:sz w:val="12"/>
                <w:szCs w:val="12"/>
                <w:color w:val="auto"/>
              </w:rPr>
            </w:pPr>
          </w:p>
        </w:tc>
        <w:tc>
          <w:tcPr>
            <w:tcW w:w="400" w:type="dxa"/>
            <w:vAlign w:val="bottom"/>
            <w:shd w:val="clear" w:color="auto" w:fill="284993"/>
          </w:tcPr>
          <w:p>
            <w:pPr>
              <w:spacing w:after="0"/>
              <w:rPr>
                <w:sz w:val="12"/>
                <w:szCs w:val="12"/>
                <w:color w:val="auto"/>
              </w:rPr>
            </w:pPr>
          </w:p>
        </w:tc>
        <w:tc>
          <w:tcPr>
            <w:tcW w:w="40" w:type="dxa"/>
            <w:vAlign w:val="bottom"/>
            <w:shd w:val="clear" w:color="auto" w:fill="284993"/>
          </w:tcPr>
          <w:p>
            <w:pPr>
              <w:spacing w:after="0"/>
              <w:rPr>
                <w:sz w:val="12"/>
                <w:szCs w:val="12"/>
                <w:color w:val="auto"/>
              </w:rPr>
            </w:pPr>
          </w:p>
        </w:tc>
        <w:tc>
          <w:tcPr>
            <w:tcW w:w="600" w:type="dxa"/>
            <w:vAlign w:val="bottom"/>
            <w:shd w:val="clear" w:color="auto" w:fill="284993"/>
          </w:tcPr>
          <w:p>
            <w:pPr>
              <w:spacing w:after="0"/>
              <w:rPr>
                <w:sz w:val="12"/>
                <w:szCs w:val="12"/>
                <w:color w:val="auto"/>
              </w:rPr>
            </w:pPr>
          </w:p>
        </w:tc>
        <w:tc>
          <w:tcPr>
            <w:tcW w:w="60" w:type="dxa"/>
            <w:vAlign w:val="bottom"/>
            <w:tcBorders>
              <w:right w:val="single" w:sz="8" w:color="284993"/>
            </w:tcBorders>
            <w:shd w:val="clear" w:color="auto" w:fill="284993"/>
          </w:tcPr>
          <w:p>
            <w:pPr>
              <w:spacing w:after="0"/>
              <w:rPr>
                <w:sz w:val="12"/>
                <w:szCs w:val="12"/>
                <w:color w:val="auto"/>
              </w:rPr>
            </w:pPr>
          </w:p>
        </w:tc>
        <w:tc>
          <w:tcPr>
            <w:tcW w:w="60" w:type="dxa"/>
            <w:vAlign w:val="bottom"/>
            <w:shd w:val="clear" w:color="auto" w:fill="284993"/>
          </w:tcPr>
          <w:p>
            <w:pPr>
              <w:spacing w:after="0"/>
              <w:rPr>
                <w:sz w:val="12"/>
                <w:szCs w:val="12"/>
                <w:color w:val="auto"/>
              </w:rPr>
            </w:pPr>
          </w:p>
        </w:tc>
        <w:tc>
          <w:tcPr>
            <w:tcW w:w="320" w:type="dxa"/>
            <w:vAlign w:val="bottom"/>
            <w:shd w:val="clear" w:color="auto" w:fill="284993"/>
          </w:tcPr>
          <w:p>
            <w:pPr>
              <w:spacing w:after="0"/>
              <w:rPr>
                <w:sz w:val="12"/>
                <w:szCs w:val="12"/>
                <w:color w:val="auto"/>
              </w:rPr>
            </w:pPr>
          </w:p>
        </w:tc>
        <w:tc>
          <w:tcPr>
            <w:tcW w:w="80" w:type="dxa"/>
            <w:vAlign w:val="bottom"/>
            <w:shd w:val="clear" w:color="auto" w:fill="284993"/>
          </w:tcPr>
          <w:p>
            <w:pPr>
              <w:spacing w:after="0"/>
              <w:rPr>
                <w:sz w:val="12"/>
                <w:szCs w:val="12"/>
                <w:color w:val="auto"/>
              </w:rPr>
            </w:pPr>
          </w:p>
        </w:tc>
        <w:tc>
          <w:tcPr>
            <w:tcW w:w="80" w:type="dxa"/>
            <w:vAlign w:val="bottom"/>
            <w:shd w:val="clear" w:color="auto" w:fill="284993"/>
          </w:tcPr>
          <w:p>
            <w:pPr>
              <w:spacing w:after="0"/>
              <w:rPr>
                <w:sz w:val="12"/>
                <w:szCs w:val="12"/>
                <w:color w:val="auto"/>
              </w:rPr>
            </w:pPr>
          </w:p>
        </w:tc>
        <w:tc>
          <w:tcPr>
            <w:tcW w:w="140" w:type="dxa"/>
            <w:vAlign w:val="bottom"/>
            <w:shd w:val="clear" w:color="auto" w:fill="284993"/>
          </w:tcPr>
          <w:p>
            <w:pPr>
              <w:spacing w:after="0"/>
              <w:rPr>
                <w:sz w:val="12"/>
                <w:szCs w:val="12"/>
                <w:color w:val="auto"/>
              </w:rPr>
            </w:pPr>
          </w:p>
        </w:tc>
        <w:tc>
          <w:tcPr>
            <w:tcW w:w="700" w:type="dxa"/>
            <w:vAlign w:val="bottom"/>
            <w:shd w:val="clear" w:color="auto" w:fill="284993"/>
          </w:tcPr>
          <w:p>
            <w:pPr>
              <w:spacing w:after="0"/>
              <w:rPr>
                <w:sz w:val="12"/>
                <w:szCs w:val="12"/>
                <w:color w:val="auto"/>
              </w:rPr>
            </w:pPr>
          </w:p>
        </w:tc>
        <w:tc>
          <w:tcPr>
            <w:tcW w:w="900" w:type="dxa"/>
            <w:vAlign w:val="bottom"/>
            <w:shd w:val="clear" w:color="auto" w:fill="284993"/>
          </w:tcPr>
          <w:p>
            <w:pPr>
              <w:spacing w:after="0"/>
              <w:rPr>
                <w:sz w:val="12"/>
                <w:szCs w:val="12"/>
                <w:color w:val="auto"/>
              </w:rPr>
            </w:pPr>
          </w:p>
        </w:tc>
        <w:tc>
          <w:tcPr>
            <w:tcW w:w="1060" w:type="dxa"/>
            <w:vAlign w:val="bottom"/>
            <w:shd w:val="clear" w:color="auto" w:fill="284993"/>
          </w:tcPr>
          <w:p>
            <w:pPr>
              <w:spacing w:after="0"/>
              <w:rPr>
                <w:sz w:val="12"/>
                <w:szCs w:val="12"/>
                <w:color w:val="auto"/>
              </w:rPr>
            </w:pPr>
          </w:p>
        </w:tc>
        <w:tc>
          <w:tcPr>
            <w:tcW w:w="500" w:type="dxa"/>
            <w:vAlign w:val="bottom"/>
            <w:shd w:val="clear" w:color="auto" w:fill="284993"/>
          </w:tcPr>
          <w:p>
            <w:pPr>
              <w:spacing w:after="0"/>
              <w:rPr>
                <w:sz w:val="12"/>
                <w:szCs w:val="12"/>
                <w:color w:val="auto"/>
              </w:rPr>
            </w:pPr>
          </w:p>
        </w:tc>
        <w:tc>
          <w:tcPr>
            <w:tcW w:w="1000" w:type="dxa"/>
            <w:vAlign w:val="bottom"/>
            <w:shd w:val="clear" w:color="auto" w:fill="284993"/>
          </w:tcPr>
          <w:p>
            <w:pPr>
              <w:spacing w:after="0"/>
              <w:rPr>
                <w:sz w:val="12"/>
                <w:szCs w:val="12"/>
                <w:color w:val="auto"/>
              </w:rPr>
            </w:pPr>
          </w:p>
        </w:tc>
        <w:tc>
          <w:tcPr>
            <w:tcW w:w="900" w:type="dxa"/>
            <w:vAlign w:val="bottom"/>
            <w:shd w:val="clear" w:color="auto" w:fill="284993"/>
          </w:tcPr>
          <w:p>
            <w:pPr>
              <w:spacing w:after="0"/>
              <w:rPr>
                <w:sz w:val="12"/>
                <w:szCs w:val="12"/>
                <w:color w:val="auto"/>
              </w:rPr>
            </w:pPr>
          </w:p>
        </w:tc>
        <w:tc>
          <w:tcPr>
            <w:tcW w:w="860" w:type="dxa"/>
            <w:vAlign w:val="bottom"/>
            <w:shd w:val="clear" w:color="auto" w:fill="284993"/>
          </w:tcPr>
          <w:p>
            <w:pPr>
              <w:spacing w:after="0"/>
              <w:rPr>
                <w:sz w:val="12"/>
                <w:szCs w:val="12"/>
                <w:color w:val="auto"/>
              </w:rPr>
            </w:pPr>
          </w:p>
        </w:tc>
        <w:tc>
          <w:tcPr>
            <w:tcW w:w="1420" w:type="dxa"/>
            <w:vAlign w:val="bottom"/>
            <w:vMerge w:val="continue"/>
            <w:shd w:val="clear" w:color="auto" w:fill="284993"/>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0" w:type="dxa"/>
            <w:vAlign w:val="bottom"/>
            <w:shd w:val="clear" w:color="auto" w:fill="284993"/>
          </w:tcPr>
          <w:p>
            <w:pPr>
              <w:spacing w:after="0"/>
              <w:rPr>
                <w:sz w:val="13"/>
                <w:szCs w:val="13"/>
                <w:color w:val="auto"/>
              </w:rPr>
            </w:pPr>
          </w:p>
        </w:tc>
        <w:tc>
          <w:tcPr>
            <w:tcW w:w="400" w:type="dxa"/>
            <w:vAlign w:val="bottom"/>
            <w:shd w:val="clear" w:color="auto" w:fill="284993"/>
          </w:tcPr>
          <w:p>
            <w:pPr>
              <w:spacing w:after="0"/>
              <w:rPr>
                <w:sz w:val="13"/>
                <w:szCs w:val="13"/>
                <w:color w:val="auto"/>
              </w:rPr>
            </w:pPr>
          </w:p>
        </w:tc>
        <w:tc>
          <w:tcPr>
            <w:tcW w:w="40" w:type="dxa"/>
            <w:vAlign w:val="bottom"/>
            <w:shd w:val="clear" w:color="auto" w:fill="284993"/>
          </w:tcPr>
          <w:p>
            <w:pPr>
              <w:spacing w:after="0"/>
              <w:rPr>
                <w:sz w:val="13"/>
                <w:szCs w:val="13"/>
                <w:color w:val="auto"/>
              </w:rPr>
            </w:pPr>
          </w:p>
        </w:tc>
        <w:tc>
          <w:tcPr>
            <w:tcW w:w="600" w:type="dxa"/>
            <w:vAlign w:val="bottom"/>
            <w:shd w:val="clear" w:color="auto" w:fill="284993"/>
          </w:tcPr>
          <w:p>
            <w:pPr>
              <w:spacing w:after="0"/>
              <w:rPr>
                <w:sz w:val="13"/>
                <w:szCs w:val="13"/>
                <w:color w:val="auto"/>
              </w:rPr>
            </w:pPr>
          </w:p>
        </w:tc>
        <w:tc>
          <w:tcPr>
            <w:tcW w:w="60" w:type="dxa"/>
            <w:vAlign w:val="bottom"/>
            <w:tcBorders>
              <w:right w:val="single" w:sz="8" w:color="284993"/>
            </w:tcBorders>
            <w:shd w:val="clear" w:color="auto" w:fill="284993"/>
          </w:tcPr>
          <w:p>
            <w:pPr>
              <w:spacing w:after="0"/>
              <w:rPr>
                <w:sz w:val="13"/>
                <w:szCs w:val="13"/>
                <w:color w:val="auto"/>
              </w:rPr>
            </w:pPr>
          </w:p>
        </w:tc>
        <w:tc>
          <w:tcPr>
            <w:tcW w:w="60" w:type="dxa"/>
            <w:vAlign w:val="bottom"/>
            <w:shd w:val="clear" w:color="auto" w:fill="284993"/>
          </w:tcPr>
          <w:p>
            <w:pPr>
              <w:spacing w:after="0"/>
              <w:rPr>
                <w:sz w:val="13"/>
                <w:szCs w:val="13"/>
                <w:color w:val="auto"/>
              </w:rPr>
            </w:pPr>
          </w:p>
        </w:tc>
        <w:tc>
          <w:tcPr>
            <w:tcW w:w="320" w:type="dxa"/>
            <w:vAlign w:val="bottom"/>
            <w:shd w:val="clear" w:color="auto" w:fill="284993"/>
          </w:tcPr>
          <w:p>
            <w:pPr>
              <w:spacing w:after="0"/>
              <w:rPr>
                <w:sz w:val="13"/>
                <w:szCs w:val="13"/>
                <w:color w:val="auto"/>
              </w:rPr>
            </w:pPr>
          </w:p>
        </w:tc>
        <w:tc>
          <w:tcPr>
            <w:tcW w:w="80" w:type="dxa"/>
            <w:vAlign w:val="bottom"/>
            <w:shd w:val="clear" w:color="auto" w:fill="284993"/>
          </w:tcPr>
          <w:p>
            <w:pPr>
              <w:spacing w:after="0"/>
              <w:rPr>
                <w:sz w:val="13"/>
                <w:szCs w:val="13"/>
                <w:color w:val="auto"/>
              </w:rPr>
            </w:pPr>
          </w:p>
        </w:tc>
        <w:tc>
          <w:tcPr>
            <w:tcW w:w="80" w:type="dxa"/>
            <w:vAlign w:val="bottom"/>
            <w:shd w:val="clear" w:color="auto" w:fill="284993"/>
          </w:tcPr>
          <w:p>
            <w:pPr>
              <w:spacing w:after="0"/>
              <w:rPr>
                <w:sz w:val="13"/>
                <w:szCs w:val="13"/>
                <w:color w:val="auto"/>
              </w:rPr>
            </w:pPr>
          </w:p>
        </w:tc>
        <w:tc>
          <w:tcPr>
            <w:tcW w:w="140" w:type="dxa"/>
            <w:vAlign w:val="bottom"/>
            <w:shd w:val="clear" w:color="auto" w:fill="284993"/>
          </w:tcPr>
          <w:p>
            <w:pPr>
              <w:spacing w:after="0"/>
              <w:rPr>
                <w:sz w:val="13"/>
                <w:szCs w:val="13"/>
                <w:color w:val="auto"/>
              </w:rPr>
            </w:pPr>
          </w:p>
        </w:tc>
        <w:tc>
          <w:tcPr>
            <w:tcW w:w="700" w:type="dxa"/>
            <w:vAlign w:val="bottom"/>
            <w:shd w:val="clear" w:color="auto" w:fill="284993"/>
          </w:tcPr>
          <w:p>
            <w:pPr>
              <w:spacing w:after="0"/>
              <w:rPr>
                <w:sz w:val="13"/>
                <w:szCs w:val="13"/>
                <w:color w:val="auto"/>
              </w:rPr>
            </w:pPr>
          </w:p>
        </w:tc>
        <w:tc>
          <w:tcPr>
            <w:tcW w:w="900" w:type="dxa"/>
            <w:vAlign w:val="bottom"/>
            <w:shd w:val="clear" w:color="auto" w:fill="284993"/>
          </w:tcPr>
          <w:p>
            <w:pPr>
              <w:jc w:val="center"/>
              <w:spacing w:after="0" w:line="156" w:lineRule="exact"/>
              <w:rPr>
                <w:sz w:val="20"/>
                <w:szCs w:val="20"/>
                <w:color w:val="auto"/>
              </w:rPr>
            </w:pPr>
            <w:r>
              <w:rPr>
                <w:rFonts w:ascii="Arial" w:cs="Arial" w:eastAsia="Arial" w:hAnsi="Arial"/>
                <w:sz w:val="14"/>
                <w:szCs w:val="14"/>
                <w:b w:val="1"/>
                <w:bCs w:val="1"/>
                <w:color w:val="FFFFFF"/>
                <w:w w:val="98"/>
              </w:rPr>
              <w:t>For Good</w:t>
            </w:r>
          </w:p>
        </w:tc>
        <w:tc>
          <w:tcPr>
            <w:tcW w:w="1060" w:type="dxa"/>
            <w:vAlign w:val="bottom"/>
            <w:shd w:val="clear" w:color="auto" w:fill="284993"/>
          </w:tcPr>
          <w:p>
            <w:pPr>
              <w:jc w:val="right"/>
              <w:ind w:right="91"/>
              <w:spacing w:after="0" w:line="156" w:lineRule="exact"/>
              <w:rPr>
                <w:sz w:val="20"/>
                <w:szCs w:val="20"/>
                <w:color w:val="auto"/>
              </w:rPr>
            </w:pPr>
            <w:r>
              <w:rPr>
                <w:rFonts w:ascii="Arial" w:cs="Arial" w:eastAsia="Arial" w:hAnsi="Arial"/>
                <w:sz w:val="14"/>
                <w:szCs w:val="14"/>
                <w:b w:val="1"/>
                <w:bCs w:val="1"/>
                <w:color w:val="FFFFFF"/>
              </w:rPr>
              <w:t>Other Than</w:t>
            </w:r>
          </w:p>
        </w:tc>
        <w:tc>
          <w:tcPr>
            <w:tcW w:w="500" w:type="dxa"/>
            <w:vAlign w:val="bottom"/>
            <w:shd w:val="clear" w:color="auto" w:fill="284993"/>
          </w:tcPr>
          <w:p>
            <w:pPr>
              <w:jc w:val="right"/>
              <w:ind w:right="31"/>
              <w:spacing w:after="0" w:line="156" w:lineRule="exact"/>
              <w:rPr>
                <w:sz w:val="20"/>
                <w:szCs w:val="20"/>
                <w:color w:val="auto"/>
              </w:rPr>
            </w:pPr>
            <w:r>
              <w:rPr>
                <w:rFonts w:ascii="Arial" w:cs="Arial" w:eastAsia="Arial" w:hAnsi="Arial"/>
                <w:sz w:val="14"/>
                <w:szCs w:val="14"/>
                <w:b w:val="1"/>
                <w:bCs w:val="1"/>
                <w:color w:val="FFFFFF"/>
              </w:rPr>
              <w:t>For</w:t>
            </w:r>
          </w:p>
        </w:tc>
        <w:tc>
          <w:tcPr>
            <w:tcW w:w="1000" w:type="dxa"/>
            <w:vAlign w:val="bottom"/>
            <w:shd w:val="clear" w:color="auto" w:fill="284993"/>
          </w:tcPr>
          <w:p>
            <w:pPr>
              <w:jc w:val="center"/>
              <w:spacing w:after="0" w:line="156" w:lineRule="exact"/>
              <w:rPr>
                <w:sz w:val="20"/>
                <w:szCs w:val="20"/>
                <w:color w:val="auto"/>
              </w:rPr>
            </w:pPr>
            <w:r>
              <w:rPr>
                <w:rFonts w:ascii="Arial" w:cs="Arial" w:eastAsia="Arial" w:hAnsi="Arial"/>
                <w:sz w:val="14"/>
                <w:szCs w:val="14"/>
                <w:b w:val="1"/>
                <w:bCs w:val="1"/>
                <w:color w:val="FFFFFF"/>
                <w:w w:val="99"/>
              </w:rPr>
              <w:t>Without</w:t>
            </w:r>
          </w:p>
        </w:tc>
        <w:tc>
          <w:tcPr>
            <w:tcW w:w="900" w:type="dxa"/>
            <w:vAlign w:val="bottom"/>
            <w:shd w:val="clear" w:color="auto" w:fill="284993"/>
          </w:tcPr>
          <w:p>
            <w:pPr>
              <w:spacing w:after="0"/>
              <w:rPr>
                <w:sz w:val="13"/>
                <w:szCs w:val="13"/>
                <w:color w:val="auto"/>
              </w:rPr>
            </w:pPr>
          </w:p>
        </w:tc>
        <w:tc>
          <w:tcPr>
            <w:tcW w:w="860" w:type="dxa"/>
            <w:vAlign w:val="bottom"/>
            <w:shd w:val="clear" w:color="auto" w:fill="284993"/>
          </w:tcPr>
          <w:p>
            <w:pPr>
              <w:spacing w:after="0"/>
              <w:rPr>
                <w:sz w:val="13"/>
                <w:szCs w:val="13"/>
                <w:color w:val="auto"/>
              </w:rPr>
            </w:pPr>
          </w:p>
        </w:tc>
        <w:tc>
          <w:tcPr>
            <w:tcW w:w="1420" w:type="dxa"/>
            <w:vAlign w:val="bottom"/>
            <w:shd w:val="clear" w:color="auto" w:fill="284993"/>
          </w:tcPr>
          <w:p>
            <w:pPr>
              <w:jc w:val="center"/>
              <w:spacing w:after="0" w:line="156" w:lineRule="exact"/>
              <w:rPr>
                <w:sz w:val="20"/>
                <w:szCs w:val="20"/>
                <w:color w:val="auto"/>
              </w:rPr>
            </w:pPr>
            <w:r>
              <w:rPr>
                <w:rFonts w:ascii="Arial" w:cs="Arial" w:eastAsia="Arial" w:hAnsi="Arial"/>
                <w:sz w:val="14"/>
                <w:szCs w:val="14"/>
                <w:b w:val="1"/>
                <w:bCs w:val="1"/>
                <w:color w:val="FFFFFF"/>
                <w:w w:val="98"/>
              </w:rPr>
              <w:t>Good Reason After</w:t>
            </w:r>
          </w:p>
        </w:tc>
        <w:tc>
          <w:tcPr>
            <w:tcW w:w="0" w:type="dxa"/>
            <w:vAlign w:val="bottom"/>
          </w:tcPr>
          <w:p>
            <w:pPr>
              <w:spacing w:after="0"/>
              <w:rPr>
                <w:sz w:val="1"/>
                <w:szCs w:val="1"/>
                <w:color w:val="auto"/>
              </w:rPr>
            </w:pPr>
          </w:p>
        </w:tc>
      </w:tr>
      <w:tr>
        <w:trPr>
          <w:trHeight w:val="156"/>
        </w:trPr>
        <w:tc>
          <w:tcPr>
            <w:tcW w:w="220" w:type="dxa"/>
            <w:vAlign w:val="bottom"/>
            <w:shd w:val="clear" w:color="auto" w:fill="284993"/>
          </w:tcPr>
          <w:p>
            <w:pPr>
              <w:spacing w:after="0"/>
              <w:rPr>
                <w:sz w:val="13"/>
                <w:szCs w:val="13"/>
                <w:color w:val="auto"/>
              </w:rPr>
            </w:pPr>
          </w:p>
        </w:tc>
        <w:tc>
          <w:tcPr>
            <w:tcW w:w="400" w:type="dxa"/>
            <w:vAlign w:val="bottom"/>
            <w:shd w:val="clear" w:color="auto" w:fill="284993"/>
          </w:tcPr>
          <w:p>
            <w:pPr>
              <w:spacing w:after="0"/>
              <w:rPr>
                <w:sz w:val="13"/>
                <w:szCs w:val="13"/>
                <w:color w:val="auto"/>
              </w:rPr>
            </w:pPr>
          </w:p>
        </w:tc>
        <w:tc>
          <w:tcPr>
            <w:tcW w:w="40" w:type="dxa"/>
            <w:vAlign w:val="bottom"/>
            <w:shd w:val="clear" w:color="auto" w:fill="284993"/>
          </w:tcPr>
          <w:p>
            <w:pPr>
              <w:spacing w:after="0"/>
              <w:rPr>
                <w:sz w:val="13"/>
                <w:szCs w:val="13"/>
                <w:color w:val="auto"/>
              </w:rPr>
            </w:pPr>
          </w:p>
        </w:tc>
        <w:tc>
          <w:tcPr>
            <w:tcW w:w="600" w:type="dxa"/>
            <w:vAlign w:val="bottom"/>
            <w:shd w:val="clear" w:color="auto" w:fill="284993"/>
          </w:tcPr>
          <w:p>
            <w:pPr>
              <w:spacing w:after="0"/>
              <w:rPr>
                <w:sz w:val="13"/>
                <w:szCs w:val="13"/>
                <w:color w:val="auto"/>
              </w:rPr>
            </w:pPr>
          </w:p>
        </w:tc>
        <w:tc>
          <w:tcPr>
            <w:tcW w:w="60" w:type="dxa"/>
            <w:vAlign w:val="bottom"/>
            <w:tcBorders>
              <w:right w:val="single" w:sz="8" w:color="284993"/>
            </w:tcBorders>
            <w:shd w:val="clear" w:color="auto" w:fill="284993"/>
          </w:tcPr>
          <w:p>
            <w:pPr>
              <w:spacing w:after="0"/>
              <w:rPr>
                <w:sz w:val="13"/>
                <w:szCs w:val="13"/>
                <w:color w:val="auto"/>
              </w:rPr>
            </w:pPr>
          </w:p>
        </w:tc>
        <w:tc>
          <w:tcPr>
            <w:tcW w:w="60" w:type="dxa"/>
            <w:vAlign w:val="bottom"/>
            <w:shd w:val="clear" w:color="auto" w:fill="284993"/>
          </w:tcPr>
          <w:p>
            <w:pPr>
              <w:spacing w:after="0"/>
              <w:rPr>
                <w:sz w:val="13"/>
                <w:szCs w:val="13"/>
                <w:color w:val="auto"/>
              </w:rPr>
            </w:pPr>
          </w:p>
        </w:tc>
        <w:tc>
          <w:tcPr>
            <w:tcW w:w="320" w:type="dxa"/>
            <w:vAlign w:val="bottom"/>
            <w:shd w:val="clear" w:color="auto" w:fill="284993"/>
          </w:tcPr>
          <w:p>
            <w:pPr>
              <w:spacing w:after="0"/>
              <w:rPr>
                <w:sz w:val="13"/>
                <w:szCs w:val="13"/>
                <w:color w:val="auto"/>
              </w:rPr>
            </w:pPr>
          </w:p>
        </w:tc>
        <w:tc>
          <w:tcPr>
            <w:tcW w:w="80" w:type="dxa"/>
            <w:vAlign w:val="bottom"/>
            <w:shd w:val="clear" w:color="auto" w:fill="284993"/>
          </w:tcPr>
          <w:p>
            <w:pPr>
              <w:spacing w:after="0"/>
              <w:rPr>
                <w:sz w:val="13"/>
                <w:szCs w:val="13"/>
                <w:color w:val="auto"/>
              </w:rPr>
            </w:pPr>
          </w:p>
        </w:tc>
        <w:tc>
          <w:tcPr>
            <w:tcW w:w="80" w:type="dxa"/>
            <w:vAlign w:val="bottom"/>
            <w:shd w:val="clear" w:color="auto" w:fill="284993"/>
          </w:tcPr>
          <w:p>
            <w:pPr>
              <w:spacing w:after="0"/>
              <w:rPr>
                <w:sz w:val="13"/>
                <w:szCs w:val="13"/>
                <w:color w:val="auto"/>
              </w:rPr>
            </w:pPr>
          </w:p>
        </w:tc>
        <w:tc>
          <w:tcPr>
            <w:tcW w:w="140" w:type="dxa"/>
            <w:vAlign w:val="bottom"/>
            <w:shd w:val="clear" w:color="auto" w:fill="284993"/>
          </w:tcPr>
          <w:p>
            <w:pPr>
              <w:spacing w:after="0"/>
              <w:rPr>
                <w:sz w:val="13"/>
                <w:szCs w:val="13"/>
                <w:color w:val="auto"/>
              </w:rPr>
            </w:pPr>
          </w:p>
        </w:tc>
        <w:tc>
          <w:tcPr>
            <w:tcW w:w="700" w:type="dxa"/>
            <w:vAlign w:val="bottom"/>
            <w:shd w:val="clear" w:color="auto" w:fill="284993"/>
          </w:tcPr>
          <w:p>
            <w:pPr>
              <w:spacing w:after="0"/>
              <w:rPr>
                <w:sz w:val="13"/>
                <w:szCs w:val="13"/>
                <w:color w:val="auto"/>
              </w:rPr>
            </w:pPr>
          </w:p>
        </w:tc>
        <w:tc>
          <w:tcPr>
            <w:tcW w:w="900" w:type="dxa"/>
            <w:vAlign w:val="bottom"/>
            <w:shd w:val="clear" w:color="auto" w:fill="284993"/>
          </w:tcPr>
          <w:p>
            <w:pPr>
              <w:jc w:val="center"/>
              <w:spacing w:after="0" w:line="156" w:lineRule="exact"/>
              <w:rPr>
                <w:sz w:val="20"/>
                <w:szCs w:val="20"/>
                <w:color w:val="auto"/>
              </w:rPr>
            </w:pPr>
            <w:r>
              <w:rPr>
                <w:rFonts w:ascii="Arial" w:cs="Arial" w:eastAsia="Arial" w:hAnsi="Arial"/>
                <w:sz w:val="14"/>
                <w:szCs w:val="14"/>
                <w:b w:val="1"/>
                <w:bCs w:val="1"/>
                <w:color w:val="FFFFFF"/>
                <w:w w:val="98"/>
              </w:rPr>
              <w:t>Reason</w:t>
            </w:r>
          </w:p>
        </w:tc>
        <w:tc>
          <w:tcPr>
            <w:tcW w:w="1060" w:type="dxa"/>
            <w:vAlign w:val="bottom"/>
            <w:shd w:val="clear" w:color="auto" w:fill="284993"/>
          </w:tcPr>
          <w:p>
            <w:pPr>
              <w:jc w:val="right"/>
              <w:ind w:right="11"/>
              <w:spacing w:after="0" w:line="156" w:lineRule="exact"/>
              <w:rPr>
                <w:sz w:val="20"/>
                <w:szCs w:val="20"/>
                <w:color w:val="auto"/>
              </w:rPr>
            </w:pPr>
            <w:r>
              <w:rPr>
                <w:rFonts w:ascii="Arial" w:cs="Arial" w:eastAsia="Arial" w:hAnsi="Arial"/>
                <w:sz w:val="14"/>
                <w:szCs w:val="14"/>
                <w:b w:val="1"/>
                <w:bCs w:val="1"/>
                <w:color w:val="FFFFFF"/>
              </w:rPr>
              <w:t>Good Reason</w:t>
            </w:r>
          </w:p>
        </w:tc>
        <w:tc>
          <w:tcPr>
            <w:tcW w:w="500" w:type="dxa"/>
            <w:vAlign w:val="bottom"/>
            <w:shd w:val="clear" w:color="auto" w:fill="284993"/>
          </w:tcPr>
          <w:p>
            <w:pPr>
              <w:jc w:val="right"/>
              <w:spacing w:after="0" w:line="156" w:lineRule="exact"/>
              <w:rPr>
                <w:sz w:val="20"/>
                <w:szCs w:val="20"/>
                <w:color w:val="auto"/>
              </w:rPr>
            </w:pPr>
            <w:r>
              <w:rPr>
                <w:rFonts w:ascii="Arial" w:cs="Arial" w:eastAsia="Arial" w:hAnsi="Arial"/>
                <w:sz w:val="14"/>
                <w:szCs w:val="14"/>
                <w:b w:val="1"/>
                <w:bCs w:val="1"/>
                <w:color w:val="FFFFFF"/>
              </w:rPr>
              <w:t>Cause</w:t>
            </w:r>
          </w:p>
        </w:tc>
        <w:tc>
          <w:tcPr>
            <w:tcW w:w="1000" w:type="dxa"/>
            <w:vAlign w:val="bottom"/>
            <w:shd w:val="clear" w:color="auto" w:fill="284993"/>
          </w:tcPr>
          <w:p>
            <w:pPr>
              <w:jc w:val="center"/>
              <w:spacing w:after="0" w:line="156" w:lineRule="exact"/>
              <w:rPr>
                <w:sz w:val="20"/>
                <w:szCs w:val="20"/>
                <w:color w:val="auto"/>
              </w:rPr>
            </w:pPr>
            <w:r>
              <w:rPr>
                <w:rFonts w:ascii="Arial" w:cs="Arial" w:eastAsia="Arial" w:hAnsi="Arial"/>
                <w:sz w:val="14"/>
                <w:szCs w:val="14"/>
                <w:b w:val="1"/>
                <w:bCs w:val="1"/>
                <w:color w:val="FFFFFF"/>
                <w:w w:val="99"/>
              </w:rPr>
              <w:t>Cause</w:t>
            </w:r>
          </w:p>
        </w:tc>
        <w:tc>
          <w:tcPr>
            <w:tcW w:w="900" w:type="dxa"/>
            <w:vAlign w:val="bottom"/>
            <w:shd w:val="clear" w:color="auto" w:fill="284993"/>
          </w:tcPr>
          <w:p>
            <w:pPr>
              <w:jc w:val="right"/>
              <w:ind w:right="211"/>
              <w:spacing w:after="0" w:line="156" w:lineRule="exact"/>
              <w:rPr>
                <w:sz w:val="20"/>
                <w:szCs w:val="20"/>
                <w:color w:val="auto"/>
              </w:rPr>
            </w:pPr>
            <w:r>
              <w:rPr>
                <w:rFonts w:ascii="Arial" w:cs="Arial" w:eastAsia="Arial" w:hAnsi="Arial"/>
                <w:sz w:val="14"/>
                <w:szCs w:val="14"/>
                <w:b w:val="1"/>
                <w:bCs w:val="1"/>
                <w:color w:val="FFFFFF"/>
              </w:rPr>
              <w:t>Death</w:t>
            </w:r>
          </w:p>
        </w:tc>
        <w:tc>
          <w:tcPr>
            <w:tcW w:w="860" w:type="dxa"/>
            <w:vAlign w:val="bottom"/>
            <w:shd w:val="clear" w:color="auto" w:fill="284993"/>
          </w:tcPr>
          <w:p>
            <w:pPr>
              <w:jc w:val="right"/>
              <w:ind w:right="71"/>
              <w:spacing w:after="0" w:line="156" w:lineRule="exact"/>
              <w:rPr>
                <w:sz w:val="20"/>
                <w:szCs w:val="20"/>
                <w:color w:val="auto"/>
              </w:rPr>
            </w:pPr>
            <w:r>
              <w:rPr>
                <w:rFonts w:ascii="Arial" w:cs="Arial" w:eastAsia="Arial" w:hAnsi="Arial"/>
                <w:sz w:val="14"/>
                <w:szCs w:val="14"/>
                <w:b w:val="1"/>
                <w:bCs w:val="1"/>
                <w:color w:val="FFFFFF"/>
              </w:rPr>
              <w:t>Disability</w:t>
            </w:r>
          </w:p>
        </w:tc>
        <w:tc>
          <w:tcPr>
            <w:tcW w:w="1420" w:type="dxa"/>
            <w:vAlign w:val="bottom"/>
            <w:shd w:val="clear" w:color="auto" w:fill="284993"/>
          </w:tcPr>
          <w:p>
            <w:pPr>
              <w:jc w:val="center"/>
              <w:spacing w:after="0" w:line="156" w:lineRule="exact"/>
              <w:rPr>
                <w:sz w:val="20"/>
                <w:szCs w:val="20"/>
                <w:color w:val="auto"/>
              </w:rPr>
            </w:pPr>
            <w:r>
              <w:rPr>
                <w:rFonts w:ascii="Arial" w:cs="Arial" w:eastAsia="Arial" w:hAnsi="Arial"/>
                <w:sz w:val="14"/>
                <w:szCs w:val="14"/>
                <w:b w:val="1"/>
                <w:bCs w:val="1"/>
                <w:color w:val="FFFFFF"/>
                <w:w w:val="98"/>
              </w:rPr>
              <w:t>Change in Control</w:t>
            </w:r>
          </w:p>
        </w:tc>
        <w:tc>
          <w:tcPr>
            <w:tcW w:w="0" w:type="dxa"/>
            <w:vAlign w:val="bottom"/>
          </w:tcPr>
          <w:p>
            <w:pPr>
              <w:spacing w:after="0"/>
              <w:rPr>
                <w:sz w:val="1"/>
                <w:szCs w:val="1"/>
                <w:color w:val="auto"/>
              </w:rPr>
            </w:pPr>
          </w:p>
        </w:tc>
      </w:tr>
      <w:tr>
        <w:trPr>
          <w:trHeight w:val="165"/>
        </w:trPr>
        <w:tc>
          <w:tcPr>
            <w:tcW w:w="2700" w:type="dxa"/>
            <w:vAlign w:val="bottom"/>
            <w:gridSpan w:val="11"/>
            <w:shd w:val="clear" w:color="auto" w:fill="284993"/>
          </w:tcPr>
          <w:p>
            <w:pPr>
              <w:jc w:val="right"/>
              <w:ind w:right="960"/>
              <w:spacing w:after="0"/>
              <w:rPr>
                <w:sz w:val="20"/>
                <w:szCs w:val="20"/>
                <w:color w:val="auto"/>
              </w:rPr>
            </w:pPr>
            <w:r>
              <w:rPr>
                <w:rFonts w:ascii="Arial" w:cs="Arial" w:eastAsia="Arial" w:hAnsi="Arial"/>
                <w:sz w:val="14"/>
                <w:szCs w:val="14"/>
                <w:b w:val="1"/>
                <w:bCs w:val="1"/>
                <w:color w:val="FFFFFF"/>
              </w:rPr>
              <w:t>Compensation Program</w:t>
            </w:r>
          </w:p>
        </w:tc>
        <w:tc>
          <w:tcPr>
            <w:tcW w:w="90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rPr>
              <w:t>($)</w:t>
            </w:r>
          </w:p>
        </w:tc>
        <w:tc>
          <w:tcPr>
            <w:tcW w:w="1060" w:type="dxa"/>
            <w:vAlign w:val="bottom"/>
            <w:shd w:val="clear" w:color="auto" w:fill="284993"/>
          </w:tcPr>
          <w:p>
            <w:pPr>
              <w:jc w:val="right"/>
              <w:ind w:right="371"/>
              <w:spacing w:after="0"/>
              <w:rPr>
                <w:sz w:val="20"/>
                <w:szCs w:val="20"/>
                <w:color w:val="auto"/>
              </w:rPr>
            </w:pPr>
            <w:r>
              <w:rPr>
                <w:rFonts w:ascii="Arial" w:cs="Arial" w:eastAsia="Arial" w:hAnsi="Arial"/>
                <w:sz w:val="14"/>
                <w:szCs w:val="14"/>
                <w:b w:val="1"/>
                <w:bCs w:val="1"/>
                <w:color w:val="FFFFFF"/>
              </w:rPr>
              <w:t>($)</w:t>
            </w:r>
          </w:p>
        </w:tc>
        <w:tc>
          <w:tcPr>
            <w:tcW w:w="500" w:type="dxa"/>
            <w:vAlign w:val="bottom"/>
            <w:shd w:val="clear" w:color="auto" w:fill="284993"/>
          </w:tcPr>
          <w:p>
            <w:pPr>
              <w:jc w:val="right"/>
              <w:ind w:right="51"/>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w w:val="93"/>
              </w:rPr>
              <w:t>($)</w:t>
            </w:r>
          </w:p>
        </w:tc>
        <w:tc>
          <w:tcPr>
            <w:tcW w:w="900" w:type="dxa"/>
            <w:vAlign w:val="bottom"/>
            <w:shd w:val="clear" w:color="auto" w:fill="284993"/>
          </w:tcPr>
          <w:p>
            <w:pPr>
              <w:jc w:val="right"/>
              <w:ind w:right="331"/>
              <w:spacing w:after="0"/>
              <w:rPr>
                <w:sz w:val="20"/>
                <w:szCs w:val="20"/>
                <w:color w:val="auto"/>
              </w:rPr>
            </w:pPr>
            <w:r>
              <w:rPr>
                <w:rFonts w:ascii="Arial" w:cs="Arial" w:eastAsia="Arial" w:hAnsi="Arial"/>
                <w:sz w:val="14"/>
                <w:szCs w:val="14"/>
                <w:b w:val="1"/>
                <w:bCs w:val="1"/>
                <w:color w:val="FFFFFF"/>
              </w:rPr>
              <w:t>($)</w:t>
            </w:r>
          </w:p>
        </w:tc>
        <w:tc>
          <w:tcPr>
            <w:tcW w:w="860" w:type="dxa"/>
            <w:vAlign w:val="bottom"/>
            <w:shd w:val="clear" w:color="auto" w:fill="284993"/>
          </w:tcPr>
          <w:p>
            <w:pPr>
              <w:jc w:val="right"/>
              <w:ind w:right="291"/>
              <w:spacing w:after="0"/>
              <w:rPr>
                <w:sz w:val="20"/>
                <w:szCs w:val="20"/>
                <w:color w:val="auto"/>
              </w:rPr>
            </w:pPr>
            <w:r>
              <w:rPr>
                <w:rFonts w:ascii="Arial" w:cs="Arial" w:eastAsia="Arial" w:hAnsi="Arial"/>
                <w:sz w:val="14"/>
                <w:szCs w:val="14"/>
                <w:b w:val="1"/>
                <w:bCs w:val="1"/>
                <w:color w:val="FFFFFF"/>
              </w:rPr>
              <w:t>($)</w:t>
            </w:r>
          </w:p>
        </w:tc>
        <w:tc>
          <w:tcPr>
            <w:tcW w:w="142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43"/>
        </w:trPr>
        <w:tc>
          <w:tcPr>
            <w:tcW w:w="220" w:type="dxa"/>
            <w:vAlign w:val="bottom"/>
          </w:tcPr>
          <w:p>
            <w:pPr>
              <w:spacing w:after="0"/>
              <w:rPr>
                <w:sz w:val="12"/>
                <w:szCs w:val="12"/>
                <w:color w:val="auto"/>
              </w:rPr>
            </w:pPr>
          </w:p>
        </w:tc>
        <w:tc>
          <w:tcPr>
            <w:tcW w:w="2480" w:type="dxa"/>
            <w:vAlign w:val="bottom"/>
            <w:gridSpan w:val="10"/>
          </w:tcPr>
          <w:p>
            <w:pPr>
              <w:spacing w:after="0" w:line="143" w:lineRule="exact"/>
              <w:rPr>
                <w:sz w:val="20"/>
                <w:szCs w:val="20"/>
                <w:color w:val="auto"/>
              </w:rPr>
            </w:pPr>
            <w:r>
              <w:rPr>
                <w:rFonts w:ascii="Arial" w:cs="Arial" w:eastAsia="Arial" w:hAnsi="Arial"/>
                <w:sz w:val="14"/>
                <w:szCs w:val="14"/>
                <w:b w:val="1"/>
                <w:bCs w:val="1"/>
                <w:color w:val="auto"/>
              </w:rPr>
              <w:t>Cash Severance:</w:t>
            </w:r>
          </w:p>
        </w:tc>
        <w:tc>
          <w:tcPr>
            <w:tcW w:w="900" w:type="dxa"/>
            <w:vAlign w:val="bottom"/>
            <w:vMerge w:val="restart"/>
          </w:tcPr>
          <w:p>
            <w:pPr>
              <w:jc w:val="right"/>
              <w:ind w:right="11"/>
              <w:spacing w:after="0"/>
              <w:rPr>
                <w:sz w:val="20"/>
                <w:szCs w:val="20"/>
                <w:color w:val="auto"/>
              </w:rPr>
            </w:pPr>
            <w:r>
              <w:rPr>
                <w:rFonts w:ascii="Arial" w:cs="Arial" w:eastAsia="Arial" w:hAnsi="Arial"/>
                <w:sz w:val="14"/>
                <w:szCs w:val="14"/>
                <w:color w:val="auto"/>
              </w:rPr>
              <w:t>$2,250,000</w:t>
            </w:r>
          </w:p>
        </w:tc>
        <w:tc>
          <w:tcPr>
            <w:tcW w:w="1060" w:type="dxa"/>
            <w:vAlign w:val="bottom"/>
            <w:vMerge w:val="restart"/>
          </w:tcPr>
          <w:p>
            <w:pPr>
              <w:jc w:val="right"/>
              <w:ind w:right="11"/>
              <w:spacing w:after="0"/>
              <w:rPr>
                <w:sz w:val="20"/>
                <w:szCs w:val="20"/>
                <w:color w:val="auto"/>
              </w:rPr>
            </w:pPr>
            <w:r>
              <w:rPr>
                <w:rFonts w:ascii="Arial" w:cs="Arial" w:eastAsia="Arial" w:hAnsi="Arial"/>
                <w:sz w:val="14"/>
                <w:szCs w:val="14"/>
                <w:color w:val="auto"/>
              </w:rPr>
              <w:t>$0</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000" w:type="dxa"/>
            <w:vAlign w:val="bottom"/>
            <w:vMerge w:val="restart"/>
          </w:tcPr>
          <w:p>
            <w:pPr>
              <w:jc w:val="right"/>
              <w:ind w:right="31"/>
              <w:spacing w:after="0"/>
              <w:rPr>
                <w:sz w:val="20"/>
                <w:szCs w:val="20"/>
                <w:color w:val="auto"/>
              </w:rPr>
            </w:pPr>
            <w:r>
              <w:rPr>
                <w:rFonts w:ascii="Arial" w:cs="Arial" w:eastAsia="Arial" w:hAnsi="Arial"/>
                <w:sz w:val="14"/>
                <w:szCs w:val="14"/>
                <w:color w:val="auto"/>
              </w:rPr>
              <w:t>$2,250,000</w:t>
            </w:r>
          </w:p>
        </w:tc>
        <w:tc>
          <w:tcPr>
            <w:tcW w:w="900" w:type="dxa"/>
            <w:vAlign w:val="bottom"/>
            <w:vMerge w:val="restart"/>
          </w:tcPr>
          <w:p>
            <w:pPr>
              <w:jc w:val="right"/>
              <w:ind w:right="31"/>
              <w:spacing w:after="0"/>
              <w:rPr>
                <w:sz w:val="20"/>
                <w:szCs w:val="20"/>
                <w:color w:val="auto"/>
              </w:rPr>
            </w:pPr>
            <w:r>
              <w:rPr>
                <w:rFonts w:ascii="Arial" w:cs="Arial" w:eastAsia="Arial" w:hAnsi="Arial"/>
                <w:sz w:val="14"/>
                <w:szCs w:val="14"/>
                <w:color w:val="auto"/>
              </w:rPr>
              <w:t>$0</w:t>
            </w:r>
          </w:p>
        </w:tc>
        <w:tc>
          <w:tcPr>
            <w:tcW w:w="860" w:type="dxa"/>
            <w:vAlign w:val="bottom"/>
            <w:vMerge w:val="restart"/>
          </w:tcPr>
          <w:p>
            <w:pPr>
              <w:jc w:val="right"/>
              <w:ind w:right="11"/>
              <w:spacing w:after="0"/>
              <w:rPr>
                <w:sz w:val="20"/>
                <w:szCs w:val="20"/>
                <w:color w:val="auto"/>
              </w:rPr>
            </w:pPr>
            <w:r>
              <w:rPr>
                <w:rFonts w:ascii="Arial" w:cs="Arial" w:eastAsia="Arial" w:hAnsi="Arial"/>
                <w:sz w:val="14"/>
                <w:szCs w:val="14"/>
                <w:color w:val="auto"/>
              </w:rPr>
              <w:t>$0</w:t>
            </w:r>
          </w:p>
        </w:tc>
        <w:tc>
          <w:tcPr>
            <w:tcW w:w="1420" w:type="dxa"/>
            <w:vAlign w:val="bottom"/>
            <w:vMerge w:val="restart"/>
          </w:tcPr>
          <w:p>
            <w:pPr>
              <w:jc w:val="right"/>
              <w:ind w:right="11"/>
              <w:spacing w:after="0"/>
              <w:rPr>
                <w:sz w:val="20"/>
                <w:szCs w:val="20"/>
                <w:color w:val="auto"/>
              </w:rPr>
            </w:pPr>
            <w:r>
              <w:rPr>
                <w:rFonts w:ascii="Arial" w:cs="Arial" w:eastAsia="Arial" w:hAnsi="Arial"/>
                <w:sz w:val="14"/>
                <w:szCs w:val="14"/>
                <w:color w:val="auto"/>
              </w:rPr>
              <w:t>$4,500,000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20" w:type="dxa"/>
            <w:vAlign w:val="bottom"/>
          </w:tcPr>
          <w:p>
            <w:pPr>
              <w:spacing w:after="0"/>
              <w:rPr>
                <w:sz w:val="12"/>
                <w:szCs w:val="12"/>
                <w:color w:val="auto"/>
              </w:rPr>
            </w:pPr>
          </w:p>
        </w:tc>
        <w:tc>
          <w:tcPr>
            <w:tcW w:w="2480" w:type="dxa"/>
            <w:vAlign w:val="bottom"/>
            <w:gridSpan w:val="10"/>
          </w:tcPr>
          <w:p>
            <w:pPr>
              <w:spacing w:after="0" w:line="149" w:lineRule="exact"/>
              <w:rPr>
                <w:sz w:val="20"/>
                <w:szCs w:val="20"/>
                <w:color w:val="auto"/>
              </w:rPr>
            </w:pPr>
            <w:r>
              <w:rPr>
                <w:rFonts w:ascii="Arial" w:cs="Arial" w:eastAsia="Arial" w:hAnsi="Arial"/>
                <w:sz w:val="14"/>
                <w:szCs w:val="14"/>
                <w:color w:val="auto"/>
              </w:rPr>
              <w:t>Thomas W. Warsop, III</w:t>
            </w:r>
          </w:p>
        </w:tc>
        <w:tc>
          <w:tcPr>
            <w:tcW w:w="90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0" w:type="dxa"/>
            <w:vAlign w:val="bottom"/>
            <w:shd w:val="clear" w:color="auto" w:fill="9DBDE4"/>
          </w:tcPr>
          <w:p>
            <w:pPr>
              <w:spacing w:after="0"/>
              <w:rPr>
                <w:sz w:val="13"/>
                <w:szCs w:val="13"/>
                <w:color w:val="auto"/>
              </w:rPr>
            </w:pPr>
          </w:p>
        </w:tc>
        <w:tc>
          <w:tcPr>
            <w:tcW w:w="2480" w:type="dxa"/>
            <w:vAlign w:val="bottom"/>
            <w:gridSpan w:val="10"/>
            <w:shd w:val="clear" w:color="auto" w:fill="9DBDE4"/>
          </w:tcPr>
          <w:p>
            <w:pPr>
              <w:spacing w:after="0" w:line="156" w:lineRule="exact"/>
              <w:rPr>
                <w:sz w:val="20"/>
                <w:szCs w:val="20"/>
                <w:color w:val="auto"/>
              </w:rPr>
            </w:pPr>
            <w:r>
              <w:rPr>
                <w:rFonts w:ascii="Arial" w:cs="Arial" w:eastAsia="Arial" w:hAnsi="Arial"/>
                <w:sz w:val="14"/>
                <w:szCs w:val="14"/>
                <w:color w:val="auto"/>
              </w:rPr>
              <w:t>Scott W. Behrens</w:t>
            </w:r>
          </w:p>
        </w:tc>
        <w:tc>
          <w:tcPr>
            <w:tcW w:w="90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500" w:type="dxa"/>
            <w:vAlign w:val="bottom"/>
            <w:shd w:val="clear" w:color="auto" w:fill="9DBDE4"/>
          </w:tcPr>
          <w:p>
            <w:pPr>
              <w:jc w:val="right"/>
              <w:spacing w:after="0" w:line="156" w:lineRule="exact"/>
              <w:rPr>
                <w:sz w:val="20"/>
                <w:szCs w:val="20"/>
                <w:color w:val="auto"/>
              </w:rPr>
            </w:pPr>
            <w:r>
              <w:rPr>
                <w:rFonts w:ascii="Arial" w:cs="Arial" w:eastAsia="Arial" w:hAnsi="Arial"/>
                <w:sz w:val="14"/>
                <w:szCs w:val="14"/>
                <w:color w:val="auto"/>
              </w:rPr>
              <w:t>$0</w:t>
            </w:r>
          </w:p>
        </w:tc>
        <w:tc>
          <w:tcPr>
            <w:tcW w:w="10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$1,030,000</w:t>
            </w:r>
          </w:p>
        </w:tc>
        <w:tc>
          <w:tcPr>
            <w:tcW w:w="9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$0</w:t>
            </w:r>
          </w:p>
        </w:tc>
        <w:tc>
          <w:tcPr>
            <w:tcW w:w="8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42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$2,060,000</w:t>
            </w: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2480" w:type="dxa"/>
            <w:vAlign w:val="bottom"/>
            <w:gridSpan w:val="10"/>
          </w:tcPr>
          <w:p>
            <w:pPr>
              <w:spacing w:after="0" w:line="156" w:lineRule="exact"/>
              <w:rPr>
                <w:sz w:val="20"/>
                <w:szCs w:val="20"/>
                <w:color w:val="auto"/>
              </w:rPr>
            </w:pPr>
            <w:r>
              <w:rPr>
                <w:rFonts w:ascii="Arial" w:cs="Arial" w:eastAsia="Arial" w:hAnsi="Arial"/>
                <w:sz w:val="14"/>
                <w:szCs w:val="14"/>
                <w:color w:val="auto"/>
              </w:rPr>
              <w:t>Abraham Kuruvilla</w:t>
            </w:r>
          </w:p>
        </w:tc>
        <w:tc>
          <w:tcPr>
            <w:tcW w:w="900" w:type="dxa"/>
            <w:vAlign w:val="bottom"/>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500" w:type="dxa"/>
            <w:vAlign w:val="bottom"/>
          </w:tcPr>
          <w:p>
            <w:pPr>
              <w:jc w:val="right"/>
              <w:spacing w:after="0" w:line="156" w:lineRule="exact"/>
              <w:rPr>
                <w:sz w:val="20"/>
                <w:szCs w:val="20"/>
                <w:color w:val="auto"/>
              </w:rPr>
            </w:pPr>
            <w:r>
              <w:rPr>
                <w:rFonts w:ascii="Arial" w:cs="Arial" w:eastAsia="Arial" w:hAnsi="Arial"/>
                <w:sz w:val="14"/>
                <w:szCs w:val="14"/>
                <w:color w:val="auto"/>
              </w:rPr>
              <w:t>$0</w:t>
            </w:r>
          </w:p>
        </w:tc>
        <w:tc>
          <w:tcPr>
            <w:tcW w:w="10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$920,000</w:t>
            </w:r>
          </w:p>
        </w:tc>
        <w:tc>
          <w:tcPr>
            <w:tcW w:w="9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$0</w:t>
            </w:r>
          </w:p>
        </w:tc>
        <w:tc>
          <w:tcPr>
            <w:tcW w:w="860" w:type="dxa"/>
            <w:vAlign w:val="bottom"/>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420" w:type="dxa"/>
            <w:vAlign w:val="bottom"/>
          </w:tcPr>
          <w:p>
            <w:pPr>
              <w:jc w:val="right"/>
              <w:ind w:right="11"/>
              <w:spacing w:after="0" w:line="156" w:lineRule="exact"/>
              <w:rPr>
                <w:sz w:val="20"/>
                <w:szCs w:val="20"/>
                <w:color w:val="auto"/>
              </w:rPr>
            </w:pPr>
            <w:r>
              <w:rPr>
                <w:rFonts w:ascii="Arial" w:cs="Arial" w:eastAsia="Arial" w:hAnsi="Arial"/>
                <w:sz w:val="14"/>
                <w:szCs w:val="14"/>
                <w:color w:val="auto"/>
              </w:rPr>
              <w:t>$1,840,000</w:t>
            </w:r>
          </w:p>
        </w:tc>
        <w:tc>
          <w:tcPr>
            <w:tcW w:w="0" w:type="dxa"/>
            <w:vAlign w:val="bottom"/>
          </w:tcPr>
          <w:p>
            <w:pPr>
              <w:spacing w:after="0"/>
              <w:rPr>
                <w:sz w:val="1"/>
                <w:szCs w:val="1"/>
                <w:color w:val="auto"/>
              </w:rPr>
            </w:pPr>
          </w:p>
        </w:tc>
      </w:tr>
      <w:tr>
        <w:trPr>
          <w:trHeight w:val="156"/>
        </w:trPr>
        <w:tc>
          <w:tcPr>
            <w:tcW w:w="220" w:type="dxa"/>
            <w:vAlign w:val="bottom"/>
            <w:shd w:val="clear" w:color="auto" w:fill="9DBDE4"/>
          </w:tcPr>
          <w:p>
            <w:pPr>
              <w:spacing w:after="0"/>
              <w:rPr>
                <w:sz w:val="13"/>
                <w:szCs w:val="13"/>
                <w:color w:val="auto"/>
              </w:rPr>
            </w:pPr>
          </w:p>
        </w:tc>
        <w:tc>
          <w:tcPr>
            <w:tcW w:w="2480" w:type="dxa"/>
            <w:vAlign w:val="bottom"/>
            <w:gridSpan w:val="10"/>
            <w:shd w:val="clear" w:color="auto" w:fill="9DBDE4"/>
          </w:tcPr>
          <w:p>
            <w:pPr>
              <w:spacing w:after="0" w:line="156" w:lineRule="exact"/>
              <w:rPr>
                <w:sz w:val="20"/>
                <w:szCs w:val="20"/>
                <w:color w:val="auto"/>
              </w:rPr>
            </w:pPr>
            <w:r>
              <w:rPr>
                <w:rFonts w:ascii="Arial" w:cs="Arial" w:eastAsia="Arial" w:hAnsi="Arial"/>
                <w:sz w:val="14"/>
                <w:szCs w:val="14"/>
                <w:color w:val="auto"/>
              </w:rPr>
              <w:t>Alessandro da Silva</w:t>
            </w:r>
          </w:p>
        </w:tc>
        <w:tc>
          <w:tcPr>
            <w:tcW w:w="90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500" w:type="dxa"/>
            <w:vAlign w:val="bottom"/>
            <w:shd w:val="clear" w:color="auto" w:fill="9DBDE4"/>
          </w:tcPr>
          <w:p>
            <w:pPr>
              <w:jc w:val="right"/>
              <w:spacing w:after="0" w:line="156" w:lineRule="exact"/>
              <w:rPr>
                <w:sz w:val="20"/>
                <w:szCs w:val="20"/>
                <w:color w:val="auto"/>
              </w:rPr>
            </w:pPr>
            <w:r>
              <w:rPr>
                <w:rFonts w:ascii="Arial" w:cs="Arial" w:eastAsia="Arial" w:hAnsi="Arial"/>
                <w:sz w:val="14"/>
                <w:szCs w:val="14"/>
                <w:color w:val="auto"/>
              </w:rPr>
              <w:t>$0</w:t>
            </w:r>
          </w:p>
        </w:tc>
        <w:tc>
          <w:tcPr>
            <w:tcW w:w="10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$920,000</w:t>
            </w:r>
          </w:p>
        </w:tc>
        <w:tc>
          <w:tcPr>
            <w:tcW w:w="9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$0</w:t>
            </w:r>
          </w:p>
        </w:tc>
        <w:tc>
          <w:tcPr>
            <w:tcW w:w="8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42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$1,840,000</w:t>
            </w:r>
          </w:p>
        </w:tc>
        <w:tc>
          <w:tcPr>
            <w:tcW w:w="0" w:type="dxa"/>
            <w:vAlign w:val="bottom"/>
          </w:tcPr>
          <w:p>
            <w:pPr>
              <w:spacing w:after="0"/>
              <w:rPr>
                <w:sz w:val="1"/>
                <w:szCs w:val="1"/>
                <w:color w:val="auto"/>
              </w:rPr>
            </w:pPr>
          </w:p>
        </w:tc>
      </w:tr>
      <w:tr>
        <w:trPr>
          <w:trHeight w:val="143"/>
        </w:trPr>
        <w:tc>
          <w:tcPr>
            <w:tcW w:w="220" w:type="dxa"/>
            <w:vAlign w:val="bottom"/>
          </w:tcPr>
          <w:p>
            <w:pPr>
              <w:spacing w:after="0"/>
              <w:rPr>
                <w:sz w:val="12"/>
                <w:szCs w:val="12"/>
                <w:color w:val="auto"/>
              </w:rPr>
            </w:pPr>
          </w:p>
        </w:tc>
        <w:tc>
          <w:tcPr>
            <w:tcW w:w="2480" w:type="dxa"/>
            <w:vAlign w:val="bottom"/>
            <w:gridSpan w:val="10"/>
          </w:tcPr>
          <w:p>
            <w:pPr>
              <w:spacing w:after="0" w:line="143" w:lineRule="exact"/>
              <w:rPr>
                <w:sz w:val="20"/>
                <w:szCs w:val="20"/>
                <w:color w:val="auto"/>
              </w:rPr>
            </w:pPr>
            <w:r>
              <w:rPr>
                <w:rFonts w:ascii="Arial" w:cs="Arial" w:eastAsia="Arial" w:hAnsi="Arial"/>
                <w:sz w:val="14"/>
                <w:szCs w:val="14"/>
                <w:color w:val="auto"/>
              </w:rPr>
              <w:t>Debbie Guerra</w:t>
            </w:r>
          </w:p>
        </w:tc>
        <w:tc>
          <w:tcPr>
            <w:tcW w:w="90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w:t>
            </w: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$0</w:t>
            </w:r>
          </w:p>
        </w:tc>
        <w:tc>
          <w:tcPr>
            <w:tcW w:w="1000" w:type="dxa"/>
            <w:vAlign w:val="bottom"/>
          </w:tcPr>
          <w:p>
            <w:pPr>
              <w:jc w:val="right"/>
              <w:ind w:right="31"/>
              <w:spacing w:after="0" w:line="143" w:lineRule="exact"/>
              <w:rPr>
                <w:sz w:val="20"/>
                <w:szCs w:val="20"/>
                <w:color w:val="auto"/>
              </w:rPr>
            </w:pPr>
            <w:r>
              <w:rPr>
                <w:rFonts w:ascii="Arial" w:cs="Arial" w:eastAsia="Arial" w:hAnsi="Arial"/>
                <w:sz w:val="14"/>
                <w:szCs w:val="14"/>
                <w:color w:val="auto"/>
              </w:rPr>
              <w:t>$800,000</w:t>
            </w:r>
          </w:p>
        </w:tc>
        <w:tc>
          <w:tcPr>
            <w:tcW w:w="90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w:t>
            </w:r>
          </w:p>
        </w:tc>
        <w:tc>
          <w:tcPr>
            <w:tcW w:w="1420" w:type="dxa"/>
            <w:vAlign w:val="bottom"/>
          </w:tcPr>
          <w:p>
            <w:pPr>
              <w:jc w:val="right"/>
              <w:ind w:right="11"/>
              <w:spacing w:after="0" w:line="143" w:lineRule="exact"/>
              <w:rPr>
                <w:sz w:val="20"/>
                <w:szCs w:val="20"/>
                <w:color w:val="auto"/>
              </w:rPr>
            </w:pPr>
            <w:r>
              <w:rPr>
                <w:rFonts w:ascii="Arial" w:cs="Arial" w:eastAsia="Arial" w:hAnsi="Arial"/>
                <w:sz w:val="14"/>
                <w:szCs w:val="14"/>
                <w:color w:val="auto"/>
              </w:rPr>
              <w:t>$1,600,000</w:t>
            </w: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1040" w:type="dxa"/>
            <w:vAlign w:val="bottom"/>
            <w:tcBorders>
              <w:bottom w:val="single" w:sz="8" w:color="auto"/>
            </w:tcBorders>
            <w:gridSpan w:val="3"/>
          </w:tcPr>
          <w:p>
            <w:pPr>
              <w:spacing w:after="0" w:line="156" w:lineRule="exact"/>
              <w:rPr>
                <w:sz w:val="20"/>
                <w:szCs w:val="20"/>
                <w:color w:val="auto"/>
              </w:rPr>
            </w:pPr>
            <w:r>
              <w:rPr>
                <w:rFonts w:ascii="Arial" w:cs="Arial" w:eastAsia="Arial" w:hAnsi="Arial"/>
                <w:sz w:val="14"/>
                <w:szCs w:val="14"/>
                <w:b w:val="1"/>
                <w:bCs w:val="1"/>
                <w:color w:val="auto"/>
                <w:w w:val="96"/>
              </w:rPr>
              <w:t>Bonus Payment</w:t>
            </w:r>
          </w:p>
        </w:tc>
        <w:tc>
          <w:tcPr>
            <w:tcW w:w="120" w:type="dxa"/>
            <w:vAlign w:val="bottom"/>
            <w:tcBorders>
              <w:bottom w:val="single" w:sz="8" w:color="auto"/>
            </w:tcBorders>
            <w:gridSpan w:val="2"/>
          </w:tcPr>
          <w:p>
            <w:pPr>
              <w:jc w:val="right"/>
              <w:spacing w:after="0" w:line="97" w:lineRule="exact"/>
              <w:rPr>
                <w:sz w:val="20"/>
                <w:szCs w:val="20"/>
                <w:color w:val="auto"/>
              </w:rPr>
            </w:pPr>
            <w:r>
              <w:rPr>
                <w:rFonts w:ascii="Arial" w:cs="Arial" w:eastAsia="Arial" w:hAnsi="Arial"/>
                <w:sz w:val="10"/>
                <w:szCs w:val="10"/>
                <w:b w:val="1"/>
                <w:bCs w:val="1"/>
                <w:color w:val="auto"/>
                <w:w w:val="81"/>
              </w:rPr>
              <w:t>(1)</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2480" w:type="dxa"/>
            <w:vAlign w:val="bottom"/>
            <w:gridSpan w:val="10"/>
          </w:tcPr>
          <w:p>
            <w:pPr>
              <w:spacing w:after="0" w:line="149" w:lineRule="exact"/>
              <w:rPr>
                <w:sz w:val="20"/>
                <w:szCs w:val="20"/>
                <w:color w:val="auto"/>
              </w:rPr>
            </w:pPr>
            <w:r>
              <w:rPr>
                <w:rFonts w:ascii="Arial" w:cs="Arial" w:eastAsia="Arial" w:hAnsi="Arial"/>
                <w:sz w:val="14"/>
                <w:szCs w:val="14"/>
                <w:color w:val="auto"/>
              </w:rPr>
              <w:t>Thomas W. Warsop, III</w:t>
            </w:r>
          </w:p>
        </w:tc>
        <w:tc>
          <w:tcPr>
            <w:tcW w:w="900" w:type="dxa"/>
            <w:vAlign w:val="bottom"/>
          </w:tcPr>
          <w:p>
            <w:pPr>
              <w:jc w:val="right"/>
              <w:ind w:right="11"/>
              <w:spacing w:after="0" w:line="149"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000" w:type="dxa"/>
            <w:vAlign w:val="bottom"/>
          </w:tcPr>
          <w:p>
            <w:pPr>
              <w:jc w:val="right"/>
              <w:ind w:right="31"/>
              <w:spacing w:after="0" w:line="149" w:lineRule="exact"/>
              <w:rPr>
                <w:sz w:val="20"/>
                <w:szCs w:val="20"/>
                <w:color w:val="auto"/>
              </w:rPr>
            </w:pPr>
            <w:r>
              <w:rPr>
                <w:rFonts w:ascii="Arial" w:cs="Arial" w:eastAsia="Arial" w:hAnsi="Arial"/>
                <w:sz w:val="14"/>
                <w:szCs w:val="14"/>
                <w:color w:val="auto"/>
              </w:rPr>
              <w:t>$0</w:t>
            </w:r>
          </w:p>
        </w:tc>
        <w:tc>
          <w:tcPr>
            <w:tcW w:w="900" w:type="dxa"/>
            <w:vAlign w:val="bottom"/>
          </w:tcPr>
          <w:p>
            <w:pPr>
              <w:jc w:val="right"/>
              <w:ind w:right="31"/>
              <w:spacing w:after="0" w:line="149" w:lineRule="exact"/>
              <w:rPr>
                <w:sz w:val="20"/>
                <w:szCs w:val="20"/>
                <w:color w:val="auto"/>
              </w:rPr>
            </w:pPr>
            <w:r>
              <w:rPr>
                <w:rFonts w:ascii="Arial" w:cs="Arial" w:eastAsia="Arial" w:hAnsi="Arial"/>
                <w:sz w:val="14"/>
                <w:szCs w:val="14"/>
                <w:color w:val="auto"/>
              </w:rPr>
              <w:t>$0</w:t>
            </w:r>
          </w:p>
        </w:tc>
        <w:tc>
          <w:tcPr>
            <w:tcW w:w="860" w:type="dxa"/>
            <w:vAlign w:val="bottom"/>
          </w:tcPr>
          <w:p>
            <w:pPr>
              <w:jc w:val="right"/>
              <w:ind w:right="11"/>
              <w:spacing w:after="0" w:line="149" w:lineRule="exact"/>
              <w:rPr>
                <w:sz w:val="20"/>
                <w:szCs w:val="20"/>
                <w:color w:val="auto"/>
              </w:rPr>
            </w:pPr>
            <w:r>
              <w:rPr>
                <w:rFonts w:ascii="Arial" w:cs="Arial" w:eastAsia="Arial" w:hAnsi="Arial"/>
                <w:sz w:val="14"/>
                <w:szCs w:val="14"/>
                <w:color w:val="auto"/>
              </w:rPr>
              <w:t>$0</w:t>
            </w:r>
          </w:p>
        </w:tc>
        <w:tc>
          <w:tcPr>
            <w:tcW w:w="1420" w:type="dxa"/>
            <w:vAlign w:val="bottom"/>
          </w:tcPr>
          <w:p>
            <w:pPr>
              <w:jc w:val="right"/>
              <w:ind w:right="11"/>
              <w:spacing w:after="0" w:line="149" w:lineRule="exact"/>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56"/>
        </w:trPr>
        <w:tc>
          <w:tcPr>
            <w:tcW w:w="220" w:type="dxa"/>
            <w:vAlign w:val="bottom"/>
            <w:shd w:val="clear" w:color="auto" w:fill="9DBDE4"/>
          </w:tcPr>
          <w:p>
            <w:pPr>
              <w:spacing w:after="0"/>
              <w:rPr>
                <w:sz w:val="13"/>
                <w:szCs w:val="13"/>
                <w:color w:val="auto"/>
              </w:rPr>
            </w:pPr>
          </w:p>
        </w:tc>
        <w:tc>
          <w:tcPr>
            <w:tcW w:w="2480" w:type="dxa"/>
            <w:vAlign w:val="bottom"/>
            <w:gridSpan w:val="10"/>
            <w:shd w:val="clear" w:color="auto" w:fill="9DBDE4"/>
          </w:tcPr>
          <w:p>
            <w:pPr>
              <w:spacing w:after="0" w:line="156" w:lineRule="exact"/>
              <w:rPr>
                <w:sz w:val="20"/>
                <w:szCs w:val="20"/>
                <w:color w:val="auto"/>
              </w:rPr>
            </w:pPr>
            <w:r>
              <w:rPr>
                <w:rFonts w:ascii="Arial" w:cs="Arial" w:eastAsia="Arial" w:hAnsi="Arial"/>
                <w:sz w:val="14"/>
                <w:szCs w:val="14"/>
                <w:color w:val="auto"/>
              </w:rPr>
              <w:t>Scott W. Behrens</w:t>
            </w:r>
          </w:p>
        </w:tc>
        <w:tc>
          <w:tcPr>
            <w:tcW w:w="90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500" w:type="dxa"/>
            <w:vAlign w:val="bottom"/>
            <w:shd w:val="clear" w:color="auto" w:fill="9DBDE4"/>
          </w:tcPr>
          <w:p>
            <w:pPr>
              <w:jc w:val="right"/>
              <w:spacing w:after="0" w:line="156" w:lineRule="exact"/>
              <w:rPr>
                <w:sz w:val="20"/>
                <w:szCs w:val="20"/>
                <w:color w:val="auto"/>
              </w:rPr>
            </w:pPr>
            <w:r>
              <w:rPr>
                <w:rFonts w:ascii="Arial" w:cs="Arial" w:eastAsia="Arial" w:hAnsi="Arial"/>
                <w:sz w:val="14"/>
                <w:szCs w:val="14"/>
                <w:color w:val="auto"/>
              </w:rPr>
              <w:t>$0</w:t>
            </w:r>
          </w:p>
        </w:tc>
        <w:tc>
          <w:tcPr>
            <w:tcW w:w="10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$0</w:t>
            </w:r>
          </w:p>
        </w:tc>
        <w:tc>
          <w:tcPr>
            <w:tcW w:w="9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$0</w:t>
            </w:r>
          </w:p>
        </w:tc>
        <w:tc>
          <w:tcPr>
            <w:tcW w:w="8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42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$515,000</w:t>
            </w: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2480" w:type="dxa"/>
            <w:vAlign w:val="bottom"/>
            <w:gridSpan w:val="10"/>
          </w:tcPr>
          <w:p>
            <w:pPr>
              <w:spacing w:after="0" w:line="156" w:lineRule="exact"/>
              <w:rPr>
                <w:sz w:val="20"/>
                <w:szCs w:val="20"/>
                <w:color w:val="auto"/>
              </w:rPr>
            </w:pPr>
            <w:r>
              <w:rPr>
                <w:rFonts w:ascii="Arial" w:cs="Arial" w:eastAsia="Arial" w:hAnsi="Arial"/>
                <w:sz w:val="14"/>
                <w:szCs w:val="14"/>
                <w:color w:val="auto"/>
              </w:rPr>
              <w:t>Abraham Kuruvilla</w:t>
            </w:r>
          </w:p>
        </w:tc>
        <w:tc>
          <w:tcPr>
            <w:tcW w:w="900" w:type="dxa"/>
            <w:vAlign w:val="bottom"/>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500" w:type="dxa"/>
            <w:vAlign w:val="bottom"/>
          </w:tcPr>
          <w:p>
            <w:pPr>
              <w:jc w:val="right"/>
              <w:spacing w:after="0" w:line="156" w:lineRule="exact"/>
              <w:rPr>
                <w:sz w:val="20"/>
                <w:szCs w:val="20"/>
                <w:color w:val="auto"/>
              </w:rPr>
            </w:pPr>
            <w:r>
              <w:rPr>
                <w:rFonts w:ascii="Arial" w:cs="Arial" w:eastAsia="Arial" w:hAnsi="Arial"/>
                <w:sz w:val="14"/>
                <w:szCs w:val="14"/>
                <w:color w:val="auto"/>
              </w:rPr>
              <w:t>$0</w:t>
            </w:r>
          </w:p>
        </w:tc>
        <w:tc>
          <w:tcPr>
            <w:tcW w:w="10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$0</w:t>
            </w:r>
          </w:p>
        </w:tc>
        <w:tc>
          <w:tcPr>
            <w:tcW w:w="9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$0</w:t>
            </w:r>
          </w:p>
        </w:tc>
        <w:tc>
          <w:tcPr>
            <w:tcW w:w="860" w:type="dxa"/>
            <w:vAlign w:val="bottom"/>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420" w:type="dxa"/>
            <w:vAlign w:val="bottom"/>
          </w:tcPr>
          <w:p>
            <w:pPr>
              <w:jc w:val="right"/>
              <w:ind w:right="11"/>
              <w:spacing w:after="0" w:line="156" w:lineRule="exact"/>
              <w:rPr>
                <w:sz w:val="20"/>
                <w:szCs w:val="20"/>
                <w:color w:val="auto"/>
              </w:rPr>
            </w:pPr>
            <w:r>
              <w:rPr>
                <w:rFonts w:ascii="Arial" w:cs="Arial" w:eastAsia="Arial" w:hAnsi="Arial"/>
                <w:sz w:val="14"/>
                <w:szCs w:val="14"/>
                <w:color w:val="auto"/>
              </w:rPr>
              <w:t>$460,000</w:t>
            </w:r>
          </w:p>
        </w:tc>
        <w:tc>
          <w:tcPr>
            <w:tcW w:w="0" w:type="dxa"/>
            <w:vAlign w:val="bottom"/>
          </w:tcPr>
          <w:p>
            <w:pPr>
              <w:spacing w:after="0"/>
              <w:rPr>
                <w:sz w:val="1"/>
                <w:szCs w:val="1"/>
                <w:color w:val="auto"/>
              </w:rPr>
            </w:pPr>
          </w:p>
        </w:tc>
      </w:tr>
      <w:tr>
        <w:trPr>
          <w:trHeight w:val="156"/>
        </w:trPr>
        <w:tc>
          <w:tcPr>
            <w:tcW w:w="220" w:type="dxa"/>
            <w:vAlign w:val="bottom"/>
            <w:shd w:val="clear" w:color="auto" w:fill="9DBDE4"/>
          </w:tcPr>
          <w:p>
            <w:pPr>
              <w:spacing w:after="0"/>
              <w:rPr>
                <w:sz w:val="13"/>
                <w:szCs w:val="13"/>
                <w:color w:val="auto"/>
              </w:rPr>
            </w:pPr>
          </w:p>
        </w:tc>
        <w:tc>
          <w:tcPr>
            <w:tcW w:w="2480" w:type="dxa"/>
            <w:vAlign w:val="bottom"/>
            <w:gridSpan w:val="10"/>
            <w:shd w:val="clear" w:color="auto" w:fill="9DBDE4"/>
          </w:tcPr>
          <w:p>
            <w:pPr>
              <w:spacing w:after="0" w:line="156" w:lineRule="exact"/>
              <w:rPr>
                <w:sz w:val="20"/>
                <w:szCs w:val="20"/>
                <w:color w:val="auto"/>
              </w:rPr>
            </w:pPr>
            <w:r>
              <w:rPr>
                <w:rFonts w:ascii="Arial" w:cs="Arial" w:eastAsia="Arial" w:hAnsi="Arial"/>
                <w:sz w:val="14"/>
                <w:szCs w:val="14"/>
                <w:color w:val="auto"/>
              </w:rPr>
              <w:t>Alessandro da Silva</w:t>
            </w:r>
          </w:p>
        </w:tc>
        <w:tc>
          <w:tcPr>
            <w:tcW w:w="90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500" w:type="dxa"/>
            <w:vAlign w:val="bottom"/>
            <w:shd w:val="clear" w:color="auto" w:fill="9DBDE4"/>
          </w:tcPr>
          <w:p>
            <w:pPr>
              <w:jc w:val="right"/>
              <w:spacing w:after="0" w:line="156" w:lineRule="exact"/>
              <w:rPr>
                <w:sz w:val="20"/>
                <w:szCs w:val="20"/>
                <w:color w:val="auto"/>
              </w:rPr>
            </w:pPr>
            <w:r>
              <w:rPr>
                <w:rFonts w:ascii="Arial" w:cs="Arial" w:eastAsia="Arial" w:hAnsi="Arial"/>
                <w:sz w:val="14"/>
                <w:szCs w:val="14"/>
                <w:color w:val="auto"/>
              </w:rPr>
              <w:t>$0</w:t>
            </w:r>
          </w:p>
        </w:tc>
        <w:tc>
          <w:tcPr>
            <w:tcW w:w="10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$0</w:t>
            </w:r>
          </w:p>
        </w:tc>
        <w:tc>
          <w:tcPr>
            <w:tcW w:w="9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$0</w:t>
            </w:r>
          </w:p>
        </w:tc>
        <w:tc>
          <w:tcPr>
            <w:tcW w:w="8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42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$460,000</w:t>
            </w:r>
          </w:p>
        </w:tc>
        <w:tc>
          <w:tcPr>
            <w:tcW w:w="0" w:type="dxa"/>
            <w:vAlign w:val="bottom"/>
          </w:tcPr>
          <w:p>
            <w:pPr>
              <w:spacing w:after="0"/>
              <w:rPr>
                <w:sz w:val="1"/>
                <w:szCs w:val="1"/>
                <w:color w:val="auto"/>
              </w:rPr>
            </w:pPr>
          </w:p>
        </w:tc>
      </w:tr>
      <w:tr>
        <w:trPr>
          <w:trHeight w:val="147"/>
        </w:trPr>
        <w:tc>
          <w:tcPr>
            <w:tcW w:w="220" w:type="dxa"/>
            <w:vAlign w:val="bottom"/>
          </w:tcPr>
          <w:p>
            <w:pPr>
              <w:spacing w:after="0"/>
              <w:rPr>
                <w:sz w:val="12"/>
                <w:szCs w:val="12"/>
                <w:color w:val="auto"/>
              </w:rPr>
            </w:pPr>
          </w:p>
        </w:tc>
        <w:tc>
          <w:tcPr>
            <w:tcW w:w="2480" w:type="dxa"/>
            <w:vAlign w:val="bottom"/>
            <w:gridSpan w:val="10"/>
          </w:tcPr>
          <w:p>
            <w:pPr>
              <w:spacing w:after="0" w:line="147" w:lineRule="exact"/>
              <w:rPr>
                <w:sz w:val="20"/>
                <w:szCs w:val="20"/>
                <w:color w:val="auto"/>
              </w:rPr>
            </w:pPr>
            <w:r>
              <w:rPr>
                <w:rFonts w:ascii="Arial" w:cs="Arial" w:eastAsia="Arial" w:hAnsi="Arial"/>
                <w:sz w:val="14"/>
                <w:szCs w:val="14"/>
                <w:color w:val="auto"/>
              </w:rPr>
              <w:t>Debbie Guerra</w:t>
            </w:r>
          </w:p>
        </w:tc>
        <w:tc>
          <w:tcPr>
            <w:tcW w:w="900" w:type="dxa"/>
            <w:vAlign w:val="bottom"/>
          </w:tcPr>
          <w:p>
            <w:pPr>
              <w:jc w:val="right"/>
              <w:ind w:right="11"/>
              <w:spacing w:after="0" w:line="147"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47" w:lineRule="exact"/>
              <w:rPr>
                <w:sz w:val="20"/>
                <w:szCs w:val="20"/>
                <w:color w:val="auto"/>
              </w:rPr>
            </w:pPr>
            <w:r>
              <w:rPr>
                <w:rFonts w:ascii="Arial" w:cs="Arial" w:eastAsia="Arial" w:hAnsi="Arial"/>
                <w:sz w:val="14"/>
                <w:szCs w:val="14"/>
                <w:color w:val="auto"/>
              </w:rPr>
              <w:t>$0</w:t>
            </w: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$0</w:t>
            </w:r>
          </w:p>
        </w:tc>
        <w:tc>
          <w:tcPr>
            <w:tcW w:w="1000" w:type="dxa"/>
            <w:vAlign w:val="bottom"/>
          </w:tcPr>
          <w:p>
            <w:pPr>
              <w:jc w:val="right"/>
              <w:ind w:right="31"/>
              <w:spacing w:after="0" w:line="147" w:lineRule="exact"/>
              <w:rPr>
                <w:sz w:val="20"/>
                <w:szCs w:val="20"/>
                <w:color w:val="auto"/>
              </w:rPr>
            </w:pPr>
            <w:r>
              <w:rPr>
                <w:rFonts w:ascii="Arial" w:cs="Arial" w:eastAsia="Arial" w:hAnsi="Arial"/>
                <w:sz w:val="14"/>
                <w:szCs w:val="14"/>
                <w:color w:val="auto"/>
              </w:rPr>
              <w:t>$0</w:t>
            </w:r>
          </w:p>
        </w:tc>
        <w:tc>
          <w:tcPr>
            <w:tcW w:w="900" w:type="dxa"/>
            <w:vAlign w:val="bottom"/>
          </w:tcPr>
          <w:p>
            <w:pPr>
              <w:jc w:val="right"/>
              <w:ind w:right="31"/>
              <w:spacing w:after="0" w:line="147" w:lineRule="exact"/>
              <w:rPr>
                <w:sz w:val="20"/>
                <w:szCs w:val="20"/>
                <w:color w:val="auto"/>
              </w:rPr>
            </w:pPr>
            <w:r>
              <w:rPr>
                <w:rFonts w:ascii="Arial" w:cs="Arial" w:eastAsia="Arial" w:hAnsi="Arial"/>
                <w:sz w:val="14"/>
                <w:szCs w:val="14"/>
                <w:color w:val="auto"/>
              </w:rPr>
              <w:t>$0</w:t>
            </w:r>
          </w:p>
        </w:tc>
        <w:tc>
          <w:tcPr>
            <w:tcW w:w="860" w:type="dxa"/>
            <w:vAlign w:val="bottom"/>
          </w:tcPr>
          <w:p>
            <w:pPr>
              <w:jc w:val="right"/>
              <w:ind w:right="11"/>
              <w:spacing w:after="0" w:line="147" w:lineRule="exact"/>
              <w:rPr>
                <w:sz w:val="20"/>
                <w:szCs w:val="20"/>
                <w:color w:val="auto"/>
              </w:rPr>
            </w:pPr>
            <w:r>
              <w:rPr>
                <w:rFonts w:ascii="Arial" w:cs="Arial" w:eastAsia="Arial" w:hAnsi="Arial"/>
                <w:sz w:val="14"/>
                <w:szCs w:val="14"/>
                <w:color w:val="auto"/>
              </w:rPr>
              <w:t>$0</w:t>
            </w:r>
          </w:p>
        </w:tc>
        <w:tc>
          <w:tcPr>
            <w:tcW w:w="1420" w:type="dxa"/>
            <w:vAlign w:val="bottom"/>
          </w:tcPr>
          <w:p>
            <w:pPr>
              <w:jc w:val="right"/>
              <w:ind w:right="11"/>
              <w:spacing w:after="0" w:line="147" w:lineRule="exact"/>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52"/>
        </w:trPr>
        <w:tc>
          <w:tcPr>
            <w:tcW w:w="220" w:type="dxa"/>
            <w:vAlign w:val="bottom"/>
          </w:tcPr>
          <w:p>
            <w:pPr>
              <w:spacing w:after="0"/>
              <w:rPr>
                <w:sz w:val="13"/>
                <w:szCs w:val="13"/>
                <w:color w:val="auto"/>
              </w:rPr>
            </w:pPr>
          </w:p>
        </w:tc>
        <w:tc>
          <w:tcPr>
            <w:tcW w:w="2480" w:type="dxa"/>
            <w:vAlign w:val="bottom"/>
            <w:gridSpan w:val="10"/>
          </w:tcPr>
          <w:p>
            <w:pPr>
              <w:spacing w:after="0" w:line="153" w:lineRule="exact"/>
              <w:rPr>
                <w:sz w:val="20"/>
                <w:szCs w:val="20"/>
                <w:color w:val="auto"/>
              </w:rPr>
            </w:pPr>
            <w:r>
              <w:rPr>
                <w:rFonts w:ascii="Arial" w:cs="Arial" w:eastAsia="Arial" w:hAnsi="Arial"/>
                <w:sz w:val="14"/>
                <w:szCs w:val="14"/>
                <w:b w:val="1"/>
                <w:bCs w:val="1"/>
                <w:color w:val="auto"/>
              </w:rPr>
              <w:t>RSUs:</w:t>
            </w: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20" w:type="dxa"/>
            <w:vAlign w:val="bottom"/>
            <w:shd w:val="clear" w:color="auto" w:fill="9DBDE4"/>
          </w:tcPr>
          <w:p>
            <w:pPr>
              <w:spacing w:after="0"/>
              <w:rPr>
                <w:sz w:val="12"/>
                <w:szCs w:val="12"/>
                <w:color w:val="auto"/>
              </w:rPr>
            </w:pPr>
          </w:p>
        </w:tc>
        <w:tc>
          <w:tcPr>
            <w:tcW w:w="2480" w:type="dxa"/>
            <w:vAlign w:val="bottom"/>
            <w:gridSpan w:val="10"/>
            <w:shd w:val="clear" w:color="auto" w:fill="9DBDE4"/>
          </w:tcPr>
          <w:p>
            <w:pPr>
              <w:spacing w:after="0" w:line="149" w:lineRule="exact"/>
              <w:rPr>
                <w:sz w:val="20"/>
                <w:szCs w:val="20"/>
                <w:color w:val="auto"/>
              </w:rPr>
            </w:pPr>
            <w:r>
              <w:rPr>
                <w:rFonts w:ascii="Arial" w:cs="Arial" w:eastAsia="Arial" w:hAnsi="Arial"/>
                <w:sz w:val="14"/>
                <w:szCs w:val="14"/>
                <w:color w:val="auto"/>
              </w:rPr>
              <w:t>Thomas W. Warsop, III</w:t>
            </w:r>
          </w:p>
        </w:tc>
        <w:tc>
          <w:tcPr>
            <w:tcW w:w="900" w:type="dxa"/>
            <w:vAlign w:val="bottom"/>
            <w:shd w:val="clear" w:color="auto" w:fill="9DBDE4"/>
          </w:tcPr>
          <w:p>
            <w:pPr>
              <w:jc w:val="right"/>
              <w:ind w:right="11"/>
              <w:spacing w:after="0" w:line="149" w:lineRule="exact"/>
              <w:rPr>
                <w:sz w:val="20"/>
                <w:szCs w:val="20"/>
                <w:color w:val="auto"/>
              </w:rPr>
            </w:pPr>
            <w:r>
              <w:rPr>
                <w:rFonts w:ascii="Arial" w:cs="Arial" w:eastAsia="Arial" w:hAnsi="Arial"/>
                <w:sz w:val="14"/>
                <w:szCs w:val="14"/>
                <w:color w:val="auto"/>
              </w:rPr>
              <w:t>$366,318</w:t>
            </w:r>
          </w:p>
        </w:tc>
        <w:tc>
          <w:tcPr>
            <w:tcW w:w="1060" w:type="dxa"/>
            <w:vAlign w:val="bottom"/>
            <w:shd w:val="clear" w:color="auto" w:fill="9DBDE4"/>
          </w:tcPr>
          <w:p>
            <w:pPr>
              <w:jc w:val="right"/>
              <w:ind w:right="11"/>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9DBDE4"/>
          </w:tcPr>
          <w:p>
            <w:pPr>
              <w:jc w:val="right"/>
              <w:spacing w:after="0" w:line="149" w:lineRule="exact"/>
              <w:rPr>
                <w:sz w:val="20"/>
                <w:szCs w:val="20"/>
                <w:color w:val="auto"/>
              </w:rPr>
            </w:pPr>
            <w:r>
              <w:rPr>
                <w:rFonts w:ascii="Arial" w:cs="Arial" w:eastAsia="Arial" w:hAnsi="Arial"/>
                <w:sz w:val="14"/>
                <w:szCs w:val="14"/>
                <w:color w:val="auto"/>
              </w:rPr>
              <w:t>$0</w:t>
            </w:r>
          </w:p>
        </w:tc>
        <w:tc>
          <w:tcPr>
            <w:tcW w:w="1000" w:type="dxa"/>
            <w:vAlign w:val="bottom"/>
            <w:shd w:val="clear" w:color="auto" w:fill="9DBDE4"/>
          </w:tcPr>
          <w:p>
            <w:pPr>
              <w:jc w:val="right"/>
              <w:ind w:right="31"/>
              <w:spacing w:after="0" w:line="149" w:lineRule="exact"/>
              <w:rPr>
                <w:sz w:val="20"/>
                <w:szCs w:val="20"/>
                <w:color w:val="auto"/>
              </w:rPr>
            </w:pPr>
            <w:r>
              <w:rPr>
                <w:rFonts w:ascii="Arial" w:cs="Arial" w:eastAsia="Arial" w:hAnsi="Arial"/>
                <w:sz w:val="14"/>
                <w:szCs w:val="14"/>
                <w:color w:val="auto"/>
              </w:rPr>
              <w:t>$366,318</w:t>
            </w:r>
          </w:p>
        </w:tc>
        <w:tc>
          <w:tcPr>
            <w:tcW w:w="900" w:type="dxa"/>
            <w:vAlign w:val="bottom"/>
            <w:shd w:val="clear" w:color="auto" w:fill="9DBDE4"/>
          </w:tcPr>
          <w:p>
            <w:pPr>
              <w:jc w:val="right"/>
              <w:ind w:right="31"/>
              <w:spacing w:after="0" w:line="149" w:lineRule="exact"/>
              <w:rPr>
                <w:sz w:val="20"/>
                <w:szCs w:val="20"/>
                <w:color w:val="auto"/>
              </w:rPr>
            </w:pPr>
            <w:r>
              <w:rPr>
                <w:rFonts w:ascii="Arial" w:cs="Arial" w:eastAsia="Arial" w:hAnsi="Arial"/>
                <w:sz w:val="14"/>
                <w:szCs w:val="14"/>
                <w:color w:val="auto"/>
              </w:rPr>
              <w:t>$1,883,920</w:t>
            </w:r>
          </w:p>
        </w:tc>
        <w:tc>
          <w:tcPr>
            <w:tcW w:w="860" w:type="dxa"/>
            <w:vAlign w:val="bottom"/>
            <w:shd w:val="clear" w:color="auto" w:fill="9DBDE4"/>
          </w:tcPr>
          <w:p>
            <w:pPr>
              <w:jc w:val="right"/>
              <w:ind w:right="11"/>
              <w:spacing w:after="0" w:line="149" w:lineRule="exact"/>
              <w:rPr>
                <w:sz w:val="20"/>
                <w:szCs w:val="20"/>
                <w:color w:val="auto"/>
              </w:rPr>
            </w:pPr>
            <w:r>
              <w:rPr>
                <w:rFonts w:ascii="Arial" w:cs="Arial" w:eastAsia="Arial" w:hAnsi="Arial"/>
                <w:sz w:val="14"/>
                <w:szCs w:val="14"/>
                <w:color w:val="auto"/>
              </w:rPr>
              <w:t>$1,883,920</w:t>
            </w:r>
          </w:p>
        </w:tc>
        <w:tc>
          <w:tcPr>
            <w:tcW w:w="1420" w:type="dxa"/>
            <w:vAlign w:val="bottom"/>
            <w:shd w:val="clear" w:color="auto" w:fill="9DBDE4"/>
          </w:tcPr>
          <w:p>
            <w:pPr>
              <w:jc w:val="right"/>
              <w:ind w:right="11"/>
              <w:spacing w:after="0" w:line="149" w:lineRule="exact"/>
              <w:rPr>
                <w:sz w:val="20"/>
                <w:szCs w:val="20"/>
                <w:color w:val="auto"/>
              </w:rPr>
            </w:pPr>
            <w:r>
              <w:rPr>
                <w:rFonts w:ascii="Arial" w:cs="Arial" w:eastAsia="Arial" w:hAnsi="Arial"/>
                <w:sz w:val="14"/>
                <w:szCs w:val="14"/>
                <w:color w:val="auto"/>
              </w:rPr>
              <w:t>$1,883,920</w:t>
            </w: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2480" w:type="dxa"/>
            <w:vAlign w:val="bottom"/>
            <w:gridSpan w:val="10"/>
          </w:tcPr>
          <w:p>
            <w:pPr>
              <w:spacing w:after="0" w:line="156" w:lineRule="exact"/>
              <w:rPr>
                <w:sz w:val="20"/>
                <w:szCs w:val="20"/>
                <w:color w:val="auto"/>
              </w:rPr>
            </w:pPr>
            <w:r>
              <w:rPr>
                <w:rFonts w:ascii="Arial" w:cs="Arial" w:eastAsia="Arial" w:hAnsi="Arial"/>
                <w:sz w:val="14"/>
                <w:szCs w:val="14"/>
                <w:color w:val="auto"/>
              </w:rPr>
              <w:t>Scott W. Behrens</w:t>
            </w:r>
          </w:p>
        </w:tc>
        <w:tc>
          <w:tcPr>
            <w:tcW w:w="900" w:type="dxa"/>
            <w:vAlign w:val="bottom"/>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500" w:type="dxa"/>
            <w:vAlign w:val="bottom"/>
          </w:tcPr>
          <w:p>
            <w:pPr>
              <w:jc w:val="right"/>
              <w:spacing w:after="0" w:line="156" w:lineRule="exact"/>
              <w:rPr>
                <w:sz w:val="20"/>
                <w:szCs w:val="20"/>
                <w:color w:val="auto"/>
              </w:rPr>
            </w:pPr>
            <w:r>
              <w:rPr>
                <w:rFonts w:ascii="Arial" w:cs="Arial" w:eastAsia="Arial" w:hAnsi="Arial"/>
                <w:sz w:val="14"/>
                <w:szCs w:val="14"/>
                <w:color w:val="auto"/>
              </w:rPr>
              <w:t>$0</w:t>
            </w:r>
          </w:p>
        </w:tc>
        <w:tc>
          <w:tcPr>
            <w:tcW w:w="10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$0</w:t>
            </w:r>
          </w:p>
        </w:tc>
        <w:tc>
          <w:tcPr>
            <w:tcW w:w="9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$2,599,990</w:t>
            </w:r>
          </w:p>
        </w:tc>
        <w:tc>
          <w:tcPr>
            <w:tcW w:w="860" w:type="dxa"/>
            <w:vAlign w:val="bottom"/>
          </w:tcPr>
          <w:p>
            <w:pPr>
              <w:jc w:val="right"/>
              <w:ind w:right="11"/>
              <w:spacing w:after="0" w:line="156" w:lineRule="exact"/>
              <w:rPr>
                <w:sz w:val="20"/>
                <w:szCs w:val="20"/>
                <w:color w:val="auto"/>
              </w:rPr>
            </w:pPr>
            <w:r>
              <w:rPr>
                <w:rFonts w:ascii="Arial" w:cs="Arial" w:eastAsia="Arial" w:hAnsi="Arial"/>
                <w:sz w:val="14"/>
                <w:szCs w:val="14"/>
                <w:color w:val="auto"/>
              </w:rPr>
              <w:t>$2,599,990</w:t>
            </w:r>
          </w:p>
        </w:tc>
        <w:tc>
          <w:tcPr>
            <w:tcW w:w="1420" w:type="dxa"/>
            <w:vAlign w:val="bottom"/>
          </w:tcPr>
          <w:p>
            <w:pPr>
              <w:jc w:val="right"/>
              <w:ind w:right="11"/>
              <w:spacing w:after="0" w:line="156" w:lineRule="exact"/>
              <w:rPr>
                <w:sz w:val="20"/>
                <w:szCs w:val="20"/>
                <w:color w:val="auto"/>
              </w:rPr>
            </w:pPr>
            <w:r>
              <w:rPr>
                <w:rFonts w:ascii="Arial" w:cs="Arial" w:eastAsia="Arial" w:hAnsi="Arial"/>
                <w:sz w:val="14"/>
                <w:szCs w:val="14"/>
                <w:color w:val="auto"/>
              </w:rPr>
              <w:t>$2,599,990</w:t>
            </w:r>
          </w:p>
        </w:tc>
        <w:tc>
          <w:tcPr>
            <w:tcW w:w="0" w:type="dxa"/>
            <w:vAlign w:val="bottom"/>
          </w:tcPr>
          <w:p>
            <w:pPr>
              <w:spacing w:after="0"/>
              <w:rPr>
                <w:sz w:val="1"/>
                <w:szCs w:val="1"/>
                <w:color w:val="auto"/>
              </w:rPr>
            </w:pPr>
          </w:p>
        </w:tc>
      </w:tr>
      <w:tr>
        <w:trPr>
          <w:trHeight w:val="156"/>
        </w:trPr>
        <w:tc>
          <w:tcPr>
            <w:tcW w:w="220" w:type="dxa"/>
            <w:vAlign w:val="bottom"/>
            <w:shd w:val="clear" w:color="auto" w:fill="9DBDE4"/>
          </w:tcPr>
          <w:p>
            <w:pPr>
              <w:spacing w:after="0"/>
              <w:rPr>
                <w:sz w:val="13"/>
                <w:szCs w:val="13"/>
                <w:color w:val="auto"/>
              </w:rPr>
            </w:pPr>
          </w:p>
        </w:tc>
        <w:tc>
          <w:tcPr>
            <w:tcW w:w="2480" w:type="dxa"/>
            <w:vAlign w:val="bottom"/>
            <w:gridSpan w:val="10"/>
            <w:shd w:val="clear" w:color="auto" w:fill="9DBDE4"/>
          </w:tcPr>
          <w:p>
            <w:pPr>
              <w:spacing w:after="0" w:line="156" w:lineRule="exact"/>
              <w:rPr>
                <w:sz w:val="20"/>
                <w:szCs w:val="20"/>
                <w:color w:val="auto"/>
              </w:rPr>
            </w:pPr>
            <w:r>
              <w:rPr>
                <w:rFonts w:ascii="Arial" w:cs="Arial" w:eastAsia="Arial" w:hAnsi="Arial"/>
                <w:sz w:val="14"/>
                <w:szCs w:val="14"/>
                <w:color w:val="auto"/>
              </w:rPr>
              <w:t>Abraham Kuruvilla</w:t>
            </w:r>
          </w:p>
        </w:tc>
        <w:tc>
          <w:tcPr>
            <w:tcW w:w="90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500" w:type="dxa"/>
            <w:vAlign w:val="bottom"/>
            <w:shd w:val="clear" w:color="auto" w:fill="9DBDE4"/>
          </w:tcPr>
          <w:p>
            <w:pPr>
              <w:jc w:val="right"/>
              <w:spacing w:after="0" w:line="156" w:lineRule="exact"/>
              <w:rPr>
                <w:sz w:val="20"/>
                <w:szCs w:val="20"/>
                <w:color w:val="auto"/>
              </w:rPr>
            </w:pPr>
            <w:r>
              <w:rPr>
                <w:rFonts w:ascii="Arial" w:cs="Arial" w:eastAsia="Arial" w:hAnsi="Arial"/>
                <w:sz w:val="14"/>
                <w:szCs w:val="14"/>
                <w:color w:val="auto"/>
              </w:rPr>
              <w:t>$0</w:t>
            </w:r>
          </w:p>
        </w:tc>
        <w:tc>
          <w:tcPr>
            <w:tcW w:w="10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$0</w:t>
            </w:r>
          </w:p>
        </w:tc>
        <w:tc>
          <w:tcPr>
            <w:tcW w:w="9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$1,803,319</w:t>
            </w:r>
          </w:p>
        </w:tc>
        <w:tc>
          <w:tcPr>
            <w:tcW w:w="8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$1,803,319</w:t>
            </w:r>
          </w:p>
        </w:tc>
        <w:tc>
          <w:tcPr>
            <w:tcW w:w="142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$1,803,319</w:t>
            </w: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2480" w:type="dxa"/>
            <w:vAlign w:val="bottom"/>
            <w:gridSpan w:val="10"/>
          </w:tcPr>
          <w:p>
            <w:pPr>
              <w:spacing w:after="0" w:line="156" w:lineRule="exact"/>
              <w:rPr>
                <w:sz w:val="20"/>
                <w:szCs w:val="20"/>
                <w:color w:val="auto"/>
              </w:rPr>
            </w:pPr>
            <w:r>
              <w:rPr>
                <w:rFonts w:ascii="Arial" w:cs="Arial" w:eastAsia="Arial" w:hAnsi="Arial"/>
                <w:sz w:val="14"/>
                <w:szCs w:val="14"/>
                <w:color w:val="auto"/>
              </w:rPr>
              <w:t>Alessandro da Silva</w:t>
            </w:r>
          </w:p>
        </w:tc>
        <w:tc>
          <w:tcPr>
            <w:tcW w:w="900" w:type="dxa"/>
            <w:vAlign w:val="bottom"/>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500" w:type="dxa"/>
            <w:vAlign w:val="bottom"/>
          </w:tcPr>
          <w:p>
            <w:pPr>
              <w:jc w:val="right"/>
              <w:spacing w:after="0" w:line="156" w:lineRule="exact"/>
              <w:rPr>
                <w:sz w:val="20"/>
                <w:szCs w:val="20"/>
                <w:color w:val="auto"/>
              </w:rPr>
            </w:pPr>
            <w:r>
              <w:rPr>
                <w:rFonts w:ascii="Arial" w:cs="Arial" w:eastAsia="Arial" w:hAnsi="Arial"/>
                <w:sz w:val="14"/>
                <w:szCs w:val="14"/>
                <w:color w:val="auto"/>
              </w:rPr>
              <w:t>$0</w:t>
            </w:r>
          </w:p>
        </w:tc>
        <w:tc>
          <w:tcPr>
            <w:tcW w:w="10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$0</w:t>
            </w:r>
          </w:p>
        </w:tc>
        <w:tc>
          <w:tcPr>
            <w:tcW w:w="9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$1,593,097</w:t>
            </w:r>
          </w:p>
        </w:tc>
        <w:tc>
          <w:tcPr>
            <w:tcW w:w="860" w:type="dxa"/>
            <w:vAlign w:val="bottom"/>
          </w:tcPr>
          <w:p>
            <w:pPr>
              <w:jc w:val="right"/>
              <w:ind w:right="11"/>
              <w:spacing w:after="0" w:line="156" w:lineRule="exact"/>
              <w:rPr>
                <w:sz w:val="20"/>
                <w:szCs w:val="20"/>
                <w:color w:val="auto"/>
              </w:rPr>
            </w:pPr>
            <w:r>
              <w:rPr>
                <w:rFonts w:ascii="Arial" w:cs="Arial" w:eastAsia="Arial" w:hAnsi="Arial"/>
                <w:sz w:val="14"/>
                <w:szCs w:val="14"/>
                <w:color w:val="auto"/>
              </w:rPr>
              <w:t>$1,593,097</w:t>
            </w:r>
          </w:p>
        </w:tc>
        <w:tc>
          <w:tcPr>
            <w:tcW w:w="1420" w:type="dxa"/>
            <w:vAlign w:val="bottom"/>
          </w:tcPr>
          <w:p>
            <w:pPr>
              <w:jc w:val="right"/>
              <w:ind w:right="11"/>
              <w:spacing w:after="0" w:line="156" w:lineRule="exact"/>
              <w:rPr>
                <w:sz w:val="20"/>
                <w:szCs w:val="20"/>
                <w:color w:val="auto"/>
              </w:rPr>
            </w:pPr>
            <w:r>
              <w:rPr>
                <w:rFonts w:ascii="Arial" w:cs="Arial" w:eastAsia="Arial" w:hAnsi="Arial"/>
                <w:sz w:val="14"/>
                <w:szCs w:val="14"/>
                <w:color w:val="auto"/>
              </w:rPr>
              <w:t>$1,593,097</w:t>
            </w:r>
          </w:p>
        </w:tc>
        <w:tc>
          <w:tcPr>
            <w:tcW w:w="0" w:type="dxa"/>
            <w:vAlign w:val="bottom"/>
          </w:tcPr>
          <w:p>
            <w:pPr>
              <w:spacing w:after="0"/>
              <w:rPr>
                <w:sz w:val="1"/>
                <w:szCs w:val="1"/>
                <w:color w:val="auto"/>
              </w:rPr>
            </w:pPr>
          </w:p>
        </w:tc>
      </w:tr>
      <w:tr>
        <w:trPr>
          <w:trHeight w:val="156"/>
        </w:trPr>
        <w:tc>
          <w:tcPr>
            <w:tcW w:w="220" w:type="dxa"/>
            <w:vAlign w:val="bottom"/>
            <w:shd w:val="clear" w:color="auto" w:fill="9DBDE4"/>
          </w:tcPr>
          <w:p>
            <w:pPr>
              <w:spacing w:after="0"/>
              <w:rPr>
                <w:sz w:val="13"/>
                <w:szCs w:val="13"/>
                <w:color w:val="auto"/>
              </w:rPr>
            </w:pPr>
          </w:p>
        </w:tc>
        <w:tc>
          <w:tcPr>
            <w:tcW w:w="2480" w:type="dxa"/>
            <w:vAlign w:val="bottom"/>
            <w:gridSpan w:val="10"/>
            <w:shd w:val="clear" w:color="auto" w:fill="9DBDE4"/>
          </w:tcPr>
          <w:p>
            <w:pPr>
              <w:spacing w:after="0" w:line="156" w:lineRule="exact"/>
              <w:rPr>
                <w:sz w:val="20"/>
                <w:szCs w:val="20"/>
                <w:color w:val="auto"/>
              </w:rPr>
            </w:pPr>
            <w:r>
              <w:rPr>
                <w:rFonts w:ascii="Arial" w:cs="Arial" w:eastAsia="Arial" w:hAnsi="Arial"/>
                <w:sz w:val="14"/>
                <w:szCs w:val="14"/>
                <w:color w:val="auto"/>
              </w:rPr>
              <w:t>Debbie Guerra</w:t>
            </w:r>
          </w:p>
        </w:tc>
        <w:tc>
          <w:tcPr>
            <w:tcW w:w="90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500" w:type="dxa"/>
            <w:vAlign w:val="bottom"/>
            <w:shd w:val="clear" w:color="auto" w:fill="9DBDE4"/>
          </w:tcPr>
          <w:p>
            <w:pPr>
              <w:jc w:val="right"/>
              <w:spacing w:after="0" w:line="156" w:lineRule="exact"/>
              <w:rPr>
                <w:sz w:val="20"/>
                <w:szCs w:val="20"/>
                <w:color w:val="auto"/>
              </w:rPr>
            </w:pPr>
            <w:r>
              <w:rPr>
                <w:rFonts w:ascii="Arial" w:cs="Arial" w:eastAsia="Arial" w:hAnsi="Arial"/>
                <w:sz w:val="14"/>
                <w:szCs w:val="14"/>
                <w:color w:val="auto"/>
              </w:rPr>
              <w:t>$0</w:t>
            </w:r>
          </w:p>
        </w:tc>
        <w:tc>
          <w:tcPr>
            <w:tcW w:w="10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$0</w:t>
            </w:r>
          </w:p>
        </w:tc>
        <w:tc>
          <w:tcPr>
            <w:tcW w:w="9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$1,208,761</w:t>
            </w:r>
          </w:p>
        </w:tc>
        <w:tc>
          <w:tcPr>
            <w:tcW w:w="8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$1,208,761</w:t>
            </w:r>
          </w:p>
        </w:tc>
        <w:tc>
          <w:tcPr>
            <w:tcW w:w="142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$1,208,761</w:t>
            </w:r>
          </w:p>
        </w:tc>
        <w:tc>
          <w:tcPr>
            <w:tcW w:w="0" w:type="dxa"/>
            <w:vAlign w:val="bottom"/>
          </w:tcPr>
          <w:p>
            <w:pPr>
              <w:spacing w:after="0"/>
              <w:rPr>
                <w:sz w:val="1"/>
                <w:szCs w:val="1"/>
                <w:color w:val="auto"/>
              </w:rPr>
            </w:pPr>
          </w:p>
        </w:tc>
      </w:tr>
      <w:tr>
        <w:trPr>
          <w:trHeight w:val="104"/>
        </w:trPr>
        <w:tc>
          <w:tcPr>
            <w:tcW w:w="220" w:type="dxa"/>
            <w:vAlign w:val="bottom"/>
          </w:tcPr>
          <w:p>
            <w:pPr>
              <w:spacing w:after="0"/>
              <w:rPr>
                <w:sz w:val="9"/>
                <w:szCs w:val="9"/>
                <w:color w:val="auto"/>
              </w:rPr>
            </w:pPr>
          </w:p>
        </w:tc>
        <w:tc>
          <w:tcPr>
            <w:tcW w:w="1640" w:type="dxa"/>
            <w:vAlign w:val="bottom"/>
            <w:gridSpan w:val="8"/>
            <w:vMerge w:val="restart"/>
          </w:tcPr>
          <w:p>
            <w:pPr>
              <w:spacing w:after="0" w:line="143" w:lineRule="exact"/>
              <w:rPr>
                <w:sz w:val="20"/>
                <w:szCs w:val="20"/>
                <w:color w:val="auto"/>
              </w:rPr>
            </w:pPr>
            <w:r>
              <w:rPr>
                <w:rFonts w:ascii="Arial" w:cs="Arial" w:eastAsia="Arial" w:hAnsi="Arial"/>
                <w:sz w:val="14"/>
                <w:szCs w:val="14"/>
                <w:b w:val="1"/>
                <w:bCs w:val="1"/>
                <w:color w:val="auto"/>
                <w:w w:val="96"/>
              </w:rPr>
              <w:t>Performance Share Units</w:t>
            </w:r>
          </w:p>
        </w:tc>
        <w:tc>
          <w:tcPr>
            <w:tcW w:w="140" w:type="dxa"/>
            <w:vAlign w:val="bottom"/>
            <w:tcBorders>
              <w:bottom w:val="single" w:sz="8" w:color="auto"/>
            </w:tcBorders>
          </w:tcPr>
          <w:p>
            <w:pPr>
              <w:jc w:val="right"/>
              <w:spacing w:after="0" w:line="84" w:lineRule="exact"/>
              <w:rPr>
                <w:sz w:val="20"/>
                <w:szCs w:val="20"/>
                <w:color w:val="auto"/>
              </w:rPr>
            </w:pPr>
            <w:r>
              <w:rPr>
                <w:rFonts w:ascii="Arial" w:cs="Arial" w:eastAsia="Arial" w:hAnsi="Arial"/>
                <w:sz w:val="9"/>
                <w:szCs w:val="9"/>
                <w:b w:val="1"/>
                <w:bCs w:val="1"/>
                <w:color w:val="auto"/>
              </w:rPr>
              <w:t>(2)</w:t>
            </w:r>
          </w:p>
        </w:tc>
        <w:tc>
          <w:tcPr>
            <w:tcW w:w="700" w:type="dxa"/>
            <w:vAlign w:val="bottom"/>
            <w:vMerge w:val="restart"/>
          </w:tcPr>
          <w:p>
            <w:pPr>
              <w:jc w:val="right"/>
              <w:ind w:right="620"/>
              <w:spacing w:after="0"/>
              <w:rPr>
                <w:sz w:val="20"/>
                <w:szCs w:val="20"/>
                <w:color w:val="auto"/>
              </w:rPr>
            </w:pPr>
            <w:r>
              <w:rPr>
                <w:rFonts w:ascii="Arial" w:cs="Arial" w:eastAsia="Arial" w:hAnsi="Arial"/>
                <w:sz w:val="8"/>
                <w:szCs w:val="8"/>
                <w:b w:val="1"/>
                <w:bCs w:val="1"/>
                <w:u w:val="single" w:color="auto"/>
                <w:color w:val="auto"/>
                <w:w w:val="73"/>
              </w:rPr>
              <w:t>:</w:t>
            </w:r>
          </w:p>
        </w:tc>
        <w:tc>
          <w:tcPr>
            <w:tcW w:w="9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20" w:type="dxa"/>
            <w:vAlign w:val="bottom"/>
          </w:tcPr>
          <w:p>
            <w:pPr>
              <w:spacing w:after="0" w:line="20" w:lineRule="exact"/>
              <w:rPr>
                <w:sz w:val="1"/>
                <w:szCs w:val="1"/>
                <w:color w:val="auto"/>
              </w:rPr>
            </w:pPr>
          </w:p>
        </w:tc>
        <w:tc>
          <w:tcPr>
            <w:tcW w:w="1640" w:type="dxa"/>
            <w:vAlign w:val="bottom"/>
            <w:tcBorders>
              <w:bottom w:val="single" w:sz="8" w:color="auto"/>
            </w:tcBorders>
            <w:gridSpan w:val="8"/>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20" w:type="dxa"/>
            <w:vAlign w:val="bottom"/>
            <w:shd w:val="clear" w:color="auto" w:fill="9DBDE4"/>
          </w:tcPr>
          <w:p>
            <w:pPr>
              <w:spacing w:after="0"/>
              <w:rPr>
                <w:sz w:val="12"/>
                <w:szCs w:val="12"/>
                <w:color w:val="auto"/>
              </w:rPr>
            </w:pPr>
          </w:p>
        </w:tc>
        <w:tc>
          <w:tcPr>
            <w:tcW w:w="2480" w:type="dxa"/>
            <w:vAlign w:val="bottom"/>
            <w:gridSpan w:val="10"/>
            <w:shd w:val="clear" w:color="auto" w:fill="9DBDE4"/>
          </w:tcPr>
          <w:p>
            <w:pPr>
              <w:spacing w:after="0" w:line="148" w:lineRule="exact"/>
              <w:rPr>
                <w:sz w:val="20"/>
                <w:szCs w:val="20"/>
                <w:color w:val="auto"/>
              </w:rPr>
            </w:pPr>
            <w:r>
              <w:rPr>
                <w:rFonts w:ascii="Arial" w:cs="Arial" w:eastAsia="Arial" w:hAnsi="Arial"/>
                <w:sz w:val="14"/>
                <w:szCs w:val="14"/>
                <w:color w:val="auto"/>
              </w:rPr>
              <w:t>Thomas W. Warsop, III</w:t>
            </w:r>
          </w:p>
        </w:tc>
        <w:tc>
          <w:tcPr>
            <w:tcW w:w="900" w:type="dxa"/>
            <w:vAlign w:val="bottom"/>
            <w:shd w:val="clear" w:color="auto" w:fill="9DBDE4"/>
          </w:tcPr>
          <w:p>
            <w:pPr>
              <w:jc w:val="right"/>
              <w:ind w:right="11"/>
              <w:spacing w:after="0" w:line="148" w:lineRule="exact"/>
              <w:rPr>
                <w:sz w:val="20"/>
                <w:szCs w:val="20"/>
                <w:color w:val="auto"/>
              </w:rPr>
            </w:pPr>
            <w:r>
              <w:rPr>
                <w:rFonts w:ascii="Arial" w:cs="Arial" w:eastAsia="Arial" w:hAnsi="Arial"/>
                <w:sz w:val="14"/>
                <w:szCs w:val="14"/>
                <w:color w:val="auto"/>
              </w:rPr>
              <w:t>$971,856</w:t>
            </w:r>
          </w:p>
        </w:tc>
        <w:tc>
          <w:tcPr>
            <w:tcW w:w="1060" w:type="dxa"/>
            <w:vAlign w:val="bottom"/>
            <w:shd w:val="clear" w:color="auto" w:fill="9DBDE4"/>
          </w:tcPr>
          <w:p>
            <w:pPr>
              <w:jc w:val="right"/>
              <w:ind w:right="11"/>
              <w:spacing w:after="0" w:line="148" w:lineRule="exact"/>
              <w:rPr>
                <w:sz w:val="20"/>
                <w:szCs w:val="20"/>
                <w:color w:val="auto"/>
              </w:rPr>
            </w:pPr>
            <w:r>
              <w:rPr>
                <w:rFonts w:ascii="Arial" w:cs="Arial" w:eastAsia="Arial" w:hAnsi="Arial"/>
                <w:sz w:val="14"/>
                <w:szCs w:val="14"/>
                <w:color w:val="auto"/>
              </w:rPr>
              <w:t>$0</w:t>
            </w:r>
          </w:p>
        </w:tc>
        <w:tc>
          <w:tcPr>
            <w:tcW w:w="500" w:type="dxa"/>
            <w:vAlign w:val="bottom"/>
            <w:shd w:val="clear" w:color="auto" w:fill="9DBDE4"/>
          </w:tcPr>
          <w:p>
            <w:pPr>
              <w:jc w:val="right"/>
              <w:spacing w:after="0" w:line="148" w:lineRule="exact"/>
              <w:rPr>
                <w:sz w:val="20"/>
                <w:szCs w:val="20"/>
                <w:color w:val="auto"/>
              </w:rPr>
            </w:pPr>
            <w:r>
              <w:rPr>
                <w:rFonts w:ascii="Arial" w:cs="Arial" w:eastAsia="Arial" w:hAnsi="Arial"/>
                <w:sz w:val="14"/>
                <w:szCs w:val="14"/>
                <w:color w:val="auto"/>
              </w:rPr>
              <w:t>$0</w:t>
            </w:r>
          </w:p>
        </w:tc>
        <w:tc>
          <w:tcPr>
            <w:tcW w:w="1000" w:type="dxa"/>
            <w:vAlign w:val="bottom"/>
            <w:shd w:val="clear" w:color="auto" w:fill="9DBDE4"/>
          </w:tcPr>
          <w:p>
            <w:pPr>
              <w:jc w:val="right"/>
              <w:ind w:right="31"/>
              <w:spacing w:after="0" w:line="148" w:lineRule="exact"/>
              <w:rPr>
                <w:sz w:val="20"/>
                <w:szCs w:val="20"/>
                <w:color w:val="auto"/>
              </w:rPr>
            </w:pPr>
            <w:r>
              <w:rPr>
                <w:rFonts w:ascii="Arial" w:cs="Arial" w:eastAsia="Arial" w:hAnsi="Arial"/>
                <w:sz w:val="14"/>
                <w:szCs w:val="14"/>
                <w:color w:val="auto"/>
              </w:rPr>
              <w:t>$971,856</w:t>
            </w:r>
          </w:p>
        </w:tc>
        <w:tc>
          <w:tcPr>
            <w:tcW w:w="900" w:type="dxa"/>
            <w:vAlign w:val="bottom"/>
            <w:shd w:val="clear" w:color="auto" w:fill="9DBDE4"/>
          </w:tcPr>
          <w:p>
            <w:pPr>
              <w:jc w:val="right"/>
              <w:ind w:right="31"/>
              <w:spacing w:after="0" w:line="148" w:lineRule="exact"/>
              <w:rPr>
                <w:sz w:val="20"/>
                <w:szCs w:val="20"/>
                <w:color w:val="auto"/>
              </w:rPr>
            </w:pPr>
            <w:r>
              <w:rPr>
                <w:rFonts w:ascii="Arial" w:cs="Arial" w:eastAsia="Arial" w:hAnsi="Arial"/>
                <w:sz w:val="14"/>
                <w:szCs w:val="14"/>
                <w:color w:val="auto"/>
              </w:rPr>
              <w:t>$971,856</w:t>
            </w:r>
          </w:p>
        </w:tc>
        <w:tc>
          <w:tcPr>
            <w:tcW w:w="860" w:type="dxa"/>
            <w:vAlign w:val="bottom"/>
            <w:shd w:val="clear" w:color="auto" w:fill="9DBDE4"/>
          </w:tcPr>
          <w:p>
            <w:pPr>
              <w:jc w:val="right"/>
              <w:ind w:right="11"/>
              <w:spacing w:after="0" w:line="148" w:lineRule="exact"/>
              <w:rPr>
                <w:sz w:val="20"/>
                <w:szCs w:val="20"/>
                <w:color w:val="auto"/>
              </w:rPr>
            </w:pPr>
            <w:r>
              <w:rPr>
                <w:rFonts w:ascii="Arial" w:cs="Arial" w:eastAsia="Arial" w:hAnsi="Arial"/>
                <w:sz w:val="14"/>
                <w:szCs w:val="14"/>
                <w:color w:val="auto"/>
              </w:rPr>
              <w:t>$971,856</w:t>
            </w:r>
          </w:p>
        </w:tc>
        <w:tc>
          <w:tcPr>
            <w:tcW w:w="1420" w:type="dxa"/>
            <w:vAlign w:val="bottom"/>
            <w:shd w:val="clear" w:color="auto" w:fill="9DBDE4"/>
          </w:tcPr>
          <w:p>
            <w:pPr>
              <w:jc w:val="right"/>
              <w:ind w:right="11"/>
              <w:spacing w:after="0" w:line="148" w:lineRule="exact"/>
              <w:rPr>
                <w:sz w:val="20"/>
                <w:szCs w:val="20"/>
                <w:color w:val="auto"/>
              </w:rPr>
            </w:pPr>
            <w:r>
              <w:rPr>
                <w:rFonts w:ascii="Arial" w:cs="Arial" w:eastAsia="Arial" w:hAnsi="Arial"/>
                <w:sz w:val="14"/>
                <w:szCs w:val="14"/>
                <w:color w:val="auto"/>
              </w:rPr>
              <w:t>$3,498,682</w:t>
            </w: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2480" w:type="dxa"/>
            <w:vAlign w:val="bottom"/>
            <w:gridSpan w:val="10"/>
          </w:tcPr>
          <w:p>
            <w:pPr>
              <w:spacing w:after="0" w:line="156" w:lineRule="exact"/>
              <w:rPr>
                <w:sz w:val="20"/>
                <w:szCs w:val="20"/>
                <w:color w:val="auto"/>
              </w:rPr>
            </w:pPr>
            <w:r>
              <w:rPr>
                <w:rFonts w:ascii="Arial" w:cs="Arial" w:eastAsia="Arial" w:hAnsi="Arial"/>
                <w:sz w:val="14"/>
                <w:szCs w:val="14"/>
                <w:color w:val="auto"/>
              </w:rPr>
              <w:t>Scott W. Behrens</w:t>
            </w:r>
          </w:p>
        </w:tc>
        <w:tc>
          <w:tcPr>
            <w:tcW w:w="900" w:type="dxa"/>
            <w:vAlign w:val="bottom"/>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500" w:type="dxa"/>
            <w:vAlign w:val="bottom"/>
          </w:tcPr>
          <w:p>
            <w:pPr>
              <w:jc w:val="right"/>
              <w:spacing w:after="0" w:line="156" w:lineRule="exact"/>
              <w:rPr>
                <w:sz w:val="20"/>
                <w:szCs w:val="20"/>
                <w:color w:val="auto"/>
              </w:rPr>
            </w:pPr>
            <w:r>
              <w:rPr>
                <w:rFonts w:ascii="Arial" w:cs="Arial" w:eastAsia="Arial" w:hAnsi="Arial"/>
                <w:sz w:val="14"/>
                <w:szCs w:val="14"/>
                <w:color w:val="auto"/>
              </w:rPr>
              <w:t>$0</w:t>
            </w:r>
          </w:p>
        </w:tc>
        <w:tc>
          <w:tcPr>
            <w:tcW w:w="10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$1,830,959</w:t>
            </w:r>
          </w:p>
        </w:tc>
        <w:tc>
          <w:tcPr>
            <w:tcW w:w="9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$1,830,959</w:t>
            </w:r>
          </w:p>
        </w:tc>
        <w:tc>
          <w:tcPr>
            <w:tcW w:w="860" w:type="dxa"/>
            <w:vAlign w:val="bottom"/>
          </w:tcPr>
          <w:p>
            <w:pPr>
              <w:jc w:val="right"/>
              <w:ind w:right="11"/>
              <w:spacing w:after="0" w:line="156" w:lineRule="exact"/>
              <w:rPr>
                <w:sz w:val="20"/>
                <w:szCs w:val="20"/>
                <w:color w:val="auto"/>
              </w:rPr>
            </w:pPr>
            <w:r>
              <w:rPr>
                <w:rFonts w:ascii="Arial" w:cs="Arial" w:eastAsia="Arial" w:hAnsi="Arial"/>
                <w:sz w:val="14"/>
                <w:szCs w:val="14"/>
                <w:color w:val="auto"/>
              </w:rPr>
              <w:t>$1,830,959</w:t>
            </w:r>
          </w:p>
        </w:tc>
        <w:tc>
          <w:tcPr>
            <w:tcW w:w="1420" w:type="dxa"/>
            <w:vAlign w:val="bottom"/>
          </w:tcPr>
          <w:p>
            <w:pPr>
              <w:jc w:val="right"/>
              <w:ind w:right="11"/>
              <w:spacing w:after="0" w:line="156" w:lineRule="exact"/>
              <w:rPr>
                <w:sz w:val="20"/>
                <w:szCs w:val="20"/>
                <w:color w:val="auto"/>
              </w:rPr>
            </w:pPr>
            <w:r>
              <w:rPr>
                <w:rFonts w:ascii="Arial" w:cs="Arial" w:eastAsia="Arial" w:hAnsi="Arial"/>
                <w:sz w:val="14"/>
                <w:szCs w:val="14"/>
                <w:color w:val="auto"/>
              </w:rPr>
              <w:t>$3,423,069</w:t>
            </w:r>
          </w:p>
        </w:tc>
        <w:tc>
          <w:tcPr>
            <w:tcW w:w="0" w:type="dxa"/>
            <w:vAlign w:val="bottom"/>
          </w:tcPr>
          <w:p>
            <w:pPr>
              <w:spacing w:after="0"/>
              <w:rPr>
                <w:sz w:val="1"/>
                <w:szCs w:val="1"/>
                <w:color w:val="auto"/>
              </w:rPr>
            </w:pPr>
          </w:p>
        </w:tc>
      </w:tr>
      <w:tr>
        <w:trPr>
          <w:trHeight w:val="156"/>
        </w:trPr>
        <w:tc>
          <w:tcPr>
            <w:tcW w:w="220" w:type="dxa"/>
            <w:vAlign w:val="bottom"/>
            <w:shd w:val="clear" w:color="auto" w:fill="9DBDE4"/>
          </w:tcPr>
          <w:p>
            <w:pPr>
              <w:spacing w:after="0"/>
              <w:rPr>
                <w:sz w:val="13"/>
                <w:szCs w:val="13"/>
                <w:color w:val="auto"/>
              </w:rPr>
            </w:pPr>
          </w:p>
        </w:tc>
        <w:tc>
          <w:tcPr>
            <w:tcW w:w="2480" w:type="dxa"/>
            <w:vAlign w:val="bottom"/>
            <w:gridSpan w:val="10"/>
            <w:shd w:val="clear" w:color="auto" w:fill="9DBDE4"/>
          </w:tcPr>
          <w:p>
            <w:pPr>
              <w:spacing w:after="0" w:line="156" w:lineRule="exact"/>
              <w:rPr>
                <w:sz w:val="20"/>
                <w:szCs w:val="20"/>
                <w:color w:val="auto"/>
              </w:rPr>
            </w:pPr>
            <w:r>
              <w:rPr>
                <w:rFonts w:ascii="Arial" w:cs="Arial" w:eastAsia="Arial" w:hAnsi="Arial"/>
                <w:sz w:val="14"/>
                <w:szCs w:val="14"/>
                <w:color w:val="auto"/>
              </w:rPr>
              <w:t>Abraham Kuruvilla</w:t>
            </w:r>
          </w:p>
        </w:tc>
        <w:tc>
          <w:tcPr>
            <w:tcW w:w="90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500" w:type="dxa"/>
            <w:vAlign w:val="bottom"/>
            <w:shd w:val="clear" w:color="auto" w:fill="9DBDE4"/>
          </w:tcPr>
          <w:p>
            <w:pPr>
              <w:jc w:val="right"/>
              <w:spacing w:after="0" w:line="156" w:lineRule="exact"/>
              <w:rPr>
                <w:sz w:val="20"/>
                <w:szCs w:val="20"/>
                <w:color w:val="auto"/>
              </w:rPr>
            </w:pPr>
            <w:r>
              <w:rPr>
                <w:rFonts w:ascii="Arial" w:cs="Arial" w:eastAsia="Arial" w:hAnsi="Arial"/>
                <w:sz w:val="14"/>
                <w:szCs w:val="14"/>
                <w:color w:val="auto"/>
              </w:rPr>
              <w:t>$0</w:t>
            </w:r>
          </w:p>
        </w:tc>
        <w:tc>
          <w:tcPr>
            <w:tcW w:w="10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$0</w:t>
            </w:r>
          </w:p>
        </w:tc>
        <w:tc>
          <w:tcPr>
            <w:tcW w:w="9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$0</w:t>
            </w:r>
          </w:p>
        </w:tc>
        <w:tc>
          <w:tcPr>
            <w:tcW w:w="8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42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2480" w:type="dxa"/>
            <w:vAlign w:val="bottom"/>
            <w:gridSpan w:val="10"/>
          </w:tcPr>
          <w:p>
            <w:pPr>
              <w:spacing w:after="0" w:line="156" w:lineRule="exact"/>
              <w:rPr>
                <w:sz w:val="20"/>
                <w:szCs w:val="20"/>
                <w:color w:val="auto"/>
              </w:rPr>
            </w:pPr>
            <w:r>
              <w:rPr>
                <w:rFonts w:ascii="Arial" w:cs="Arial" w:eastAsia="Arial" w:hAnsi="Arial"/>
                <w:sz w:val="14"/>
                <w:szCs w:val="14"/>
                <w:color w:val="auto"/>
              </w:rPr>
              <w:t>Alessandro da Silva</w:t>
            </w:r>
          </w:p>
        </w:tc>
        <w:tc>
          <w:tcPr>
            <w:tcW w:w="900" w:type="dxa"/>
            <w:vAlign w:val="bottom"/>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500" w:type="dxa"/>
            <w:vAlign w:val="bottom"/>
          </w:tcPr>
          <w:p>
            <w:pPr>
              <w:jc w:val="right"/>
              <w:spacing w:after="0" w:line="156" w:lineRule="exact"/>
              <w:rPr>
                <w:sz w:val="20"/>
                <w:szCs w:val="20"/>
                <w:color w:val="auto"/>
              </w:rPr>
            </w:pPr>
            <w:r>
              <w:rPr>
                <w:rFonts w:ascii="Arial" w:cs="Arial" w:eastAsia="Arial" w:hAnsi="Arial"/>
                <w:sz w:val="14"/>
                <w:szCs w:val="14"/>
                <w:color w:val="auto"/>
              </w:rPr>
              <w:t>$0</w:t>
            </w:r>
          </w:p>
        </w:tc>
        <w:tc>
          <w:tcPr>
            <w:tcW w:w="10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$371,576</w:t>
            </w:r>
          </w:p>
        </w:tc>
        <w:tc>
          <w:tcPr>
            <w:tcW w:w="9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$371,576</w:t>
            </w:r>
          </w:p>
        </w:tc>
        <w:tc>
          <w:tcPr>
            <w:tcW w:w="860" w:type="dxa"/>
            <w:vAlign w:val="bottom"/>
          </w:tcPr>
          <w:p>
            <w:pPr>
              <w:jc w:val="right"/>
              <w:ind w:right="11"/>
              <w:spacing w:after="0" w:line="156" w:lineRule="exact"/>
              <w:rPr>
                <w:sz w:val="20"/>
                <w:szCs w:val="20"/>
                <w:color w:val="auto"/>
              </w:rPr>
            </w:pPr>
            <w:r>
              <w:rPr>
                <w:rFonts w:ascii="Arial" w:cs="Arial" w:eastAsia="Arial" w:hAnsi="Arial"/>
                <w:sz w:val="14"/>
                <w:szCs w:val="14"/>
                <w:color w:val="auto"/>
              </w:rPr>
              <w:t>$371,576</w:t>
            </w:r>
          </w:p>
        </w:tc>
        <w:tc>
          <w:tcPr>
            <w:tcW w:w="1420" w:type="dxa"/>
            <w:vAlign w:val="bottom"/>
          </w:tcPr>
          <w:p>
            <w:pPr>
              <w:jc w:val="right"/>
              <w:ind w:right="11"/>
              <w:spacing w:after="0" w:line="156" w:lineRule="exact"/>
              <w:rPr>
                <w:sz w:val="20"/>
                <w:szCs w:val="20"/>
                <w:color w:val="auto"/>
              </w:rPr>
            </w:pPr>
            <w:r>
              <w:rPr>
                <w:rFonts w:ascii="Arial" w:cs="Arial" w:eastAsia="Arial" w:hAnsi="Arial"/>
                <w:sz w:val="14"/>
                <w:szCs w:val="14"/>
                <w:color w:val="auto"/>
              </w:rPr>
              <w:t>$1,130,425</w:t>
            </w:r>
          </w:p>
        </w:tc>
        <w:tc>
          <w:tcPr>
            <w:tcW w:w="0" w:type="dxa"/>
            <w:vAlign w:val="bottom"/>
          </w:tcPr>
          <w:p>
            <w:pPr>
              <w:spacing w:after="0"/>
              <w:rPr>
                <w:sz w:val="1"/>
                <w:szCs w:val="1"/>
                <w:color w:val="auto"/>
              </w:rPr>
            </w:pPr>
          </w:p>
        </w:tc>
      </w:tr>
      <w:tr>
        <w:trPr>
          <w:trHeight w:val="156"/>
        </w:trPr>
        <w:tc>
          <w:tcPr>
            <w:tcW w:w="220" w:type="dxa"/>
            <w:vAlign w:val="bottom"/>
            <w:shd w:val="clear" w:color="auto" w:fill="9DBDE4"/>
          </w:tcPr>
          <w:p>
            <w:pPr>
              <w:spacing w:after="0"/>
              <w:rPr>
                <w:sz w:val="13"/>
                <w:szCs w:val="13"/>
                <w:color w:val="auto"/>
              </w:rPr>
            </w:pPr>
          </w:p>
        </w:tc>
        <w:tc>
          <w:tcPr>
            <w:tcW w:w="2480" w:type="dxa"/>
            <w:vAlign w:val="bottom"/>
            <w:gridSpan w:val="10"/>
            <w:shd w:val="clear" w:color="auto" w:fill="9DBDE4"/>
          </w:tcPr>
          <w:p>
            <w:pPr>
              <w:spacing w:after="0" w:line="156" w:lineRule="exact"/>
              <w:rPr>
                <w:sz w:val="20"/>
                <w:szCs w:val="20"/>
                <w:color w:val="auto"/>
              </w:rPr>
            </w:pPr>
            <w:r>
              <w:rPr>
                <w:rFonts w:ascii="Arial" w:cs="Arial" w:eastAsia="Arial" w:hAnsi="Arial"/>
                <w:sz w:val="14"/>
                <w:szCs w:val="14"/>
                <w:color w:val="auto"/>
              </w:rPr>
              <w:t>Debbie Guerra</w:t>
            </w:r>
          </w:p>
        </w:tc>
        <w:tc>
          <w:tcPr>
            <w:tcW w:w="90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500" w:type="dxa"/>
            <w:vAlign w:val="bottom"/>
            <w:shd w:val="clear" w:color="auto" w:fill="9DBDE4"/>
          </w:tcPr>
          <w:p>
            <w:pPr>
              <w:jc w:val="right"/>
              <w:spacing w:after="0" w:line="156" w:lineRule="exact"/>
              <w:rPr>
                <w:sz w:val="20"/>
                <w:szCs w:val="20"/>
                <w:color w:val="auto"/>
              </w:rPr>
            </w:pPr>
            <w:r>
              <w:rPr>
                <w:rFonts w:ascii="Arial" w:cs="Arial" w:eastAsia="Arial" w:hAnsi="Arial"/>
                <w:sz w:val="14"/>
                <w:szCs w:val="14"/>
                <w:color w:val="auto"/>
              </w:rPr>
              <w:t>$0</w:t>
            </w:r>
          </w:p>
        </w:tc>
        <w:tc>
          <w:tcPr>
            <w:tcW w:w="10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$472,076</w:t>
            </w:r>
          </w:p>
        </w:tc>
        <w:tc>
          <w:tcPr>
            <w:tcW w:w="9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$472,076</w:t>
            </w:r>
          </w:p>
        </w:tc>
        <w:tc>
          <w:tcPr>
            <w:tcW w:w="8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$472,076</w:t>
            </w:r>
          </w:p>
        </w:tc>
        <w:tc>
          <w:tcPr>
            <w:tcW w:w="142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$1,213,137</w:t>
            </w:r>
          </w:p>
        </w:tc>
        <w:tc>
          <w:tcPr>
            <w:tcW w:w="0" w:type="dxa"/>
            <w:vAlign w:val="bottom"/>
          </w:tcPr>
          <w:p>
            <w:pPr>
              <w:spacing w:after="0"/>
              <w:rPr>
                <w:sz w:val="1"/>
                <w:szCs w:val="1"/>
                <w:color w:val="auto"/>
              </w:rPr>
            </w:pPr>
          </w:p>
        </w:tc>
      </w:tr>
      <w:tr>
        <w:trPr>
          <w:trHeight w:val="147"/>
        </w:trPr>
        <w:tc>
          <w:tcPr>
            <w:tcW w:w="220" w:type="dxa"/>
            <w:vAlign w:val="bottom"/>
          </w:tcPr>
          <w:p>
            <w:pPr>
              <w:spacing w:after="0"/>
              <w:rPr>
                <w:sz w:val="12"/>
                <w:szCs w:val="12"/>
                <w:color w:val="auto"/>
              </w:rPr>
            </w:pPr>
          </w:p>
        </w:tc>
        <w:tc>
          <w:tcPr>
            <w:tcW w:w="2480" w:type="dxa"/>
            <w:vAlign w:val="bottom"/>
            <w:gridSpan w:val="10"/>
          </w:tcPr>
          <w:p>
            <w:pPr>
              <w:spacing w:after="0" w:line="147" w:lineRule="exact"/>
              <w:rPr>
                <w:sz w:val="20"/>
                <w:szCs w:val="20"/>
                <w:color w:val="auto"/>
              </w:rPr>
            </w:pPr>
            <w:r>
              <w:rPr>
                <w:rFonts w:ascii="Arial" w:cs="Arial" w:eastAsia="Arial" w:hAnsi="Arial"/>
                <w:sz w:val="14"/>
                <w:szCs w:val="14"/>
                <w:b w:val="1"/>
                <w:bCs w:val="1"/>
                <w:color w:val="auto"/>
              </w:rPr>
              <w:t>Health &amp; Welfare</w:t>
            </w: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20" w:type="dxa"/>
            <w:vAlign w:val="bottom"/>
          </w:tcPr>
          <w:p>
            <w:pPr>
              <w:spacing w:after="0"/>
              <w:rPr>
                <w:sz w:val="13"/>
                <w:szCs w:val="13"/>
                <w:color w:val="auto"/>
              </w:rPr>
            </w:pPr>
          </w:p>
        </w:tc>
        <w:tc>
          <w:tcPr>
            <w:tcW w:w="2480" w:type="dxa"/>
            <w:vAlign w:val="bottom"/>
            <w:gridSpan w:val="10"/>
          </w:tcPr>
          <w:p>
            <w:pPr>
              <w:spacing w:after="0" w:line="153" w:lineRule="exact"/>
              <w:rPr>
                <w:sz w:val="20"/>
                <w:szCs w:val="20"/>
                <w:color w:val="auto"/>
              </w:rPr>
            </w:pPr>
            <w:r>
              <w:rPr>
                <w:rFonts w:ascii="Arial" w:cs="Arial" w:eastAsia="Arial" w:hAnsi="Arial"/>
                <w:sz w:val="14"/>
                <w:szCs w:val="14"/>
                <w:b w:val="1"/>
                <w:bCs w:val="1"/>
                <w:color w:val="auto"/>
              </w:rPr>
              <w:t>Benefits Continuation:</w:t>
            </w:r>
          </w:p>
        </w:tc>
        <w:tc>
          <w:tcPr>
            <w:tcW w:w="900" w:type="dxa"/>
            <w:vAlign w:val="bottom"/>
            <w:vMerge w:val="restart"/>
          </w:tcPr>
          <w:p>
            <w:pPr>
              <w:jc w:val="right"/>
              <w:ind w:right="11"/>
              <w:spacing w:after="0"/>
              <w:rPr>
                <w:sz w:val="20"/>
                <w:szCs w:val="20"/>
                <w:color w:val="auto"/>
              </w:rPr>
            </w:pPr>
            <w:r>
              <w:rPr>
                <w:rFonts w:ascii="Arial" w:cs="Arial" w:eastAsia="Arial" w:hAnsi="Arial"/>
                <w:sz w:val="14"/>
                <w:szCs w:val="14"/>
                <w:color w:val="auto"/>
              </w:rPr>
              <w:t>$29,074</w:t>
            </w:r>
          </w:p>
        </w:tc>
        <w:tc>
          <w:tcPr>
            <w:tcW w:w="1060" w:type="dxa"/>
            <w:vAlign w:val="bottom"/>
            <w:vMerge w:val="restart"/>
          </w:tcPr>
          <w:p>
            <w:pPr>
              <w:jc w:val="right"/>
              <w:ind w:right="11"/>
              <w:spacing w:after="0"/>
              <w:rPr>
                <w:sz w:val="20"/>
                <w:szCs w:val="20"/>
                <w:color w:val="auto"/>
              </w:rPr>
            </w:pPr>
            <w:r>
              <w:rPr>
                <w:rFonts w:ascii="Arial" w:cs="Arial" w:eastAsia="Arial" w:hAnsi="Arial"/>
                <w:sz w:val="14"/>
                <w:szCs w:val="14"/>
                <w:color w:val="auto"/>
              </w:rPr>
              <w:t>$0</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000" w:type="dxa"/>
            <w:vAlign w:val="bottom"/>
            <w:vMerge w:val="restart"/>
          </w:tcPr>
          <w:p>
            <w:pPr>
              <w:jc w:val="right"/>
              <w:ind w:right="31"/>
              <w:spacing w:after="0"/>
              <w:rPr>
                <w:sz w:val="20"/>
                <w:szCs w:val="20"/>
                <w:color w:val="auto"/>
              </w:rPr>
            </w:pPr>
            <w:r>
              <w:rPr>
                <w:rFonts w:ascii="Arial" w:cs="Arial" w:eastAsia="Arial" w:hAnsi="Arial"/>
                <w:sz w:val="14"/>
                <w:szCs w:val="14"/>
                <w:color w:val="auto"/>
              </w:rPr>
              <w:t>$29,074</w:t>
            </w:r>
          </w:p>
        </w:tc>
        <w:tc>
          <w:tcPr>
            <w:tcW w:w="900" w:type="dxa"/>
            <w:vAlign w:val="bottom"/>
            <w:vMerge w:val="restart"/>
          </w:tcPr>
          <w:p>
            <w:pPr>
              <w:jc w:val="right"/>
              <w:ind w:right="31"/>
              <w:spacing w:after="0"/>
              <w:rPr>
                <w:sz w:val="20"/>
                <w:szCs w:val="20"/>
                <w:color w:val="auto"/>
              </w:rPr>
            </w:pPr>
            <w:r>
              <w:rPr>
                <w:rFonts w:ascii="Arial" w:cs="Arial" w:eastAsia="Arial" w:hAnsi="Arial"/>
                <w:sz w:val="14"/>
                <w:szCs w:val="14"/>
                <w:color w:val="auto"/>
              </w:rPr>
              <w:t>$0</w:t>
            </w:r>
          </w:p>
        </w:tc>
        <w:tc>
          <w:tcPr>
            <w:tcW w:w="860" w:type="dxa"/>
            <w:vAlign w:val="bottom"/>
            <w:vMerge w:val="restart"/>
          </w:tcPr>
          <w:p>
            <w:pPr>
              <w:jc w:val="right"/>
              <w:ind w:right="11"/>
              <w:spacing w:after="0"/>
              <w:rPr>
                <w:sz w:val="20"/>
                <w:szCs w:val="20"/>
                <w:color w:val="auto"/>
              </w:rPr>
            </w:pPr>
            <w:r>
              <w:rPr>
                <w:rFonts w:ascii="Arial" w:cs="Arial" w:eastAsia="Arial" w:hAnsi="Arial"/>
                <w:sz w:val="14"/>
                <w:szCs w:val="14"/>
                <w:color w:val="auto"/>
              </w:rPr>
              <w:t>$0</w:t>
            </w:r>
          </w:p>
        </w:tc>
        <w:tc>
          <w:tcPr>
            <w:tcW w:w="1420" w:type="dxa"/>
            <w:vAlign w:val="bottom"/>
            <w:vMerge w:val="restart"/>
          </w:tcPr>
          <w:p>
            <w:pPr>
              <w:jc w:val="right"/>
              <w:ind w:right="11"/>
              <w:spacing w:after="0"/>
              <w:rPr>
                <w:sz w:val="20"/>
                <w:szCs w:val="20"/>
                <w:color w:val="auto"/>
              </w:rPr>
            </w:pPr>
            <w:r>
              <w:rPr>
                <w:rFonts w:ascii="Arial" w:cs="Arial" w:eastAsia="Arial" w:hAnsi="Arial"/>
                <w:sz w:val="14"/>
                <w:szCs w:val="14"/>
                <w:color w:val="auto"/>
              </w:rPr>
              <w:t>$26,597</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480" w:type="dxa"/>
            <w:vAlign w:val="bottom"/>
            <w:tcBorders>
              <w:top w:val="single" w:sz="8" w:color="auto"/>
            </w:tcBorders>
            <w:gridSpan w:val="6"/>
          </w:tcPr>
          <w:p>
            <w:pPr>
              <w:spacing w:after="0" w:line="149" w:lineRule="exact"/>
              <w:rPr>
                <w:sz w:val="20"/>
                <w:szCs w:val="20"/>
                <w:color w:val="auto"/>
              </w:rPr>
            </w:pPr>
            <w:r>
              <w:rPr>
                <w:rFonts w:ascii="Arial" w:cs="Arial" w:eastAsia="Arial" w:hAnsi="Arial"/>
                <w:sz w:val="14"/>
                <w:szCs w:val="14"/>
                <w:color w:val="auto"/>
              </w:rPr>
              <w:t>Thomas W. Warsop, III</w:t>
            </w:r>
          </w:p>
        </w:tc>
        <w:tc>
          <w:tcPr>
            <w:tcW w:w="80" w:type="dxa"/>
            <w:vAlign w:val="bottom"/>
          </w:tcPr>
          <w:p>
            <w:pPr>
              <w:spacing w:after="0"/>
              <w:rPr>
                <w:sz w:val="12"/>
                <w:szCs w:val="12"/>
                <w:color w:val="auto"/>
              </w:rPr>
            </w:pPr>
          </w:p>
        </w:tc>
        <w:tc>
          <w:tcPr>
            <w:tcW w:w="920" w:type="dxa"/>
            <w:vAlign w:val="bottom"/>
            <w:gridSpan w:val="3"/>
          </w:tcPr>
          <w:p>
            <w:pPr>
              <w:spacing w:after="0"/>
              <w:rPr>
                <w:sz w:val="12"/>
                <w:szCs w:val="12"/>
                <w:color w:val="auto"/>
              </w:rPr>
            </w:pPr>
          </w:p>
        </w:tc>
        <w:tc>
          <w:tcPr>
            <w:tcW w:w="90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0" w:type="dxa"/>
            <w:vAlign w:val="bottom"/>
            <w:shd w:val="clear" w:color="auto" w:fill="9DBDE4"/>
          </w:tcPr>
          <w:p>
            <w:pPr>
              <w:spacing w:after="0"/>
              <w:rPr>
                <w:sz w:val="13"/>
                <w:szCs w:val="13"/>
                <w:color w:val="auto"/>
              </w:rPr>
            </w:pPr>
          </w:p>
        </w:tc>
        <w:tc>
          <w:tcPr>
            <w:tcW w:w="2480" w:type="dxa"/>
            <w:vAlign w:val="bottom"/>
            <w:gridSpan w:val="10"/>
            <w:shd w:val="clear" w:color="auto" w:fill="9DBDE4"/>
          </w:tcPr>
          <w:p>
            <w:pPr>
              <w:spacing w:after="0" w:line="156" w:lineRule="exact"/>
              <w:rPr>
                <w:sz w:val="20"/>
                <w:szCs w:val="20"/>
                <w:color w:val="auto"/>
              </w:rPr>
            </w:pPr>
            <w:r>
              <w:rPr>
                <w:rFonts w:ascii="Arial" w:cs="Arial" w:eastAsia="Arial" w:hAnsi="Arial"/>
                <w:sz w:val="14"/>
                <w:szCs w:val="14"/>
                <w:color w:val="auto"/>
              </w:rPr>
              <w:t>Scott W. Behrens</w:t>
            </w:r>
          </w:p>
        </w:tc>
        <w:tc>
          <w:tcPr>
            <w:tcW w:w="90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500" w:type="dxa"/>
            <w:vAlign w:val="bottom"/>
            <w:shd w:val="clear" w:color="auto" w:fill="9DBDE4"/>
          </w:tcPr>
          <w:p>
            <w:pPr>
              <w:jc w:val="right"/>
              <w:spacing w:after="0" w:line="156" w:lineRule="exact"/>
              <w:rPr>
                <w:sz w:val="20"/>
                <w:szCs w:val="20"/>
                <w:color w:val="auto"/>
              </w:rPr>
            </w:pPr>
            <w:r>
              <w:rPr>
                <w:rFonts w:ascii="Arial" w:cs="Arial" w:eastAsia="Arial" w:hAnsi="Arial"/>
                <w:sz w:val="14"/>
                <w:szCs w:val="14"/>
                <w:color w:val="auto"/>
              </w:rPr>
              <w:t>$0</w:t>
            </w:r>
          </w:p>
        </w:tc>
        <w:tc>
          <w:tcPr>
            <w:tcW w:w="10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$31,526</w:t>
            </w:r>
          </w:p>
        </w:tc>
        <w:tc>
          <w:tcPr>
            <w:tcW w:w="9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$0</w:t>
            </w:r>
          </w:p>
        </w:tc>
        <w:tc>
          <w:tcPr>
            <w:tcW w:w="8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42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$47,944</w:t>
            </w: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2480" w:type="dxa"/>
            <w:vAlign w:val="bottom"/>
            <w:gridSpan w:val="10"/>
          </w:tcPr>
          <w:p>
            <w:pPr>
              <w:spacing w:after="0" w:line="156" w:lineRule="exact"/>
              <w:rPr>
                <w:sz w:val="20"/>
                <w:szCs w:val="20"/>
                <w:color w:val="auto"/>
              </w:rPr>
            </w:pPr>
            <w:r>
              <w:rPr>
                <w:rFonts w:ascii="Arial" w:cs="Arial" w:eastAsia="Arial" w:hAnsi="Arial"/>
                <w:sz w:val="14"/>
                <w:szCs w:val="14"/>
                <w:color w:val="auto"/>
              </w:rPr>
              <w:t>Abraham Kuruvilla</w:t>
            </w:r>
          </w:p>
        </w:tc>
        <w:tc>
          <w:tcPr>
            <w:tcW w:w="900" w:type="dxa"/>
            <w:vAlign w:val="bottom"/>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500" w:type="dxa"/>
            <w:vAlign w:val="bottom"/>
          </w:tcPr>
          <w:p>
            <w:pPr>
              <w:jc w:val="right"/>
              <w:spacing w:after="0" w:line="156" w:lineRule="exact"/>
              <w:rPr>
                <w:sz w:val="20"/>
                <w:szCs w:val="20"/>
                <w:color w:val="auto"/>
              </w:rPr>
            </w:pPr>
            <w:r>
              <w:rPr>
                <w:rFonts w:ascii="Arial" w:cs="Arial" w:eastAsia="Arial" w:hAnsi="Arial"/>
                <w:sz w:val="14"/>
                <w:szCs w:val="14"/>
                <w:color w:val="auto"/>
              </w:rPr>
              <w:t>$0</w:t>
            </w:r>
          </w:p>
        </w:tc>
        <w:tc>
          <w:tcPr>
            <w:tcW w:w="10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$30,437</w:t>
            </w:r>
          </w:p>
        </w:tc>
        <w:tc>
          <w:tcPr>
            <w:tcW w:w="9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$0</w:t>
            </w:r>
          </w:p>
        </w:tc>
        <w:tc>
          <w:tcPr>
            <w:tcW w:w="860" w:type="dxa"/>
            <w:vAlign w:val="bottom"/>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420" w:type="dxa"/>
            <w:vAlign w:val="bottom"/>
          </w:tcPr>
          <w:p>
            <w:pPr>
              <w:jc w:val="right"/>
              <w:ind w:right="11"/>
              <w:spacing w:after="0" w:line="156" w:lineRule="exact"/>
              <w:rPr>
                <w:sz w:val="20"/>
                <w:szCs w:val="20"/>
                <w:color w:val="auto"/>
              </w:rPr>
            </w:pPr>
            <w:r>
              <w:rPr>
                <w:rFonts w:ascii="Arial" w:cs="Arial" w:eastAsia="Arial" w:hAnsi="Arial"/>
                <w:sz w:val="14"/>
                <w:szCs w:val="14"/>
                <w:color w:val="auto"/>
              </w:rPr>
              <w:t>$57,960</w:t>
            </w:r>
          </w:p>
        </w:tc>
        <w:tc>
          <w:tcPr>
            <w:tcW w:w="0" w:type="dxa"/>
            <w:vAlign w:val="bottom"/>
          </w:tcPr>
          <w:p>
            <w:pPr>
              <w:spacing w:after="0"/>
              <w:rPr>
                <w:sz w:val="1"/>
                <w:szCs w:val="1"/>
                <w:color w:val="auto"/>
              </w:rPr>
            </w:pPr>
          </w:p>
        </w:tc>
      </w:tr>
      <w:tr>
        <w:trPr>
          <w:trHeight w:val="156"/>
        </w:trPr>
        <w:tc>
          <w:tcPr>
            <w:tcW w:w="220" w:type="dxa"/>
            <w:vAlign w:val="bottom"/>
            <w:shd w:val="clear" w:color="auto" w:fill="9DBDE4"/>
          </w:tcPr>
          <w:p>
            <w:pPr>
              <w:spacing w:after="0"/>
              <w:rPr>
                <w:sz w:val="13"/>
                <w:szCs w:val="13"/>
                <w:color w:val="auto"/>
              </w:rPr>
            </w:pPr>
          </w:p>
        </w:tc>
        <w:tc>
          <w:tcPr>
            <w:tcW w:w="2480" w:type="dxa"/>
            <w:vAlign w:val="bottom"/>
            <w:gridSpan w:val="10"/>
            <w:shd w:val="clear" w:color="auto" w:fill="9DBDE4"/>
          </w:tcPr>
          <w:p>
            <w:pPr>
              <w:spacing w:after="0" w:line="156" w:lineRule="exact"/>
              <w:rPr>
                <w:sz w:val="20"/>
                <w:szCs w:val="20"/>
                <w:color w:val="auto"/>
              </w:rPr>
            </w:pPr>
            <w:r>
              <w:rPr>
                <w:rFonts w:ascii="Arial" w:cs="Arial" w:eastAsia="Arial" w:hAnsi="Arial"/>
                <w:sz w:val="14"/>
                <w:szCs w:val="14"/>
                <w:color w:val="auto"/>
              </w:rPr>
              <w:t>Alessandro da Silva</w:t>
            </w:r>
          </w:p>
        </w:tc>
        <w:tc>
          <w:tcPr>
            <w:tcW w:w="90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500" w:type="dxa"/>
            <w:vAlign w:val="bottom"/>
            <w:shd w:val="clear" w:color="auto" w:fill="9DBDE4"/>
          </w:tcPr>
          <w:p>
            <w:pPr>
              <w:jc w:val="right"/>
              <w:spacing w:after="0" w:line="156" w:lineRule="exact"/>
              <w:rPr>
                <w:sz w:val="20"/>
                <w:szCs w:val="20"/>
                <w:color w:val="auto"/>
              </w:rPr>
            </w:pPr>
            <w:r>
              <w:rPr>
                <w:rFonts w:ascii="Arial" w:cs="Arial" w:eastAsia="Arial" w:hAnsi="Arial"/>
                <w:sz w:val="14"/>
                <w:szCs w:val="14"/>
                <w:color w:val="auto"/>
              </w:rPr>
              <w:t>$0</w:t>
            </w:r>
          </w:p>
        </w:tc>
        <w:tc>
          <w:tcPr>
            <w:tcW w:w="10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$31,191</w:t>
            </w:r>
          </w:p>
        </w:tc>
        <w:tc>
          <w:tcPr>
            <w:tcW w:w="9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$0</w:t>
            </w:r>
          </w:p>
        </w:tc>
        <w:tc>
          <w:tcPr>
            <w:tcW w:w="8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42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$54,115</w:t>
            </w:r>
          </w:p>
        </w:tc>
        <w:tc>
          <w:tcPr>
            <w:tcW w:w="0" w:type="dxa"/>
            <w:vAlign w:val="bottom"/>
          </w:tcPr>
          <w:p>
            <w:pPr>
              <w:spacing w:after="0"/>
              <w:rPr>
                <w:sz w:val="1"/>
                <w:szCs w:val="1"/>
                <w:color w:val="auto"/>
              </w:rPr>
            </w:pPr>
          </w:p>
        </w:tc>
      </w:tr>
      <w:tr>
        <w:trPr>
          <w:trHeight w:val="147"/>
        </w:trPr>
        <w:tc>
          <w:tcPr>
            <w:tcW w:w="220" w:type="dxa"/>
            <w:vAlign w:val="bottom"/>
          </w:tcPr>
          <w:p>
            <w:pPr>
              <w:spacing w:after="0"/>
              <w:rPr>
                <w:sz w:val="12"/>
                <w:szCs w:val="12"/>
                <w:color w:val="auto"/>
              </w:rPr>
            </w:pPr>
          </w:p>
        </w:tc>
        <w:tc>
          <w:tcPr>
            <w:tcW w:w="2480" w:type="dxa"/>
            <w:vAlign w:val="bottom"/>
            <w:gridSpan w:val="10"/>
          </w:tcPr>
          <w:p>
            <w:pPr>
              <w:spacing w:after="0" w:line="147" w:lineRule="exact"/>
              <w:rPr>
                <w:sz w:val="20"/>
                <w:szCs w:val="20"/>
                <w:color w:val="auto"/>
              </w:rPr>
            </w:pPr>
            <w:r>
              <w:rPr>
                <w:rFonts w:ascii="Arial" w:cs="Arial" w:eastAsia="Arial" w:hAnsi="Arial"/>
                <w:sz w:val="14"/>
                <w:szCs w:val="14"/>
                <w:color w:val="auto"/>
              </w:rPr>
              <w:t>Debbie Guerra</w:t>
            </w:r>
          </w:p>
        </w:tc>
        <w:tc>
          <w:tcPr>
            <w:tcW w:w="900" w:type="dxa"/>
            <w:vAlign w:val="bottom"/>
          </w:tcPr>
          <w:p>
            <w:pPr>
              <w:jc w:val="right"/>
              <w:ind w:right="11"/>
              <w:spacing w:after="0" w:line="147"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47" w:lineRule="exact"/>
              <w:rPr>
                <w:sz w:val="20"/>
                <w:szCs w:val="20"/>
                <w:color w:val="auto"/>
              </w:rPr>
            </w:pPr>
            <w:r>
              <w:rPr>
                <w:rFonts w:ascii="Arial" w:cs="Arial" w:eastAsia="Arial" w:hAnsi="Arial"/>
                <w:sz w:val="14"/>
                <w:szCs w:val="14"/>
                <w:color w:val="auto"/>
              </w:rPr>
              <w:t>$0</w:t>
            </w: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$0</w:t>
            </w:r>
          </w:p>
        </w:tc>
        <w:tc>
          <w:tcPr>
            <w:tcW w:w="1000" w:type="dxa"/>
            <w:vAlign w:val="bottom"/>
          </w:tcPr>
          <w:p>
            <w:pPr>
              <w:jc w:val="right"/>
              <w:ind w:right="31"/>
              <w:spacing w:after="0" w:line="147" w:lineRule="exact"/>
              <w:rPr>
                <w:sz w:val="20"/>
                <w:szCs w:val="20"/>
                <w:color w:val="auto"/>
              </w:rPr>
            </w:pPr>
            <w:r>
              <w:rPr>
                <w:rFonts w:ascii="Arial" w:cs="Arial" w:eastAsia="Arial" w:hAnsi="Arial"/>
                <w:sz w:val="14"/>
                <w:szCs w:val="14"/>
                <w:color w:val="auto"/>
              </w:rPr>
              <w:t>$30,437</w:t>
            </w:r>
          </w:p>
        </w:tc>
        <w:tc>
          <w:tcPr>
            <w:tcW w:w="900" w:type="dxa"/>
            <w:vAlign w:val="bottom"/>
          </w:tcPr>
          <w:p>
            <w:pPr>
              <w:jc w:val="right"/>
              <w:ind w:right="31"/>
              <w:spacing w:after="0" w:line="147" w:lineRule="exact"/>
              <w:rPr>
                <w:sz w:val="20"/>
                <w:szCs w:val="20"/>
                <w:color w:val="auto"/>
              </w:rPr>
            </w:pPr>
            <w:r>
              <w:rPr>
                <w:rFonts w:ascii="Arial" w:cs="Arial" w:eastAsia="Arial" w:hAnsi="Arial"/>
                <w:sz w:val="14"/>
                <w:szCs w:val="14"/>
                <w:color w:val="auto"/>
              </w:rPr>
              <w:t>$0</w:t>
            </w:r>
          </w:p>
        </w:tc>
        <w:tc>
          <w:tcPr>
            <w:tcW w:w="860" w:type="dxa"/>
            <w:vAlign w:val="bottom"/>
          </w:tcPr>
          <w:p>
            <w:pPr>
              <w:jc w:val="right"/>
              <w:ind w:right="11"/>
              <w:spacing w:after="0" w:line="147" w:lineRule="exact"/>
              <w:rPr>
                <w:sz w:val="20"/>
                <w:szCs w:val="20"/>
                <w:color w:val="auto"/>
              </w:rPr>
            </w:pPr>
            <w:r>
              <w:rPr>
                <w:rFonts w:ascii="Arial" w:cs="Arial" w:eastAsia="Arial" w:hAnsi="Arial"/>
                <w:sz w:val="14"/>
                <w:szCs w:val="14"/>
                <w:color w:val="auto"/>
              </w:rPr>
              <w:t>$0</w:t>
            </w:r>
          </w:p>
        </w:tc>
        <w:tc>
          <w:tcPr>
            <w:tcW w:w="1420" w:type="dxa"/>
            <w:vAlign w:val="bottom"/>
          </w:tcPr>
          <w:p>
            <w:pPr>
              <w:jc w:val="right"/>
              <w:ind w:right="11"/>
              <w:spacing w:after="0" w:line="147" w:lineRule="exact"/>
              <w:rPr>
                <w:sz w:val="20"/>
                <w:szCs w:val="20"/>
                <w:color w:val="auto"/>
              </w:rPr>
            </w:pPr>
            <w:r>
              <w:rPr>
                <w:rFonts w:ascii="Arial" w:cs="Arial" w:eastAsia="Arial" w:hAnsi="Arial"/>
                <w:sz w:val="14"/>
                <w:szCs w:val="14"/>
                <w:color w:val="auto"/>
              </w:rPr>
              <w:t>$57,960</w:t>
            </w:r>
          </w:p>
        </w:tc>
        <w:tc>
          <w:tcPr>
            <w:tcW w:w="0" w:type="dxa"/>
            <w:vAlign w:val="bottom"/>
          </w:tcPr>
          <w:p>
            <w:pPr>
              <w:spacing w:after="0"/>
              <w:rPr>
                <w:sz w:val="1"/>
                <w:szCs w:val="1"/>
                <w:color w:val="auto"/>
              </w:rPr>
            </w:pPr>
          </w:p>
        </w:tc>
      </w:tr>
      <w:tr>
        <w:trPr>
          <w:trHeight w:val="152"/>
        </w:trPr>
        <w:tc>
          <w:tcPr>
            <w:tcW w:w="220" w:type="dxa"/>
            <w:vAlign w:val="bottom"/>
          </w:tcPr>
          <w:p>
            <w:pPr>
              <w:spacing w:after="0"/>
              <w:rPr>
                <w:sz w:val="13"/>
                <w:szCs w:val="13"/>
                <w:color w:val="auto"/>
              </w:rPr>
            </w:pPr>
          </w:p>
        </w:tc>
        <w:tc>
          <w:tcPr>
            <w:tcW w:w="2480" w:type="dxa"/>
            <w:vAlign w:val="bottom"/>
            <w:gridSpan w:val="10"/>
          </w:tcPr>
          <w:p>
            <w:pPr>
              <w:spacing w:after="0" w:line="153" w:lineRule="exact"/>
              <w:rPr>
                <w:sz w:val="20"/>
                <w:szCs w:val="20"/>
                <w:color w:val="auto"/>
              </w:rPr>
            </w:pPr>
            <w:r>
              <w:rPr>
                <w:rFonts w:ascii="Arial" w:cs="Arial" w:eastAsia="Arial" w:hAnsi="Arial"/>
                <w:sz w:val="14"/>
                <w:szCs w:val="14"/>
                <w:b w:val="1"/>
                <w:bCs w:val="1"/>
                <w:color w:val="auto"/>
              </w:rPr>
              <w:t>Outplacement Services:</w:t>
            </w: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 w:type="dxa"/>
            <w:vAlign w:val="bottom"/>
            <w:shd w:val="clear" w:color="auto" w:fill="9DBDE4"/>
          </w:tcPr>
          <w:p>
            <w:pPr>
              <w:spacing w:after="0"/>
              <w:rPr>
                <w:sz w:val="12"/>
                <w:szCs w:val="12"/>
                <w:color w:val="auto"/>
              </w:rPr>
            </w:pPr>
          </w:p>
        </w:tc>
        <w:tc>
          <w:tcPr>
            <w:tcW w:w="1560" w:type="dxa"/>
            <w:vAlign w:val="bottom"/>
            <w:tcBorders>
              <w:top w:val="single" w:sz="8" w:color="auto"/>
            </w:tcBorders>
            <w:gridSpan w:val="7"/>
            <w:shd w:val="clear" w:color="auto" w:fill="9DBDE4"/>
          </w:tcPr>
          <w:p>
            <w:pPr>
              <w:spacing w:after="0" w:line="149" w:lineRule="exact"/>
              <w:rPr>
                <w:sz w:val="20"/>
                <w:szCs w:val="20"/>
                <w:color w:val="auto"/>
              </w:rPr>
            </w:pPr>
            <w:r>
              <w:rPr>
                <w:rFonts w:ascii="Arial" w:cs="Arial" w:eastAsia="Arial" w:hAnsi="Arial"/>
                <w:sz w:val="14"/>
                <w:szCs w:val="14"/>
                <w:color w:val="auto"/>
              </w:rPr>
              <w:t>Thomas W. Warsop, III</w:t>
            </w:r>
          </w:p>
        </w:tc>
        <w:tc>
          <w:tcPr>
            <w:tcW w:w="920" w:type="dxa"/>
            <w:vAlign w:val="bottom"/>
            <w:gridSpan w:val="3"/>
            <w:shd w:val="clear" w:color="auto" w:fill="9DBDE4"/>
          </w:tcPr>
          <w:p>
            <w:pPr>
              <w:spacing w:after="0"/>
              <w:rPr>
                <w:sz w:val="12"/>
                <w:szCs w:val="12"/>
                <w:color w:val="auto"/>
              </w:rPr>
            </w:pPr>
          </w:p>
        </w:tc>
        <w:tc>
          <w:tcPr>
            <w:tcW w:w="900" w:type="dxa"/>
            <w:vAlign w:val="bottom"/>
            <w:shd w:val="clear" w:color="auto" w:fill="9DBDE4"/>
          </w:tcPr>
          <w:p>
            <w:pPr>
              <w:jc w:val="right"/>
              <w:ind w:right="11"/>
              <w:spacing w:after="0" w:line="149"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9DBDE4"/>
          </w:tcPr>
          <w:p>
            <w:pPr>
              <w:jc w:val="right"/>
              <w:spacing w:after="0" w:line="149" w:lineRule="exact"/>
              <w:rPr>
                <w:sz w:val="20"/>
                <w:szCs w:val="20"/>
                <w:color w:val="auto"/>
              </w:rPr>
            </w:pPr>
            <w:r>
              <w:rPr>
                <w:rFonts w:ascii="Arial" w:cs="Arial" w:eastAsia="Arial" w:hAnsi="Arial"/>
                <w:sz w:val="14"/>
                <w:szCs w:val="14"/>
                <w:color w:val="auto"/>
              </w:rPr>
              <w:t>$0</w:t>
            </w:r>
          </w:p>
        </w:tc>
        <w:tc>
          <w:tcPr>
            <w:tcW w:w="1000" w:type="dxa"/>
            <w:vAlign w:val="bottom"/>
            <w:shd w:val="clear" w:color="auto" w:fill="9DBDE4"/>
          </w:tcPr>
          <w:p>
            <w:pPr>
              <w:jc w:val="right"/>
              <w:ind w:right="31"/>
              <w:spacing w:after="0" w:line="149" w:lineRule="exact"/>
              <w:rPr>
                <w:sz w:val="20"/>
                <w:szCs w:val="20"/>
                <w:color w:val="auto"/>
              </w:rPr>
            </w:pPr>
            <w:r>
              <w:rPr>
                <w:rFonts w:ascii="Arial" w:cs="Arial" w:eastAsia="Arial" w:hAnsi="Arial"/>
                <w:sz w:val="14"/>
                <w:szCs w:val="14"/>
                <w:color w:val="auto"/>
              </w:rPr>
              <w:t>$10,275</w:t>
            </w:r>
          </w:p>
        </w:tc>
        <w:tc>
          <w:tcPr>
            <w:tcW w:w="900" w:type="dxa"/>
            <w:vAlign w:val="bottom"/>
            <w:shd w:val="clear" w:color="auto" w:fill="9DBDE4"/>
          </w:tcPr>
          <w:p>
            <w:pPr>
              <w:jc w:val="right"/>
              <w:ind w:right="31"/>
              <w:spacing w:after="0" w:line="149" w:lineRule="exact"/>
              <w:rPr>
                <w:sz w:val="20"/>
                <w:szCs w:val="20"/>
                <w:color w:val="auto"/>
              </w:rPr>
            </w:pPr>
            <w:r>
              <w:rPr>
                <w:rFonts w:ascii="Arial" w:cs="Arial" w:eastAsia="Arial" w:hAnsi="Arial"/>
                <w:sz w:val="14"/>
                <w:szCs w:val="14"/>
                <w:color w:val="auto"/>
              </w:rPr>
              <w:t>$0</w:t>
            </w:r>
          </w:p>
        </w:tc>
        <w:tc>
          <w:tcPr>
            <w:tcW w:w="860" w:type="dxa"/>
            <w:vAlign w:val="bottom"/>
            <w:shd w:val="clear" w:color="auto" w:fill="9DBDE4"/>
          </w:tcPr>
          <w:p>
            <w:pPr>
              <w:jc w:val="right"/>
              <w:ind w:right="11"/>
              <w:spacing w:after="0" w:line="149" w:lineRule="exact"/>
              <w:rPr>
                <w:sz w:val="20"/>
                <w:szCs w:val="20"/>
                <w:color w:val="auto"/>
              </w:rPr>
            </w:pPr>
            <w:r>
              <w:rPr>
                <w:rFonts w:ascii="Arial" w:cs="Arial" w:eastAsia="Arial" w:hAnsi="Arial"/>
                <w:sz w:val="14"/>
                <w:szCs w:val="14"/>
                <w:color w:val="auto"/>
              </w:rPr>
              <w:t>$0</w:t>
            </w:r>
          </w:p>
        </w:tc>
        <w:tc>
          <w:tcPr>
            <w:tcW w:w="1420" w:type="dxa"/>
            <w:vAlign w:val="bottom"/>
            <w:shd w:val="clear" w:color="auto" w:fill="9DBDE4"/>
          </w:tcPr>
          <w:p>
            <w:pPr>
              <w:jc w:val="right"/>
              <w:ind w:right="11"/>
              <w:spacing w:after="0" w:line="14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2480" w:type="dxa"/>
            <w:vAlign w:val="bottom"/>
            <w:gridSpan w:val="10"/>
          </w:tcPr>
          <w:p>
            <w:pPr>
              <w:spacing w:after="0" w:line="156" w:lineRule="exact"/>
              <w:rPr>
                <w:sz w:val="20"/>
                <w:szCs w:val="20"/>
                <w:color w:val="auto"/>
              </w:rPr>
            </w:pPr>
            <w:r>
              <w:rPr>
                <w:rFonts w:ascii="Arial" w:cs="Arial" w:eastAsia="Arial" w:hAnsi="Arial"/>
                <w:sz w:val="14"/>
                <w:szCs w:val="14"/>
                <w:color w:val="auto"/>
              </w:rPr>
              <w:t>Scott W. Behrens</w:t>
            </w:r>
          </w:p>
        </w:tc>
        <w:tc>
          <w:tcPr>
            <w:tcW w:w="900" w:type="dxa"/>
            <w:vAlign w:val="bottom"/>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500" w:type="dxa"/>
            <w:vAlign w:val="bottom"/>
          </w:tcPr>
          <w:p>
            <w:pPr>
              <w:jc w:val="right"/>
              <w:spacing w:after="0" w:line="156" w:lineRule="exact"/>
              <w:rPr>
                <w:sz w:val="20"/>
                <w:szCs w:val="20"/>
                <w:color w:val="auto"/>
              </w:rPr>
            </w:pPr>
            <w:r>
              <w:rPr>
                <w:rFonts w:ascii="Arial" w:cs="Arial" w:eastAsia="Arial" w:hAnsi="Arial"/>
                <w:sz w:val="14"/>
                <w:szCs w:val="14"/>
                <w:color w:val="auto"/>
              </w:rPr>
              <w:t>$0</w:t>
            </w:r>
          </w:p>
        </w:tc>
        <w:tc>
          <w:tcPr>
            <w:tcW w:w="10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$10,275</w:t>
            </w:r>
          </w:p>
        </w:tc>
        <w:tc>
          <w:tcPr>
            <w:tcW w:w="9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$0</w:t>
            </w:r>
          </w:p>
        </w:tc>
        <w:tc>
          <w:tcPr>
            <w:tcW w:w="860" w:type="dxa"/>
            <w:vAlign w:val="bottom"/>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420" w:type="dxa"/>
            <w:vAlign w:val="bottom"/>
          </w:tcPr>
          <w:p>
            <w:pPr>
              <w:jc w:val="right"/>
              <w:ind w:right="11"/>
              <w:spacing w:after="0" w:line="156"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56"/>
        </w:trPr>
        <w:tc>
          <w:tcPr>
            <w:tcW w:w="220" w:type="dxa"/>
            <w:vAlign w:val="bottom"/>
            <w:shd w:val="clear" w:color="auto" w:fill="9DBDE4"/>
          </w:tcPr>
          <w:p>
            <w:pPr>
              <w:spacing w:after="0"/>
              <w:rPr>
                <w:sz w:val="13"/>
                <w:szCs w:val="13"/>
                <w:color w:val="auto"/>
              </w:rPr>
            </w:pPr>
          </w:p>
        </w:tc>
        <w:tc>
          <w:tcPr>
            <w:tcW w:w="2480" w:type="dxa"/>
            <w:vAlign w:val="bottom"/>
            <w:gridSpan w:val="10"/>
            <w:shd w:val="clear" w:color="auto" w:fill="9DBDE4"/>
          </w:tcPr>
          <w:p>
            <w:pPr>
              <w:spacing w:after="0" w:line="156" w:lineRule="exact"/>
              <w:rPr>
                <w:sz w:val="20"/>
                <w:szCs w:val="20"/>
                <w:color w:val="auto"/>
              </w:rPr>
            </w:pPr>
            <w:r>
              <w:rPr>
                <w:rFonts w:ascii="Arial" w:cs="Arial" w:eastAsia="Arial" w:hAnsi="Arial"/>
                <w:sz w:val="14"/>
                <w:szCs w:val="14"/>
                <w:color w:val="auto"/>
              </w:rPr>
              <w:t>Abraham Kuruvilla</w:t>
            </w:r>
          </w:p>
        </w:tc>
        <w:tc>
          <w:tcPr>
            <w:tcW w:w="90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500" w:type="dxa"/>
            <w:vAlign w:val="bottom"/>
            <w:shd w:val="clear" w:color="auto" w:fill="9DBDE4"/>
          </w:tcPr>
          <w:p>
            <w:pPr>
              <w:jc w:val="right"/>
              <w:spacing w:after="0" w:line="156" w:lineRule="exact"/>
              <w:rPr>
                <w:sz w:val="20"/>
                <w:szCs w:val="20"/>
                <w:color w:val="auto"/>
              </w:rPr>
            </w:pPr>
            <w:r>
              <w:rPr>
                <w:rFonts w:ascii="Arial" w:cs="Arial" w:eastAsia="Arial" w:hAnsi="Arial"/>
                <w:sz w:val="14"/>
                <w:szCs w:val="14"/>
                <w:color w:val="auto"/>
              </w:rPr>
              <w:t>$0</w:t>
            </w:r>
          </w:p>
        </w:tc>
        <w:tc>
          <w:tcPr>
            <w:tcW w:w="10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$10,275</w:t>
            </w:r>
          </w:p>
        </w:tc>
        <w:tc>
          <w:tcPr>
            <w:tcW w:w="9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$0</w:t>
            </w:r>
          </w:p>
        </w:tc>
        <w:tc>
          <w:tcPr>
            <w:tcW w:w="8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42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2480" w:type="dxa"/>
            <w:vAlign w:val="bottom"/>
            <w:gridSpan w:val="10"/>
          </w:tcPr>
          <w:p>
            <w:pPr>
              <w:spacing w:after="0" w:line="156" w:lineRule="exact"/>
              <w:rPr>
                <w:sz w:val="20"/>
                <w:szCs w:val="20"/>
                <w:color w:val="auto"/>
              </w:rPr>
            </w:pPr>
            <w:r>
              <w:rPr>
                <w:rFonts w:ascii="Arial" w:cs="Arial" w:eastAsia="Arial" w:hAnsi="Arial"/>
                <w:sz w:val="14"/>
                <w:szCs w:val="14"/>
                <w:color w:val="auto"/>
              </w:rPr>
              <w:t>Alessandro da Silva</w:t>
            </w:r>
          </w:p>
        </w:tc>
        <w:tc>
          <w:tcPr>
            <w:tcW w:w="900" w:type="dxa"/>
            <w:vAlign w:val="bottom"/>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500" w:type="dxa"/>
            <w:vAlign w:val="bottom"/>
          </w:tcPr>
          <w:p>
            <w:pPr>
              <w:jc w:val="right"/>
              <w:spacing w:after="0" w:line="156" w:lineRule="exact"/>
              <w:rPr>
                <w:sz w:val="20"/>
                <w:szCs w:val="20"/>
                <w:color w:val="auto"/>
              </w:rPr>
            </w:pPr>
            <w:r>
              <w:rPr>
                <w:rFonts w:ascii="Arial" w:cs="Arial" w:eastAsia="Arial" w:hAnsi="Arial"/>
                <w:sz w:val="14"/>
                <w:szCs w:val="14"/>
                <w:color w:val="auto"/>
              </w:rPr>
              <w:t>$0</w:t>
            </w:r>
          </w:p>
        </w:tc>
        <w:tc>
          <w:tcPr>
            <w:tcW w:w="10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$10,275</w:t>
            </w:r>
          </w:p>
        </w:tc>
        <w:tc>
          <w:tcPr>
            <w:tcW w:w="9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$0</w:t>
            </w:r>
          </w:p>
        </w:tc>
        <w:tc>
          <w:tcPr>
            <w:tcW w:w="860" w:type="dxa"/>
            <w:vAlign w:val="bottom"/>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420" w:type="dxa"/>
            <w:vAlign w:val="bottom"/>
          </w:tcPr>
          <w:p>
            <w:pPr>
              <w:jc w:val="right"/>
              <w:ind w:right="11"/>
              <w:spacing w:after="0" w:line="156"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56"/>
        </w:trPr>
        <w:tc>
          <w:tcPr>
            <w:tcW w:w="220" w:type="dxa"/>
            <w:vAlign w:val="bottom"/>
            <w:shd w:val="clear" w:color="auto" w:fill="9DBDE4"/>
          </w:tcPr>
          <w:p>
            <w:pPr>
              <w:spacing w:after="0"/>
              <w:rPr>
                <w:sz w:val="13"/>
                <w:szCs w:val="13"/>
                <w:color w:val="auto"/>
              </w:rPr>
            </w:pPr>
          </w:p>
        </w:tc>
        <w:tc>
          <w:tcPr>
            <w:tcW w:w="2480" w:type="dxa"/>
            <w:vAlign w:val="bottom"/>
            <w:gridSpan w:val="10"/>
            <w:shd w:val="clear" w:color="auto" w:fill="9DBDE4"/>
          </w:tcPr>
          <w:p>
            <w:pPr>
              <w:spacing w:after="0" w:line="156" w:lineRule="exact"/>
              <w:rPr>
                <w:sz w:val="20"/>
                <w:szCs w:val="20"/>
                <w:color w:val="auto"/>
              </w:rPr>
            </w:pPr>
            <w:r>
              <w:rPr>
                <w:rFonts w:ascii="Arial" w:cs="Arial" w:eastAsia="Arial" w:hAnsi="Arial"/>
                <w:sz w:val="14"/>
                <w:szCs w:val="14"/>
                <w:color w:val="auto"/>
              </w:rPr>
              <w:t>Debbie Guerra</w:t>
            </w:r>
          </w:p>
        </w:tc>
        <w:tc>
          <w:tcPr>
            <w:tcW w:w="90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500" w:type="dxa"/>
            <w:vAlign w:val="bottom"/>
            <w:shd w:val="clear" w:color="auto" w:fill="9DBDE4"/>
          </w:tcPr>
          <w:p>
            <w:pPr>
              <w:jc w:val="right"/>
              <w:spacing w:after="0" w:line="156" w:lineRule="exact"/>
              <w:rPr>
                <w:sz w:val="20"/>
                <w:szCs w:val="20"/>
                <w:color w:val="auto"/>
              </w:rPr>
            </w:pPr>
            <w:r>
              <w:rPr>
                <w:rFonts w:ascii="Arial" w:cs="Arial" w:eastAsia="Arial" w:hAnsi="Arial"/>
                <w:sz w:val="14"/>
                <w:szCs w:val="14"/>
                <w:color w:val="auto"/>
              </w:rPr>
              <w:t>$0</w:t>
            </w:r>
          </w:p>
        </w:tc>
        <w:tc>
          <w:tcPr>
            <w:tcW w:w="10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$10,275</w:t>
            </w:r>
          </w:p>
        </w:tc>
        <w:tc>
          <w:tcPr>
            <w:tcW w:w="9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$0</w:t>
            </w:r>
          </w:p>
        </w:tc>
        <w:tc>
          <w:tcPr>
            <w:tcW w:w="8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42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43"/>
        </w:trPr>
        <w:tc>
          <w:tcPr>
            <w:tcW w:w="220" w:type="dxa"/>
            <w:vAlign w:val="bottom"/>
          </w:tcPr>
          <w:p>
            <w:pPr>
              <w:spacing w:after="0"/>
              <w:rPr>
                <w:sz w:val="12"/>
                <w:szCs w:val="12"/>
                <w:color w:val="auto"/>
              </w:rPr>
            </w:pPr>
          </w:p>
        </w:tc>
        <w:tc>
          <w:tcPr>
            <w:tcW w:w="2480" w:type="dxa"/>
            <w:vAlign w:val="bottom"/>
            <w:gridSpan w:val="10"/>
          </w:tcPr>
          <w:p>
            <w:pPr>
              <w:spacing w:after="0" w:line="143" w:lineRule="exact"/>
              <w:rPr>
                <w:sz w:val="20"/>
                <w:szCs w:val="20"/>
                <w:color w:val="auto"/>
              </w:rPr>
            </w:pPr>
            <w:r>
              <w:rPr>
                <w:rFonts w:ascii="Arial" w:cs="Arial" w:eastAsia="Arial" w:hAnsi="Arial"/>
                <w:sz w:val="14"/>
                <w:szCs w:val="14"/>
                <w:b w:val="1"/>
                <w:bCs w:val="1"/>
                <w:color w:val="auto"/>
              </w:rPr>
              <w:t>Totals:</w:t>
            </w:r>
          </w:p>
        </w:tc>
        <w:tc>
          <w:tcPr>
            <w:tcW w:w="900" w:type="dxa"/>
            <w:vAlign w:val="bottom"/>
            <w:vMerge w:val="restart"/>
          </w:tcPr>
          <w:p>
            <w:pPr>
              <w:jc w:val="right"/>
              <w:ind w:right="11"/>
              <w:spacing w:after="0"/>
              <w:rPr>
                <w:sz w:val="20"/>
                <w:szCs w:val="20"/>
                <w:color w:val="auto"/>
              </w:rPr>
            </w:pPr>
            <w:r>
              <w:rPr>
                <w:rFonts w:ascii="Arial" w:cs="Arial" w:eastAsia="Arial" w:hAnsi="Arial"/>
                <w:sz w:val="14"/>
                <w:szCs w:val="14"/>
                <w:color w:val="auto"/>
              </w:rPr>
              <w:t>$3,617,247</w:t>
            </w:r>
          </w:p>
        </w:tc>
        <w:tc>
          <w:tcPr>
            <w:tcW w:w="1060" w:type="dxa"/>
            <w:vAlign w:val="bottom"/>
            <w:vMerge w:val="restart"/>
          </w:tcPr>
          <w:p>
            <w:pPr>
              <w:jc w:val="right"/>
              <w:ind w:right="11"/>
              <w:spacing w:after="0"/>
              <w:rPr>
                <w:sz w:val="20"/>
                <w:szCs w:val="20"/>
                <w:color w:val="auto"/>
              </w:rPr>
            </w:pPr>
            <w:r>
              <w:rPr>
                <w:rFonts w:ascii="Arial" w:cs="Arial" w:eastAsia="Arial" w:hAnsi="Arial"/>
                <w:sz w:val="14"/>
                <w:szCs w:val="14"/>
                <w:color w:val="auto"/>
              </w:rPr>
              <w:t>$0</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000" w:type="dxa"/>
            <w:vAlign w:val="bottom"/>
            <w:vMerge w:val="restart"/>
          </w:tcPr>
          <w:p>
            <w:pPr>
              <w:jc w:val="right"/>
              <w:ind w:right="31"/>
              <w:spacing w:after="0"/>
              <w:rPr>
                <w:sz w:val="20"/>
                <w:szCs w:val="20"/>
                <w:color w:val="auto"/>
              </w:rPr>
            </w:pPr>
            <w:r>
              <w:rPr>
                <w:rFonts w:ascii="Arial" w:cs="Arial" w:eastAsia="Arial" w:hAnsi="Arial"/>
                <w:sz w:val="14"/>
                <w:szCs w:val="14"/>
                <w:color w:val="auto"/>
              </w:rPr>
              <w:t>$3,627,523</w:t>
            </w:r>
          </w:p>
        </w:tc>
        <w:tc>
          <w:tcPr>
            <w:tcW w:w="900" w:type="dxa"/>
            <w:vAlign w:val="bottom"/>
            <w:vMerge w:val="restart"/>
          </w:tcPr>
          <w:p>
            <w:pPr>
              <w:jc w:val="right"/>
              <w:ind w:right="31"/>
              <w:spacing w:after="0"/>
              <w:rPr>
                <w:sz w:val="20"/>
                <w:szCs w:val="20"/>
                <w:color w:val="auto"/>
              </w:rPr>
            </w:pPr>
            <w:r>
              <w:rPr>
                <w:rFonts w:ascii="Arial" w:cs="Arial" w:eastAsia="Arial" w:hAnsi="Arial"/>
                <w:sz w:val="14"/>
                <w:szCs w:val="14"/>
                <w:color w:val="auto"/>
              </w:rPr>
              <w:t>$2,855,776</w:t>
            </w:r>
          </w:p>
        </w:tc>
        <w:tc>
          <w:tcPr>
            <w:tcW w:w="860" w:type="dxa"/>
            <w:vAlign w:val="bottom"/>
            <w:vMerge w:val="restart"/>
          </w:tcPr>
          <w:p>
            <w:pPr>
              <w:jc w:val="right"/>
              <w:ind w:right="11"/>
              <w:spacing w:after="0"/>
              <w:rPr>
                <w:sz w:val="20"/>
                <w:szCs w:val="20"/>
                <w:color w:val="auto"/>
              </w:rPr>
            </w:pPr>
            <w:r>
              <w:rPr>
                <w:rFonts w:ascii="Arial" w:cs="Arial" w:eastAsia="Arial" w:hAnsi="Arial"/>
                <w:sz w:val="14"/>
                <w:szCs w:val="14"/>
                <w:color w:val="auto"/>
              </w:rPr>
              <w:t>$2,855,776</w:t>
            </w:r>
          </w:p>
        </w:tc>
        <w:tc>
          <w:tcPr>
            <w:tcW w:w="1420" w:type="dxa"/>
            <w:vAlign w:val="bottom"/>
            <w:vMerge w:val="restart"/>
          </w:tcPr>
          <w:p>
            <w:pPr>
              <w:jc w:val="right"/>
              <w:ind w:right="11"/>
              <w:spacing w:after="0"/>
              <w:rPr>
                <w:sz w:val="20"/>
                <w:szCs w:val="20"/>
                <w:color w:val="auto"/>
              </w:rPr>
            </w:pPr>
            <w:r>
              <w:rPr>
                <w:rFonts w:ascii="Arial" w:cs="Arial" w:eastAsia="Arial" w:hAnsi="Arial"/>
                <w:sz w:val="14"/>
                <w:szCs w:val="14"/>
                <w:color w:val="auto"/>
              </w:rPr>
              <w:t>$10,709,199</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44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w w:val="82"/>
              </w:rPr>
              <w:t>Thomas</w:t>
            </w:r>
          </w:p>
        </w:tc>
        <w:tc>
          <w:tcPr>
            <w:tcW w:w="2040" w:type="dxa"/>
            <w:vAlign w:val="bottom"/>
            <w:gridSpan w:val="8"/>
          </w:tcPr>
          <w:p>
            <w:pPr>
              <w:jc w:val="right"/>
              <w:ind w:right="1040"/>
              <w:spacing w:after="0" w:line="149" w:lineRule="exact"/>
              <w:rPr>
                <w:sz w:val="20"/>
                <w:szCs w:val="20"/>
                <w:color w:val="auto"/>
              </w:rPr>
            </w:pPr>
            <w:r>
              <w:rPr>
                <w:rFonts w:ascii="Arial" w:cs="Arial" w:eastAsia="Arial" w:hAnsi="Arial"/>
                <w:sz w:val="14"/>
                <w:szCs w:val="14"/>
                <w:color w:val="auto"/>
              </w:rPr>
              <w:t>W. Warsop, III</w:t>
            </w:r>
          </w:p>
        </w:tc>
        <w:tc>
          <w:tcPr>
            <w:tcW w:w="90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0" w:type="dxa"/>
            <w:vAlign w:val="bottom"/>
            <w:shd w:val="clear" w:color="auto" w:fill="9DBDE4"/>
          </w:tcPr>
          <w:p>
            <w:pPr>
              <w:spacing w:after="0"/>
              <w:rPr>
                <w:sz w:val="13"/>
                <w:szCs w:val="13"/>
                <w:color w:val="auto"/>
              </w:rPr>
            </w:pPr>
          </w:p>
        </w:tc>
        <w:tc>
          <w:tcPr>
            <w:tcW w:w="2480" w:type="dxa"/>
            <w:vAlign w:val="bottom"/>
            <w:gridSpan w:val="10"/>
            <w:shd w:val="clear" w:color="auto" w:fill="9DBDE4"/>
          </w:tcPr>
          <w:p>
            <w:pPr>
              <w:spacing w:after="0" w:line="156" w:lineRule="exact"/>
              <w:rPr>
                <w:sz w:val="20"/>
                <w:szCs w:val="20"/>
                <w:color w:val="auto"/>
              </w:rPr>
            </w:pPr>
            <w:r>
              <w:rPr>
                <w:rFonts w:ascii="Arial" w:cs="Arial" w:eastAsia="Arial" w:hAnsi="Arial"/>
                <w:sz w:val="14"/>
                <w:szCs w:val="14"/>
                <w:color w:val="auto"/>
              </w:rPr>
              <w:t>Scott W. Behrens</w:t>
            </w:r>
          </w:p>
        </w:tc>
        <w:tc>
          <w:tcPr>
            <w:tcW w:w="90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500" w:type="dxa"/>
            <w:vAlign w:val="bottom"/>
            <w:shd w:val="clear" w:color="auto" w:fill="9DBDE4"/>
          </w:tcPr>
          <w:p>
            <w:pPr>
              <w:jc w:val="right"/>
              <w:spacing w:after="0" w:line="156" w:lineRule="exact"/>
              <w:rPr>
                <w:sz w:val="20"/>
                <w:szCs w:val="20"/>
                <w:color w:val="auto"/>
              </w:rPr>
            </w:pPr>
            <w:r>
              <w:rPr>
                <w:rFonts w:ascii="Arial" w:cs="Arial" w:eastAsia="Arial" w:hAnsi="Arial"/>
                <w:sz w:val="14"/>
                <w:szCs w:val="14"/>
                <w:color w:val="auto"/>
              </w:rPr>
              <w:t>$0</w:t>
            </w:r>
          </w:p>
        </w:tc>
        <w:tc>
          <w:tcPr>
            <w:tcW w:w="10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$2,902,760</w:t>
            </w:r>
          </w:p>
        </w:tc>
        <w:tc>
          <w:tcPr>
            <w:tcW w:w="9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$4,430,949</w:t>
            </w:r>
          </w:p>
        </w:tc>
        <w:tc>
          <w:tcPr>
            <w:tcW w:w="8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$4,430,949</w:t>
            </w:r>
          </w:p>
        </w:tc>
        <w:tc>
          <w:tcPr>
            <w:tcW w:w="142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$8,696,003</w:t>
            </w: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2480" w:type="dxa"/>
            <w:vAlign w:val="bottom"/>
            <w:gridSpan w:val="10"/>
          </w:tcPr>
          <w:p>
            <w:pPr>
              <w:spacing w:after="0" w:line="156" w:lineRule="exact"/>
              <w:rPr>
                <w:sz w:val="20"/>
                <w:szCs w:val="20"/>
                <w:color w:val="auto"/>
              </w:rPr>
            </w:pPr>
            <w:r>
              <w:rPr>
                <w:rFonts w:ascii="Arial" w:cs="Arial" w:eastAsia="Arial" w:hAnsi="Arial"/>
                <w:sz w:val="14"/>
                <w:szCs w:val="14"/>
                <w:color w:val="auto"/>
              </w:rPr>
              <w:t>Abraham Kuruvilla</w:t>
            </w:r>
          </w:p>
        </w:tc>
        <w:tc>
          <w:tcPr>
            <w:tcW w:w="900" w:type="dxa"/>
            <w:vAlign w:val="bottom"/>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500" w:type="dxa"/>
            <w:vAlign w:val="bottom"/>
          </w:tcPr>
          <w:p>
            <w:pPr>
              <w:jc w:val="right"/>
              <w:spacing w:after="0" w:line="156" w:lineRule="exact"/>
              <w:rPr>
                <w:sz w:val="20"/>
                <w:szCs w:val="20"/>
                <w:color w:val="auto"/>
              </w:rPr>
            </w:pPr>
            <w:r>
              <w:rPr>
                <w:rFonts w:ascii="Arial" w:cs="Arial" w:eastAsia="Arial" w:hAnsi="Arial"/>
                <w:sz w:val="14"/>
                <w:szCs w:val="14"/>
                <w:color w:val="auto"/>
              </w:rPr>
              <w:t>$0</w:t>
            </w:r>
          </w:p>
        </w:tc>
        <w:tc>
          <w:tcPr>
            <w:tcW w:w="10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$960,712</w:t>
            </w:r>
          </w:p>
        </w:tc>
        <w:tc>
          <w:tcPr>
            <w:tcW w:w="9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$1,803,319</w:t>
            </w:r>
          </w:p>
        </w:tc>
        <w:tc>
          <w:tcPr>
            <w:tcW w:w="860" w:type="dxa"/>
            <w:vAlign w:val="bottom"/>
          </w:tcPr>
          <w:p>
            <w:pPr>
              <w:jc w:val="right"/>
              <w:ind w:right="11"/>
              <w:spacing w:after="0" w:line="156" w:lineRule="exact"/>
              <w:rPr>
                <w:sz w:val="20"/>
                <w:szCs w:val="20"/>
                <w:color w:val="auto"/>
              </w:rPr>
            </w:pPr>
            <w:r>
              <w:rPr>
                <w:rFonts w:ascii="Arial" w:cs="Arial" w:eastAsia="Arial" w:hAnsi="Arial"/>
                <w:sz w:val="14"/>
                <w:szCs w:val="14"/>
                <w:color w:val="auto"/>
              </w:rPr>
              <w:t>$1,803,319</w:t>
            </w:r>
          </w:p>
        </w:tc>
        <w:tc>
          <w:tcPr>
            <w:tcW w:w="1420" w:type="dxa"/>
            <w:vAlign w:val="bottom"/>
          </w:tcPr>
          <w:p>
            <w:pPr>
              <w:jc w:val="right"/>
              <w:ind w:right="11"/>
              <w:spacing w:after="0" w:line="156" w:lineRule="exact"/>
              <w:rPr>
                <w:sz w:val="20"/>
                <w:szCs w:val="20"/>
                <w:color w:val="auto"/>
              </w:rPr>
            </w:pPr>
            <w:r>
              <w:rPr>
                <w:rFonts w:ascii="Arial" w:cs="Arial" w:eastAsia="Arial" w:hAnsi="Arial"/>
                <w:sz w:val="14"/>
                <w:szCs w:val="14"/>
                <w:color w:val="auto"/>
              </w:rPr>
              <w:t>$4,211,279</w:t>
            </w:r>
          </w:p>
        </w:tc>
        <w:tc>
          <w:tcPr>
            <w:tcW w:w="0" w:type="dxa"/>
            <w:vAlign w:val="bottom"/>
          </w:tcPr>
          <w:p>
            <w:pPr>
              <w:spacing w:after="0"/>
              <w:rPr>
                <w:sz w:val="1"/>
                <w:szCs w:val="1"/>
                <w:color w:val="auto"/>
              </w:rPr>
            </w:pPr>
          </w:p>
        </w:tc>
      </w:tr>
      <w:tr>
        <w:trPr>
          <w:trHeight w:val="156"/>
        </w:trPr>
        <w:tc>
          <w:tcPr>
            <w:tcW w:w="220" w:type="dxa"/>
            <w:vAlign w:val="bottom"/>
            <w:shd w:val="clear" w:color="auto" w:fill="9DBDE4"/>
          </w:tcPr>
          <w:p>
            <w:pPr>
              <w:spacing w:after="0"/>
              <w:rPr>
                <w:sz w:val="13"/>
                <w:szCs w:val="13"/>
                <w:color w:val="auto"/>
              </w:rPr>
            </w:pPr>
          </w:p>
        </w:tc>
        <w:tc>
          <w:tcPr>
            <w:tcW w:w="2480" w:type="dxa"/>
            <w:vAlign w:val="bottom"/>
            <w:gridSpan w:val="10"/>
            <w:shd w:val="clear" w:color="auto" w:fill="9DBDE4"/>
          </w:tcPr>
          <w:p>
            <w:pPr>
              <w:spacing w:after="0" w:line="156" w:lineRule="exact"/>
              <w:rPr>
                <w:sz w:val="20"/>
                <w:szCs w:val="20"/>
                <w:color w:val="auto"/>
              </w:rPr>
            </w:pPr>
            <w:r>
              <w:rPr>
                <w:rFonts w:ascii="Arial" w:cs="Arial" w:eastAsia="Arial" w:hAnsi="Arial"/>
                <w:sz w:val="14"/>
                <w:szCs w:val="14"/>
                <w:color w:val="auto"/>
              </w:rPr>
              <w:t>Alessandro da Silva</w:t>
            </w:r>
          </w:p>
        </w:tc>
        <w:tc>
          <w:tcPr>
            <w:tcW w:w="90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500" w:type="dxa"/>
            <w:vAlign w:val="bottom"/>
            <w:shd w:val="clear" w:color="auto" w:fill="9DBDE4"/>
          </w:tcPr>
          <w:p>
            <w:pPr>
              <w:jc w:val="right"/>
              <w:spacing w:after="0" w:line="156" w:lineRule="exact"/>
              <w:rPr>
                <w:sz w:val="20"/>
                <w:szCs w:val="20"/>
                <w:color w:val="auto"/>
              </w:rPr>
            </w:pPr>
            <w:r>
              <w:rPr>
                <w:rFonts w:ascii="Arial" w:cs="Arial" w:eastAsia="Arial" w:hAnsi="Arial"/>
                <w:sz w:val="14"/>
                <w:szCs w:val="14"/>
                <w:color w:val="auto"/>
              </w:rPr>
              <w:t>$0</w:t>
            </w:r>
          </w:p>
        </w:tc>
        <w:tc>
          <w:tcPr>
            <w:tcW w:w="10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$1,333,042</w:t>
            </w:r>
          </w:p>
        </w:tc>
        <w:tc>
          <w:tcPr>
            <w:tcW w:w="900" w:type="dxa"/>
            <w:vAlign w:val="bottom"/>
            <w:shd w:val="clear" w:color="auto" w:fill="9DBDE4"/>
          </w:tcPr>
          <w:p>
            <w:pPr>
              <w:jc w:val="right"/>
              <w:ind w:right="31"/>
              <w:spacing w:after="0" w:line="156" w:lineRule="exact"/>
              <w:rPr>
                <w:sz w:val="20"/>
                <w:szCs w:val="20"/>
                <w:color w:val="auto"/>
              </w:rPr>
            </w:pPr>
            <w:r>
              <w:rPr>
                <w:rFonts w:ascii="Arial" w:cs="Arial" w:eastAsia="Arial" w:hAnsi="Arial"/>
                <w:sz w:val="14"/>
                <w:szCs w:val="14"/>
                <w:color w:val="auto"/>
              </w:rPr>
              <w:t>$1,964,673</w:t>
            </w:r>
          </w:p>
        </w:tc>
        <w:tc>
          <w:tcPr>
            <w:tcW w:w="86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$1,964,673</w:t>
            </w:r>
          </w:p>
        </w:tc>
        <w:tc>
          <w:tcPr>
            <w:tcW w:w="1420" w:type="dxa"/>
            <w:vAlign w:val="bottom"/>
            <w:shd w:val="clear" w:color="auto" w:fill="9DBDE4"/>
          </w:tcPr>
          <w:p>
            <w:pPr>
              <w:jc w:val="right"/>
              <w:ind w:right="11"/>
              <w:spacing w:after="0" w:line="156" w:lineRule="exact"/>
              <w:rPr>
                <w:sz w:val="20"/>
                <w:szCs w:val="20"/>
                <w:color w:val="auto"/>
              </w:rPr>
            </w:pPr>
            <w:r>
              <w:rPr>
                <w:rFonts w:ascii="Arial" w:cs="Arial" w:eastAsia="Arial" w:hAnsi="Arial"/>
                <w:sz w:val="14"/>
                <w:szCs w:val="14"/>
                <w:color w:val="auto"/>
              </w:rPr>
              <w:t>$5,127,637</w:t>
            </w:r>
          </w:p>
        </w:tc>
        <w:tc>
          <w:tcPr>
            <w:tcW w:w="0" w:type="dxa"/>
            <w:vAlign w:val="bottom"/>
          </w:tcPr>
          <w:p>
            <w:pPr>
              <w:spacing w:after="0"/>
              <w:rPr>
                <w:sz w:val="1"/>
                <w:szCs w:val="1"/>
                <w:color w:val="auto"/>
              </w:rPr>
            </w:pPr>
          </w:p>
        </w:tc>
      </w:tr>
      <w:tr>
        <w:trPr>
          <w:trHeight w:val="156"/>
        </w:trPr>
        <w:tc>
          <w:tcPr>
            <w:tcW w:w="220" w:type="dxa"/>
            <w:vAlign w:val="bottom"/>
            <w:tcBorders>
              <w:bottom w:val="single" w:sz="8" w:color="284993"/>
            </w:tcBorders>
          </w:tcPr>
          <w:p>
            <w:pPr>
              <w:spacing w:after="0"/>
              <w:rPr>
                <w:sz w:val="13"/>
                <w:szCs w:val="13"/>
                <w:color w:val="auto"/>
              </w:rPr>
            </w:pPr>
          </w:p>
        </w:tc>
        <w:tc>
          <w:tcPr>
            <w:tcW w:w="2480" w:type="dxa"/>
            <w:vAlign w:val="bottom"/>
            <w:tcBorders>
              <w:bottom w:val="single" w:sz="8" w:color="284993"/>
            </w:tcBorders>
            <w:gridSpan w:val="10"/>
          </w:tcPr>
          <w:p>
            <w:pPr>
              <w:spacing w:after="0" w:line="156" w:lineRule="exact"/>
              <w:rPr>
                <w:sz w:val="20"/>
                <w:szCs w:val="20"/>
                <w:color w:val="auto"/>
              </w:rPr>
            </w:pPr>
            <w:r>
              <w:rPr>
                <w:rFonts w:ascii="Arial" w:cs="Arial" w:eastAsia="Arial" w:hAnsi="Arial"/>
                <w:sz w:val="14"/>
                <w:szCs w:val="14"/>
                <w:color w:val="auto"/>
              </w:rPr>
              <w:t>Debbie Guerra</w:t>
            </w:r>
          </w:p>
        </w:tc>
        <w:tc>
          <w:tcPr>
            <w:tcW w:w="900" w:type="dxa"/>
            <w:vAlign w:val="bottom"/>
            <w:tcBorders>
              <w:bottom w:val="single" w:sz="8" w:color="284993"/>
            </w:tcBorders>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1060" w:type="dxa"/>
            <w:vAlign w:val="bottom"/>
            <w:tcBorders>
              <w:bottom w:val="single" w:sz="8" w:color="284993"/>
            </w:tcBorders>
          </w:tcPr>
          <w:p>
            <w:pPr>
              <w:jc w:val="right"/>
              <w:ind w:right="11"/>
              <w:spacing w:after="0" w:line="156" w:lineRule="exact"/>
              <w:rPr>
                <w:sz w:val="20"/>
                <w:szCs w:val="20"/>
                <w:color w:val="auto"/>
              </w:rPr>
            </w:pPr>
            <w:r>
              <w:rPr>
                <w:rFonts w:ascii="Arial" w:cs="Arial" w:eastAsia="Arial" w:hAnsi="Arial"/>
                <w:sz w:val="14"/>
                <w:szCs w:val="14"/>
                <w:color w:val="auto"/>
              </w:rPr>
              <w:t>$0</w:t>
            </w:r>
          </w:p>
        </w:tc>
        <w:tc>
          <w:tcPr>
            <w:tcW w:w="500" w:type="dxa"/>
            <w:vAlign w:val="bottom"/>
            <w:tcBorders>
              <w:bottom w:val="single" w:sz="8" w:color="284993"/>
            </w:tcBorders>
          </w:tcPr>
          <w:p>
            <w:pPr>
              <w:jc w:val="right"/>
              <w:spacing w:after="0" w:line="156" w:lineRule="exact"/>
              <w:rPr>
                <w:sz w:val="20"/>
                <w:szCs w:val="20"/>
                <w:color w:val="auto"/>
              </w:rPr>
            </w:pPr>
            <w:r>
              <w:rPr>
                <w:rFonts w:ascii="Arial" w:cs="Arial" w:eastAsia="Arial" w:hAnsi="Arial"/>
                <w:sz w:val="14"/>
                <w:szCs w:val="14"/>
                <w:color w:val="auto"/>
              </w:rPr>
              <w:t>$0</w:t>
            </w:r>
          </w:p>
        </w:tc>
        <w:tc>
          <w:tcPr>
            <w:tcW w:w="1000" w:type="dxa"/>
            <w:vAlign w:val="bottom"/>
            <w:tcBorders>
              <w:bottom w:val="single" w:sz="8" w:color="284993"/>
            </w:tcBorders>
          </w:tcPr>
          <w:p>
            <w:pPr>
              <w:jc w:val="right"/>
              <w:ind w:right="31"/>
              <w:spacing w:after="0" w:line="156" w:lineRule="exact"/>
              <w:rPr>
                <w:sz w:val="20"/>
                <w:szCs w:val="20"/>
                <w:color w:val="auto"/>
              </w:rPr>
            </w:pPr>
            <w:r>
              <w:rPr>
                <w:rFonts w:ascii="Arial" w:cs="Arial" w:eastAsia="Arial" w:hAnsi="Arial"/>
                <w:sz w:val="14"/>
                <w:szCs w:val="14"/>
                <w:color w:val="auto"/>
              </w:rPr>
              <w:t>$1,312,788</w:t>
            </w:r>
          </w:p>
        </w:tc>
        <w:tc>
          <w:tcPr>
            <w:tcW w:w="900" w:type="dxa"/>
            <w:vAlign w:val="bottom"/>
            <w:tcBorders>
              <w:bottom w:val="single" w:sz="8" w:color="284993"/>
            </w:tcBorders>
          </w:tcPr>
          <w:p>
            <w:pPr>
              <w:jc w:val="right"/>
              <w:ind w:right="31"/>
              <w:spacing w:after="0" w:line="156" w:lineRule="exact"/>
              <w:rPr>
                <w:sz w:val="20"/>
                <w:szCs w:val="20"/>
                <w:color w:val="auto"/>
              </w:rPr>
            </w:pPr>
            <w:r>
              <w:rPr>
                <w:rFonts w:ascii="Arial" w:cs="Arial" w:eastAsia="Arial" w:hAnsi="Arial"/>
                <w:sz w:val="14"/>
                <w:szCs w:val="14"/>
                <w:color w:val="auto"/>
              </w:rPr>
              <w:t>$1,680,837</w:t>
            </w:r>
          </w:p>
        </w:tc>
        <w:tc>
          <w:tcPr>
            <w:tcW w:w="860" w:type="dxa"/>
            <w:vAlign w:val="bottom"/>
            <w:tcBorders>
              <w:bottom w:val="single" w:sz="8" w:color="284993"/>
            </w:tcBorders>
          </w:tcPr>
          <w:p>
            <w:pPr>
              <w:jc w:val="right"/>
              <w:ind w:right="11"/>
              <w:spacing w:after="0" w:line="156" w:lineRule="exact"/>
              <w:rPr>
                <w:sz w:val="20"/>
                <w:szCs w:val="20"/>
                <w:color w:val="auto"/>
              </w:rPr>
            </w:pPr>
            <w:r>
              <w:rPr>
                <w:rFonts w:ascii="Arial" w:cs="Arial" w:eastAsia="Arial" w:hAnsi="Arial"/>
                <w:sz w:val="14"/>
                <w:szCs w:val="14"/>
                <w:color w:val="auto"/>
              </w:rPr>
              <w:t>$1,680,837</w:t>
            </w:r>
          </w:p>
        </w:tc>
        <w:tc>
          <w:tcPr>
            <w:tcW w:w="1420" w:type="dxa"/>
            <w:vAlign w:val="bottom"/>
            <w:tcBorders>
              <w:bottom w:val="single" w:sz="8" w:color="284993"/>
            </w:tcBorders>
          </w:tcPr>
          <w:p>
            <w:pPr>
              <w:jc w:val="right"/>
              <w:ind w:right="11"/>
              <w:spacing w:after="0" w:line="156" w:lineRule="exact"/>
              <w:rPr>
                <w:sz w:val="20"/>
                <w:szCs w:val="20"/>
                <w:color w:val="auto"/>
              </w:rPr>
            </w:pPr>
            <w:r>
              <w:rPr>
                <w:rFonts w:ascii="Arial" w:cs="Arial" w:eastAsia="Arial" w:hAnsi="Arial"/>
                <w:sz w:val="14"/>
                <w:szCs w:val="14"/>
                <w:color w:val="auto"/>
              </w:rPr>
              <w:t>$4,529,858</w:t>
            </w:r>
          </w:p>
        </w:tc>
        <w:tc>
          <w:tcPr>
            <w:tcW w:w="0" w:type="dxa"/>
            <w:vAlign w:val="bottom"/>
          </w:tcPr>
          <w:p>
            <w:pPr>
              <w:spacing w:after="0"/>
              <w:rPr>
                <w:sz w:val="1"/>
                <w:szCs w:val="1"/>
                <w:color w:val="auto"/>
              </w:rPr>
            </w:pPr>
          </w:p>
        </w:tc>
      </w:tr>
    </w:tbl>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4868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9310" cy="4868545"/>
                    </a:xfrm>
                    <a:prstGeom prst="rect">
                      <a:avLst/>
                    </a:prstGeom>
                    <a:noFill/>
                  </pic:spPr>
                </pic:pic>
              </a:graphicData>
            </a:graphic>
          </wp:anchor>
        </w:drawing>
      </w:r>
    </w:p>
    <w:p>
      <w:pPr>
        <w:jc w:val="both"/>
        <w:ind w:left="280" w:right="140" w:hanging="274"/>
        <w:spacing w:after="0" w:line="199" w:lineRule="auto"/>
        <w:tabs>
          <w:tab w:leader="none" w:pos="280" w:val="left"/>
        </w:tabs>
        <w:numPr>
          <w:ilvl w:val="0"/>
          <w:numId w:val="53"/>
        </w:numPr>
        <w:rPr>
          <w:rFonts w:ascii="Arial" w:cs="Arial" w:eastAsia="Arial" w:hAnsi="Arial"/>
          <w:sz w:val="18"/>
          <w:szCs w:val="18"/>
          <w:color w:val="auto"/>
          <w:vertAlign w:val="superscript"/>
        </w:rPr>
      </w:pPr>
      <w:r>
        <w:rPr>
          <w:rFonts w:ascii="Arial" w:cs="Arial" w:eastAsia="Arial" w:hAnsi="Arial"/>
          <w:sz w:val="12"/>
          <w:szCs w:val="12"/>
          <w:color w:val="auto"/>
        </w:rPr>
        <w:t>Bonus Payment represents the product of (x) the target annual bonus and (y) a fraction, the numerator of which is the number of days in the current fiscal year through the date of termination and the denominator of which is 365. Because the termination date is assumed to be on the last day of the year, the pro rated bonus payment is equal to the full target annual bonus.</w:t>
      </w:r>
    </w:p>
    <w:p>
      <w:pPr>
        <w:spacing w:after="0" w:line="1" w:lineRule="exact"/>
        <w:rPr>
          <w:rFonts w:ascii="Arial" w:cs="Arial" w:eastAsia="Arial" w:hAnsi="Arial"/>
          <w:sz w:val="18"/>
          <w:szCs w:val="18"/>
          <w:color w:val="auto"/>
          <w:vertAlign w:val="superscript"/>
        </w:rPr>
      </w:pPr>
    </w:p>
    <w:p>
      <w:pPr>
        <w:ind w:left="280" w:right="40" w:hanging="274"/>
        <w:spacing w:after="0" w:line="193" w:lineRule="auto"/>
        <w:tabs>
          <w:tab w:leader="none" w:pos="280" w:val="left"/>
        </w:tabs>
        <w:numPr>
          <w:ilvl w:val="0"/>
          <w:numId w:val="53"/>
        </w:numPr>
        <w:rPr>
          <w:rFonts w:ascii="Arial" w:cs="Arial" w:eastAsia="Arial" w:hAnsi="Arial"/>
          <w:sz w:val="18"/>
          <w:szCs w:val="18"/>
          <w:color w:val="auto"/>
          <w:vertAlign w:val="superscript"/>
        </w:rPr>
      </w:pPr>
      <w:r>
        <w:rPr>
          <w:rFonts w:ascii="Arial" w:cs="Arial" w:eastAsia="Arial" w:hAnsi="Arial"/>
          <w:sz w:val="12"/>
          <w:szCs w:val="12"/>
          <w:color w:val="auto"/>
        </w:rPr>
        <w:t>The estimated pro-rata portion of PSUs (assuming target performance) set forth in this table includes the PSUs granted on March 1, 2021, March 1, 2022, May 11, 2023, and June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83185</wp:posOffset>
            </wp:positionV>
            <wp:extent cx="693420" cy="1320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3420" cy="13208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66</w:t>
      </w:r>
    </w:p>
    <w:p>
      <w:pPr>
        <w:sectPr>
          <w:pgSz w:w="11900" w:h="16838" w:orient="portrait"/>
          <w:cols w:equalWidth="0" w:num="1">
            <w:col w:w="9360"/>
          </w:cols>
          <w:pgMar w:left="1260" w:top="303" w:right="1279" w:bottom="1440" w:gutter="0" w:footer="0" w:header="0"/>
        </w:sectPr>
      </w:pPr>
    </w:p>
    <w:bookmarkStart w:id="72" w:name="page73"/>
    <w:bookmarkEnd w:id="72"/>
    <w:p>
      <w:pPr>
        <w:jc w:val="center"/>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257175</wp:posOffset>
            </wp:positionV>
            <wp:extent cx="59410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color w:val="auto"/>
        </w:rPr>
        <w:t>Our CEO to median employee pay ratio is approximately 66:1 and was calculated in accordance with item 402(u) of Regulation of S-K.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We believe this ratio to be a reasonable estimate, based upon the assumptions and adjustments described below.</w:t>
      </w:r>
    </w:p>
    <w:p>
      <w:pPr>
        <w:spacing w:after="0" w:line="192"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We identified the employee with compensation at the median of the annual total compensation of all of our employees (other than our CEO) by examining the calendar year total cash compensation from January 1, 2023 through December 31, 2023 (using December 31, 2023 as the “median employee determination date”), including salary or wages plus overtime paid, and any earned cash incentive compensation for 2023, for all individuals, excluding Mr Warsop III, who were employed by us (including our consolidated subsidiaries) on the median employee determination date, whether employed on a full-time, part-time, seasonal or temporary basis, subject to the application of the “de minimis” exemption as described below.</w:t>
      </w:r>
    </w:p>
    <w:p>
      <w:pPr>
        <w:spacing w:after="0" w:line="186"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For employees paid other than in U.S. dollars, we converted their compensation to U.S. dollars using foreign exchange rates in effect on the median employee determination date.</w:t>
      </w:r>
    </w:p>
    <w:p>
      <w:pPr>
        <w:spacing w:after="0" w:line="167"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color w:val="auto"/>
        </w:rPr>
        <w:t>For employees on a leave of absence, we calculated compensation on an annualized basis. However, we did not include employees absent on an unpaid leave for the entire measurement period (i.e. all of 2023).</w:t>
      </w:r>
    </w:p>
    <w:p>
      <w:pPr>
        <w:spacing w:after="0" w:line="167"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The de minimis exemption allows us to exclude up to 5% of our total employees who are non-U.S. employees. Our total number of employees, including U.S. employees, as of the median employee determination date was 3,065, and we used this number to calculate the maximum number of employees excludable under the de minimis exemption. Accordingly, in identifying the median employee, we used the de minimis exemption to exclude the following approximate numbers of employees who were employed in the following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139700</wp:posOffset>
            </wp:positionV>
            <wp:extent cx="8255" cy="10477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1047750"/>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139700</wp:posOffset>
            </wp:positionV>
            <wp:extent cx="8255" cy="10477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1047750"/>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139700</wp:posOffset>
            </wp:positionV>
            <wp:extent cx="8255" cy="10477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1047750"/>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139700</wp:posOffset>
            </wp:positionV>
            <wp:extent cx="8255" cy="10477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1047750"/>
                    </a:xfrm>
                    <a:prstGeom prst="rect">
                      <a:avLst/>
                    </a:prstGeom>
                    <a:noFill/>
                  </pic:spPr>
                </pic:pic>
              </a:graphicData>
            </a:graphic>
          </wp:anchor>
        </w:drawing>
        <w:drawing>
          <wp:anchor simplePos="0" relativeHeight="251657728" behindDoc="1" locked="0" layoutInCell="0" allowOverlap="1">
            <wp:simplePos x="0" y="0"/>
            <wp:positionH relativeFrom="column">
              <wp:posOffset>1460500</wp:posOffset>
            </wp:positionH>
            <wp:positionV relativeFrom="paragraph">
              <wp:posOffset>139700</wp:posOffset>
            </wp:positionV>
            <wp:extent cx="8255" cy="10477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1047750"/>
                    </a:xfrm>
                    <a:prstGeom prst="rect">
                      <a:avLst/>
                    </a:prstGeom>
                    <a:noFill/>
                  </pic:spPr>
                </pic:pic>
              </a:graphicData>
            </a:graphic>
          </wp:anchor>
        </w:drawing>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980" w:type="dxa"/>
            <w:vAlign w:val="bottom"/>
            <w:shd w:val="clear" w:color="auto" w:fill="284993"/>
          </w:tcPr>
          <w:p>
            <w:pPr>
              <w:ind w:left="120"/>
              <w:spacing w:after="0"/>
              <w:rPr>
                <w:sz w:val="20"/>
                <w:szCs w:val="20"/>
                <w:color w:val="auto"/>
              </w:rPr>
            </w:pPr>
            <w:r>
              <w:rPr>
                <w:rFonts w:ascii="Arial" w:cs="Arial" w:eastAsia="Arial" w:hAnsi="Arial"/>
                <w:sz w:val="16"/>
                <w:szCs w:val="16"/>
                <w:b w:val="1"/>
                <w:bCs w:val="1"/>
                <w:color w:val="FFFFFF"/>
              </w:rPr>
              <w:t>  Excluded Country</w:t>
            </w:r>
          </w:p>
        </w:tc>
        <w:tc>
          <w:tcPr>
            <w:tcW w:w="1500" w:type="dxa"/>
            <w:vAlign w:val="bottom"/>
            <w:shd w:val="clear" w:color="auto" w:fill="284993"/>
          </w:tcPr>
          <w:p>
            <w:pPr>
              <w:jc w:val="right"/>
              <w:ind w:right="142"/>
              <w:spacing w:after="0"/>
              <w:rPr>
                <w:sz w:val="20"/>
                <w:szCs w:val="20"/>
                <w:color w:val="auto"/>
              </w:rPr>
            </w:pPr>
            <w:r>
              <w:rPr>
                <w:rFonts w:ascii="Arial" w:cs="Arial" w:eastAsia="Arial" w:hAnsi="Arial"/>
                <w:sz w:val="16"/>
                <w:szCs w:val="16"/>
                <w:b w:val="1"/>
                <w:bCs w:val="1"/>
                <w:color w:val="FFFFFF"/>
              </w:rPr>
              <w:t>Employees</w:t>
            </w:r>
          </w:p>
        </w:tc>
        <w:tc>
          <w:tcPr>
            <w:tcW w:w="1660" w:type="dxa"/>
            <w:vAlign w:val="bottom"/>
            <w:shd w:val="clear" w:color="auto" w:fill="284993"/>
          </w:tcPr>
          <w:p>
            <w:pPr>
              <w:ind w:left="220"/>
              <w:spacing w:after="0"/>
              <w:rPr>
                <w:sz w:val="20"/>
                <w:szCs w:val="20"/>
                <w:color w:val="auto"/>
              </w:rPr>
            </w:pPr>
            <w:r>
              <w:rPr>
                <w:rFonts w:ascii="Arial" w:cs="Arial" w:eastAsia="Arial" w:hAnsi="Arial"/>
                <w:sz w:val="16"/>
                <w:szCs w:val="16"/>
                <w:b w:val="1"/>
                <w:bCs w:val="1"/>
                <w:color w:val="FFFFFF"/>
              </w:rPr>
              <w:t>Excluded Country</w:t>
            </w:r>
          </w:p>
        </w:tc>
        <w:tc>
          <w:tcPr>
            <w:tcW w:w="1220" w:type="dxa"/>
            <w:vAlign w:val="bottom"/>
            <w:shd w:val="clear" w:color="auto" w:fill="284993"/>
          </w:tcPr>
          <w:p>
            <w:pPr>
              <w:jc w:val="right"/>
              <w:ind w:right="202"/>
              <w:spacing w:after="0"/>
              <w:rPr>
                <w:sz w:val="20"/>
                <w:szCs w:val="20"/>
                <w:color w:val="auto"/>
              </w:rPr>
            </w:pPr>
            <w:r>
              <w:rPr>
                <w:rFonts w:ascii="Arial" w:cs="Arial" w:eastAsia="Arial" w:hAnsi="Arial"/>
                <w:sz w:val="16"/>
                <w:szCs w:val="16"/>
                <w:b w:val="1"/>
                <w:bCs w:val="1"/>
                <w:color w:val="FFFFFF"/>
              </w:rPr>
              <w:t>Employees</w:t>
            </w:r>
          </w:p>
        </w:tc>
        <w:tc>
          <w:tcPr>
            <w:tcW w:w="1720" w:type="dxa"/>
            <w:vAlign w:val="bottom"/>
            <w:shd w:val="clear" w:color="auto" w:fill="284993"/>
          </w:tcPr>
          <w:p>
            <w:pPr>
              <w:ind w:left="260"/>
              <w:spacing w:after="0"/>
              <w:rPr>
                <w:sz w:val="20"/>
                <w:szCs w:val="20"/>
                <w:color w:val="auto"/>
              </w:rPr>
            </w:pPr>
            <w:r>
              <w:rPr>
                <w:rFonts w:ascii="Arial" w:cs="Arial" w:eastAsia="Arial" w:hAnsi="Arial"/>
                <w:sz w:val="16"/>
                <w:szCs w:val="16"/>
                <w:b w:val="1"/>
                <w:bCs w:val="1"/>
                <w:color w:val="FFFFFF"/>
              </w:rPr>
              <w:t>Excluded Country</w:t>
            </w:r>
          </w:p>
        </w:tc>
        <w:tc>
          <w:tcPr>
            <w:tcW w:w="1260" w:type="dxa"/>
            <w:vAlign w:val="bottom"/>
            <w:shd w:val="clear" w:color="auto" w:fill="284993"/>
          </w:tcPr>
          <w:p>
            <w:pPr>
              <w:jc w:val="right"/>
              <w:ind w:right="262"/>
              <w:spacing w:after="0"/>
              <w:rPr>
                <w:sz w:val="20"/>
                <w:szCs w:val="20"/>
                <w:color w:val="auto"/>
              </w:rPr>
            </w:pPr>
            <w:r>
              <w:rPr>
                <w:rFonts w:ascii="Arial" w:cs="Arial" w:eastAsia="Arial" w:hAnsi="Arial"/>
                <w:sz w:val="16"/>
                <w:szCs w:val="16"/>
                <w:b w:val="1"/>
                <w:bCs w:val="1"/>
                <w:color w:val="FFFFFF"/>
              </w:rPr>
              <w:t>Employees</w:t>
            </w:r>
          </w:p>
        </w:tc>
      </w:tr>
      <w:tr>
        <w:trPr>
          <w:trHeight w:val="182"/>
        </w:trPr>
        <w:tc>
          <w:tcPr>
            <w:tcW w:w="1980" w:type="dxa"/>
            <w:vAlign w:val="bottom"/>
          </w:tcPr>
          <w:p>
            <w:pPr>
              <w:ind w:left="200"/>
              <w:spacing w:after="0" w:line="182" w:lineRule="exact"/>
              <w:rPr>
                <w:sz w:val="20"/>
                <w:szCs w:val="20"/>
                <w:color w:val="auto"/>
              </w:rPr>
            </w:pPr>
            <w:r>
              <w:rPr>
                <w:rFonts w:ascii="Arial" w:cs="Arial" w:eastAsia="Arial" w:hAnsi="Arial"/>
                <w:sz w:val="16"/>
                <w:szCs w:val="16"/>
                <w:color w:val="auto"/>
              </w:rPr>
              <w:t>Argentina</w:t>
            </w:r>
          </w:p>
        </w:tc>
        <w:tc>
          <w:tcPr>
            <w:tcW w:w="1500" w:type="dxa"/>
            <w:vAlign w:val="bottom"/>
          </w:tcPr>
          <w:p>
            <w:pPr>
              <w:jc w:val="right"/>
              <w:ind w:right="142"/>
              <w:spacing w:after="0" w:line="182" w:lineRule="exact"/>
              <w:rPr>
                <w:sz w:val="20"/>
                <w:szCs w:val="20"/>
                <w:color w:val="auto"/>
              </w:rPr>
            </w:pPr>
            <w:r>
              <w:rPr>
                <w:rFonts w:ascii="Arial" w:cs="Arial" w:eastAsia="Arial" w:hAnsi="Arial"/>
                <w:sz w:val="16"/>
                <w:szCs w:val="16"/>
                <w:color w:val="auto"/>
              </w:rPr>
              <w:t>6</w:t>
            </w:r>
          </w:p>
        </w:tc>
        <w:tc>
          <w:tcPr>
            <w:tcW w:w="1660" w:type="dxa"/>
            <w:vAlign w:val="bottom"/>
          </w:tcPr>
          <w:p>
            <w:pPr>
              <w:ind w:left="220"/>
              <w:spacing w:after="0" w:line="182" w:lineRule="exact"/>
              <w:rPr>
                <w:sz w:val="20"/>
                <w:szCs w:val="20"/>
                <w:color w:val="auto"/>
              </w:rPr>
            </w:pPr>
            <w:r>
              <w:rPr>
                <w:rFonts w:ascii="Arial" w:cs="Arial" w:eastAsia="Arial" w:hAnsi="Arial"/>
                <w:sz w:val="16"/>
                <w:szCs w:val="16"/>
                <w:color w:val="auto"/>
              </w:rPr>
              <w:t>Finland</w:t>
            </w:r>
          </w:p>
        </w:tc>
        <w:tc>
          <w:tcPr>
            <w:tcW w:w="1220" w:type="dxa"/>
            <w:vAlign w:val="bottom"/>
          </w:tcPr>
          <w:p>
            <w:pPr>
              <w:jc w:val="right"/>
              <w:ind w:right="182"/>
              <w:spacing w:after="0" w:line="182" w:lineRule="exact"/>
              <w:rPr>
                <w:sz w:val="20"/>
                <w:szCs w:val="20"/>
                <w:color w:val="auto"/>
              </w:rPr>
            </w:pPr>
            <w:r>
              <w:rPr>
                <w:rFonts w:ascii="Arial" w:cs="Arial" w:eastAsia="Arial" w:hAnsi="Arial"/>
                <w:sz w:val="16"/>
                <w:szCs w:val="16"/>
                <w:color w:val="auto"/>
              </w:rPr>
              <w:t>1</w:t>
            </w:r>
          </w:p>
        </w:tc>
        <w:tc>
          <w:tcPr>
            <w:tcW w:w="1720" w:type="dxa"/>
            <w:vAlign w:val="bottom"/>
          </w:tcPr>
          <w:p>
            <w:pPr>
              <w:ind w:left="260"/>
              <w:spacing w:after="0" w:line="182" w:lineRule="exact"/>
              <w:rPr>
                <w:sz w:val="20"/>
                <w:szCs w:val="20"/>
                <w:color w:val="auto"/>
              </w:rPr>
            </w:pPr>
            <w:r>
              <w:rPr>
                <w:rFonts w:ascii="Arial" w:cs="Arial" w:eastAsia="Arial" w:hAnsi="Arial"/>
                <w:sz w:val="16"/>
                <w:szCs w:val="16"/>
                <w:color w:val="auto"/>
              </w:rPr>
              <w:t>Saudi Arabia </w:t>
            </w:r>
          </w:p>
        </w:tc>
        <w:tc>
          <w:tcPr>
            <w:tcW w:w="1260" w:type="dxa"/>
            <w:vAlign w:val="bottom"/>
          </w:tcPr>
          <w:p>
            <w:pPr>
              <w:jc w:val="right"/>
              <w:ind w:right="242"/>
              <w:spacing w:after="0" w:line="182" w:lineRule="exact"/>
              <w:rPr>
                <w:sz w:val="20"/>
                <w:szCs w:val="20"/>
                <w:color w:val="auto"/>
              </w:rPr>
            </w:pPr>
            <w:r>
              <w:rPr>
                <w:rFonts w:ascii="Arial" w:cs="Arial" w:eastAsia="Arial" w:hAnsi="Arial"/>
                <w:sz w:val="16"/>
                <w:szCs w:val="16"/>
                <w:color w:val="auto"/>
              </w:rPr>
              <w:t>2</w:t>
            </w:r>
          </w:p>
        </w:tc>
      </w:tr>
      <w:tr>
        <w:trPr>
          <w:trHeight w:val="182"/>
        </w:trPr>
        <w:tc>
          <w:tcPr>
            <w:tcW w:w="1980" w:type="dxa"/>
            <w:vAlign w:val="bottom"/>
            <w:shd w:val="clear" w:color="auto" w:fill="9DBDE4"/>
          </w:tcPr>
          <w:p>
            <w:pPr>
              <w:ind w:left="200"/>
              <w:spacing w:after="0" w:line="182" w:lineRule="exact"/>
              <w:rPr>
                <w:sz w:val="20"/>
                <w:szCs w:val="20"/>
                <w:color w:val="auto"/>
              </w:rPr>
            </w:pPr>
            <w:r>
              <w:rPr>
                <w:rFonts w:ascii="Arial" w:cs="Arial" w:eastAsia="Arial" w:hAnsi="Arial"/>
                <w:sz w:val="16"/>
                <w:szCs w:val="16"/>
                <w:color w:val="auto"/>
              </w:rPr>
              <w:t>Austria</w:t>
            </w:r>
          </w:p>
        </w:tc>
        <w:tc>
          <w:tcPr>
            <w:tcW w:w="1500" w:type="dxa"/>
            <w:vAlign w:val="bottom"/>
            <w:shd w:val="clear" w:color="auto" w:fill="9DBDE4"/>
          </w:tcPr>
          <w:p>
            <w:pPr>
              <w:jc w:val="right"/>
              <w:ind w:right="142"/>
              <w:spacing w:after="0" w:line="182" w:lineRule="exact"/>
              <w:rPr>
                <w:sz w:val="20"/>
                <w:szCs w:val="20"/>
                <w:color w:val="auto"/>
              </w:rPr>
            </w:pPr>
            <w:r>
              <w:rPr>
                <w:rFonts w:ascii="Arial" w:cs="Arial" w:eastAsia="Arial" w:hAnsi="Arial"/>
                <w:sz w:val="16"/>
                <w:szCs w:val="16"/>
                <w:color w:val="auto"/>
              </w:rPr>
              <w:t>10</w:t>
            </w:r>
          </w:p>
        </w:tc>
        <w:tc>
          <w:tcPr>
            <w:tcW w:w="1660" w:type="dxa"/>
            <w:vAlign w:val="bottom"/>
            <w:shd w:val="clear" w:color="auto" w:fill="9DBDE4"/>
          </w:tcPr>
          <w:p>
            <w:pPr>
              <w:ind w:left="220"/>
              <w:spacing w:after="0" w:line="182" w:lineRule="exact"/>
              <w:rPr>
                <w:sz w:val="20"/>
                <w:szCs w:val="20"/>
                <w:color w:val="auto"/>
              </w:rPr>
            </w:pPr>
            <w:r>
              <w:rPr>
                <w:rFonts w:ascii="Arial" w:cs="Arial" w:eastAsia="Arial" w:hAnsi="Arial"/>
                <w:sz w:val="16"/>
                <w:szCs w:val="16"/>
                <w:color w:val="auto"/>
              </w:rPr>
              <w:t>Greece</w:t>
            </w:r>
          </w:p>
        </w:tc>
        <w:tc>
          <w:tcPr>
            <w:tcW w:w="1220" w:type="dxa"/>
            <w:vAlign w:val="bottom"/>
            <w:shd w:val="clear" w:color="auto" w:fill="9DBDE4"/>
          </w:tcPr>
          <w:p>
            <w:pPr>
              <w:jc w:val="right"/>
              <w:ind w:right="182"/>
              <w:spacing w:after="0" w:line="182" w:lineRule="exact"/>
              <w:rPr>
                <w:sz w:val="20"/>
                <w:szCs w:val="20"/>
                <w:color w:val="auto"/>
              </w:rPr>
            </w:pPr>
            <w:r>
              <w:rPr>
                <w:rFonts w:ascii="Arial" w:cs="Arial" w:eastAsia="Arial" w:hAnsi="Arial"/>
                <w:sz w:val="16"/>
                <w:szCs w:val="16"/>
                <w:color w:val="auto"/>
              </w:rPr>
              <w:t>1</w:t>
            </w:r>
          </w:p>
        </w:tc>
        <w:tc>
          <w:tcPr>
            <w:tcW w:w="1720" w:type="dxa"/>
            <w:vAlign w:val="bottom"/>
            <w:shd w:val="clear" w:color="auto" w:fill="9DBDE4"/>
          </w:tcPr>
          <w:p>
            <w:pPr>
              <w:ind w:left="260"/>
              <w:spacing w:after="0" w:line="182" w:lineRule="exact"/>
              <w:rPr>
                <w:sz w:val="20"/>
                <w:szCs w:val="20"/>
                <w:color w:val="auto"/>
              </w:rPr>
            </w:pPr>
            <w:r>
              <w:rPr>
                <w:rFonts w:ascii="Arial" w:cs="Arial" w:eastAsia="Arial" w:hAnsi="Arial"/>
                <w:sz w:val="16"/>
                <w:szCs w:val="16"/>
                <w:color w:val="auto"/>
              </w:rPr>
              <w:t>Sweden</w:t>
            </w:r>
          </w:p>
        </w:tc>
        <w:tc>
          <w:tcPr>
            <w:tcW w:w="1260" w:type="dxa"/>
            <w:vAlign w:val="bottom"/>
            <w:shd w:val="clear" w:color="auto" w:fill="9DBDE4"/>
          </w:tcPr>
          <w:p>
            <w:pPr>
              <w:jc w:val="right"/>
              <w:ind w:right="242"/>
              <w:spacing w:after="0" w:line="182" w:lineRule="exact"/>
              <w:rPr>
                <w:sz w:val="20"/>
                <w:szCs w:val="20"/>
                <w:color w:val="auto"/>
              </w:rPr>
            </w:pPr>
            <w:r>
              <w:rPr>
                <w:rFonts w:ascii="Arial" w:cs="Arial" w:eastAsia="Arial" w:hAnsi="Arial"/>
                <w:sz w:val="16"/>
                <w:szCs w:val="16"/>
                <w:color w:val="auto"/>
              </w:rPr>
              <w:t>3</w:t>
            </w:r>
          </w:p>
        </w:tc>
      </w:tr>
      <w:tr>
        <w:trPr>
          <w:trHeight w:val="182"/>
        </w:trPr>
        <w:tc>
          <w:tcPr>
            <w:tcW w:w="1980" w:type="dxa"/>
            <w:vAlign w:val="bottom"/>
          </w:tcPr>
          <w:p>
            <w:pPr>
              <w:ind w:left="200"/>
              <w:spacing w:after="0" w:line="182" w:lineRule="exact"/>
              <w:rPr>
                <w:sz w:val="20"/>
                <w:szCs w:val="20"/>
                <w:color w:val="auto"/>
              </w:rPr>
            </w:pPr>
            <w:r>
              <w:rPr>
                <w:rFonts w:ascii="Arial" w:cs="Arial" w:eastAsia="Arial" w:hAnsi="Arial"/>
                <w:sz w:val="16"/>
                <w:szCs w:val="16"/>
                <w:color w:val="auto"/>
              </w:rPr>
              <w:t>Belgium</w:t>
            </w:r>
          </w:p>
        </w:tc>
        <w:tc>
          <w:tcPr>
            <w:tcW w:w="1500" w:type="dxa"/>
            <w:vAlign w:val="bottom"/>
          </w:tcPr>
          <w:p>
            <w:pPr>
              <w:jc w:val="right"/>
              <w:ind w:right="142"/>
              <w:spacing w:after="0" w:line="182" w:lineRule="exact"/>
              <w:rPr>
                <w:sz w:val="20"/>
                <w:szCs w:val="20"/>
                <w:color w:val="auto"/>
              </w:rPr>
            </w:pPr>
            <w:r>
              <w:rPr>
                <w:rFonts w:ascii="Arial" w:cs="Arial" w:eastAsia="Arial" w:hAnsi="Arial"/>
                <w:sz w:val="16"/>
                <w:szCs w:val="16"/>
                <w:color w:val="auto"/>
              </w:rPr>
              <w:t>4</w:t>
            </w:r>
          </w:p>
        </w:tc>
        <w:tc>
          <w:tcPr>
            <w:tcW w:w="1660" w:type="dxa"/>
            <w:vAlign w:val="bottom"/>
          </w:tcPr>
          <w:p>
            <w:pPr>
              <w:ind w:left="220"/>
              <w:spacing w:after="0" w:line="182" w:lineRule="exact"/>
              <w:rPr>
                <w:sz w:val="20"/>
                <w:szCs w:val="20"/>
                <w:color w:val="auto"/>
              </w:rPr>
            </w:pPr>
            <w:r>
              <w:rPr>
                <w:rFonts w:ascii="Arial" w:cs="Arial" w:eastAsia="Arial" w:hAnsi="Arial"/>
                <w:sz w:val="16"/>
                <w:szCs w:val="16"/>
                <w:color w:val="auto"/>
              </w:rPr>
              <w:t>Hong Kong</w:t>
            </w:r>
          </w:p>
        </w:tc>
        <w:tc>
          <w:tcPr>
            <w:tcW w:w="1220" w:type="dxa"/>
            <w:vAlign w:val="bottom"/>
          </w:tcPr>
          <w:p>
            <w:pPr>
              <w:jc w:val="right"/>
              <w:ind w:right="182"/>
              <w:spacing w:after="0" w:line="182" w:lineRule="exact"/>
              <w:rPr>
                <w:sz w:val="20"/>
                <w:szCs w:val="20"/>
                <w:color w:val="auto"/>
              </w:rPr>
            </w:pPr>
            <w:r>
              <w:rPr>
                <w:rFonts w:ascii="Arial" w:cs="Arial" w:eastAsia="Arial" w:hAnsi="Arial"/>
                <w:sz w:val="16"/>
                <w:szCs w:val="16"/>
                <w:color w:val="auto"/>
              </w:rPr>
              <w:t>2</w:t>
            </w:r>
          </w:p>
        </w:tc>
        <w:tc>
          <w:tcPr>
            <w:tcW w:w="1720" w:type="dxa"/>
            <w:vAlign w:val="bottom"/>
          </w:tcPr>
          <w:p>
            <w:pPr>
              <w:ind w:left="260"/>
              <w:spacing w:after="0" w:line="182" w:lineRule="exact"/>
              <w:rPr>
                <w:sz w:val="20"/>
                <w:szCs w:val="20"/>
                <w:color w:val="auto"/>
              </w:rPr>
            </w:pPr>
            <w:r>
              <w:rPr>
                <w:rFonts w:ascii="Arial" w:cs="Arial" w:eastAsia="Arial" w:hAnsi="Arial"/>
                <w:sz w:val="16"/>
                <w:szCs w:val="16"/>
                <w:color w:val="auto"/>
              </w:rPr>
              <w:t>Switzerland</w:t>
            </w:r>
          </w:p>
        </w:tc>
        <w:tc>
          <w:tcPr>
            <w:tcW w:w="1260" w:type="dxa"/>
            <w:vAlign w:val="bottom"/>
          </w:tcPr>
          <w:p>
            <w:pPr>
              <w:jc w:val="right"/>
              <w:ind w:right="242"/>
              <w:spacing w:after="0" w:line="182" w:lineRule="exact"/>
              <w:rPr>
                <w:sz w:val="20"/>
                <w:szCs w:val="20"/>
                <w:color w:val="auto"/>
              </w:rPr>
            </w:pPr>
            <w:r>
              <w:rPr>
                <w:rFonts w:ascii="Arial" w:cs="Arial" w:eastAsia="Arial" w:hAnsi="Arial"/>
                <w:sz w:val="16"/>
                <w:szCs w:val="16"/>
                <w:color w:val="auto"/>
              </w:rPr>
              <w:t>1</w:t>
            </w:r>
          </w:p>
        </w:tc>
      </w:tr>
      <w:tr>
        <w:trPr>
          <w:trHeight w:val="182"/>
        </w:trPr>
        <w:tc>
          <w:tcPr>
            <w:tcW w:w="1980" w:type="dxa"/>
            <w:vAlign w:val="bottom"/>
            <w:shd w:val="clear" w:color="auto" w:fill="9DBDE4"/>
          </w:tcPr>
          <w:p>
            <w:pPr>
              <w:ind w:left="200"/>
              <w:spacing w:after="0" w:line="182" w:lineRule="exact"/>
              <w:rPr>
                <w:sz w:val="20"/>
                <w:szCs w:val="20"/>
                <w:color w:val="auto"/>
              </w:rPr>
            </w:pPr>
            <w:r>
              <w:rPr>
                <w:rFonts w:ascii="Arial" w:cs="Arial" w:eastAsia="Arial" w:hAnsi="Arial"/>
                <w:sz w:val="16"/>
                <w:szCs w:val="16"/>
                <w:color w:val="auto"/>
              </w:rPr>
              <w:t>Chile</w:t>
            </w:r>
          </w:p>
        </w:tc>
        <w:tc>
          <w:tcPr>
            <w:tcW w:w="1500" w:type="dxa"/>
            <w:vAlign w:val="bottom"/>
            <w:shd w:val="clear" w:color="auto" w:fill="9DBDE4"/>
          </w:tcPr>
          <w:p>
            <w:pPr>
              <w:jc w:val="right"/>
              <w:ind w:right="142"/>
              <w:spacing w:after="0" w:line="182" w:lineRule="exact"/>
              <w:rPr>
                <w:sz w:val="20"/>
                <w:szCs w:val="20"/>
                <w:color w:val="auto"/>
              </w:rPr>
            </w:pPr>
            <w:r>
              <w:rPr>
                <w:rFonts w:ascii="Arial" w:cs="Arial" w:eastAsia="Arial" w:hAnsi="Arial"/>
                <w:sz w:val="16"/>
                <w:szCs w:val="16"/>
                <w:color w:val="auto"/>
              </w:rPr>
              <w:t>5</w:t>
            </w:r>
          </w:p>
        </w:tc>
        <w:tc>
          <w:tcPr>
            <w:tcW w:w="1660" w:type="dxa"/>
            <w:vAlign w:val="bottom"/>
            <w:shd w:val="clear" w:color="auto" w:fill="9DBDE4"/>
          </w:tcPr>
          <w:p>
            <w:pPr>
              <w:ind w:left="220"/>
              <w:spacing w:after="0" w:line="182" w:lineRule="exact"/>
              <w:rPr>
                <w:sz w:val="20"/>
                <w:szCs w:val="20"/>
                <w:color w:val="auto"/>
              </w:rPr>
            </w:pPr>
            <w:r>
              <w:rPr>
                <w:rFonts w:ascii="Arial" w:cs="Arial" w:eastAsia="Arial" w:hAnsi="Arial"/>
                <w:sz w:val="16"/>
                <w:szCs w:val="16"/>
                <w:color w:val="auto"/>
              </w:rPr>
              <w:t>Indonesia</w:t>
            </w:r>
          </w:p>
        </w:tc>
        <w:tc>
          <w:tcPr>
            <w:tcW w:w="1220" w:type="dxa"/>
            <w:vAlign w:val="bottom"/>
            <w:shd w:val="clear" w:color="auto" w:fill="9DBDE4"/>
          </w:tcPr>
          <w:p>
            <w:pPr>
              <w:jc w:val="right"/>
              <w:ind w:right="182"/>
              <w:spacing w:after="0" w:line="182" w:lineRule="exact"/>
              <w:rPr>
                <w:sz w:val="20"/>
                <w:szCs w:val="20"/>
                <w:color w:val="auto"/>
              </w:rPr>
            </w:pPr>
            <w:r>
              <w:rPr>
                <w:rFonts w:ascii="Arial" w:cs="Arial" w:eastAsia="Arial" w:hAnsi="Arial"/>
                <w:sz w:val="16"/>
                <w:szCs w:val="16"/>
                <w:color w:val="auto"/>
              </w:rPr>
              <w:t>3</w:t>
            </w:r>
          </w:p>
        </w:tc>
        <w:tc>
          <w:tcPr>
            <w:tcW w:w="1720" w:type="dxa"/>
            <w:vAlign w:val="bottom"/>
            <w:shd w:val="clear" w:color="auto" w:fill="9DBDE4"/>
          </w:tcPr>
          <w:p>
            <w:pPr>
              <w:ind w:left="260"/>
              <w:spacing w:after="0" w:line="182" w:lineRule="exact"/>
              <w:rPr>
                <w:sz w:val="20"/>
                <w:szCs w:val="20"/>
                <w:color w:val="auto"/>
              </w:rPr>
            </w:pPr>
            <w:r>
              <w:rPr>
                <w:rFonts w:ascii="Arial" w:cs="Arial" w:eastAsia="Arial" w:hAnsi="Arial"/>
                <w:sz w:val="16"/>
                <w:szCs w:val="16"/>
                <w:color w:val="auto"/>
              </w:rPr>
              <w:t>Taiwan</w:t>
            </w:r>
          </w:p>
        </w:tc>
        <w:tc>
          <w:tcPr>
            <w:tcW w:w="1260" w:type="dxa"/>
            <w:vAlign w:val="bottom"/>
            <w:shd w:val="clear" w:color="auto" w:fill="9DBDE4"/>
          </w:tcPr>
          <w:p>
            <w:pPr>
              <w:jc w:val="right"/>
              <w:ind w:right="242"/>
              <w:spacing w:after="0" w:line="182" w:lineRule="exact"/>
              <w:rPr>
                <w:sz w:val="20"/>
                <w:szCs w:val="20"/>
                <w:color w:val="auto"/>
              </w:rPr>
            </w:pPr>
            <w:r>
              <w:rPr>
                <w:rFonts w:ascii="Arial" w:cs="Arial" w:eastAsia="Arial" w:hAnsi="Arial"/>
                <w:sz w:val="16"/>
                <w:szCs w:val="16"/>
                <w:color w:val="auto"/>
              </w:rPr>
              <w:t>8</w:t>
            </w:r>
          </w:p>
        </w:tc>
      </w:tr>
      <w:tr>
        <w:trPr>
          <w:trHeight w:val="182"/>
        </w:trPr>
        <w:tc>
          <w:tcPr>
            <w:tcW w:w="1980" w:type="dxa"/>
            <w:vAlign w:val="bottom"/>
          </w:tcPr>
          <w:p>
            <w:pPr>
              <w:ind w:left="200"/>
              <w:spacing w:after="0" w:line="182" w:lineRule="exact"/>
              <w:rPr>
                <w:sz w:val="20"/>
                <w:szCs w:val="20"/>
                <w:color w:val="auto"/>
              </w:rPr>
            </w:pPr>
            <w:r>
              <w:rPr>
                <w:rFonts w:ascii="Arial" w:cs="Arial" w:eastAsia="Arial" w:hAnsi="Arial"/>
                <w:sz w:val="16"/>
                <w:szCs w:val="16"/>
                <w:color w:val="auto"/>
              </w:rPr>
              <w:t>China</w:t>
            </w:r>
          </w:p>
        </w:tc>
        <w:tc>
          <w:tcPr>
            <w:tcW w:w="1500" w:type="dxa"/>
            <w:vAlign w:val="bottom"/>
          </w:tcPr>
          <w:p>
            <w:pPr>
              <w:jc w:val="right"/>
              <w:ind w:right="142"/>
              <w:spacing w:after="0" w:line="182" w:lineRule="exact"/>
              <w:rPr>
                <w:sz w:val="20"/>
                <w:szCs w:val="20"/>
                <w:color w:val="auto"/>
              </w:rPr>
            </w:pPr>
            <w:r>
              <w:rPr>
                <w:rFonts w:ascii="Arial" w:cs="Arial" w:eastAsia="Arial" w:hAnsi="Arial"/>
                <w:sz w:val="16"/>
                <w:szCs w:val="16"/>
                <w:color w:val="auto"/>
              </w:rPr>
              <w:t>16</w:t>
            </w:r>
          </w:p>
        </w:tc>
        <w:tc>
          <w:tcPr>
            <w:tcW w:w="1660" w:type="dxa"/>
            <w:vAlign w:val="bottom"/>
          </w:tcPr>
          <w:p>
            <w:pPr>
              <w:ind w:left="220"/>
              <w:spacing w:after="0" w:line="182" w:lineRule="exact"/>
              <w:rPr>
                <w:sz w:val="20"/>
                <w:szCs w:val="20"/>
                <w:color w:val="auto"/>
              </w:rPr>
            </w:pPr>
            <w:r>
              <w:rPr>
                <w:rFonts w:ascii="Arial" w:cs="Arial" w:eastAsia="Arial" w:hAnsi="Arial"/>
                <w:sz w:val="16"/>
                <w:szCs w:val="16"/>
                <w:color w:val="auto"/>
              </w:rPr>
              <w:t>Japan</w:t>
            </w:r>
          </w:p>
        </w:tc>
        <w:tc>
          <w:tcPr>
            <w:tcW w:w="1220" w:type="dxa"/>
            <w:vAlign w:val="bottom"/>
          </w:tcPr>
          <w:p>
            <w:pPr>
              <w:jc w:val="right"/>
              <w:ind w:right="182"/>
              <w:spacing w:after="0" w:line="182" w:lineRule="exact"/>
              <w:rPr>
                <w:sz w:val="20"/>
                <w:szCs w:val="20"/>
                <w:color w:val="auto"/>
              </w:rPr>
            </w:pPr>
            <w:r>
              <w:rPr>
                <w:rFonts w:ascii="Arial" w:cs="Arial" w:eastAsia="Arial" w:hAnsi="Arial"/>
                <w:sz w:val="16"/>
                <w:szCs w:val="16"/>
                <w:color w:val="auto"/>
              </w:rPr>
              <w:t>19</w:t>
            </w:r>
          </w:p>
        </w:tc>
        <w:tc>
          <w:tcPr>
            <w:tcW w:w="1720" w:type="dxa"/>
            <w:vAlign w:val="bottom"/>
          </w:tcPr>
          <w:p>
            <w:pPr>
              <w:ind w:left="260"/>
              <w:spacing w:after="0" w:line="182" w:lineRule="exact"/>
              <w:rPr>
                <w:sz w:val="20"/>
                <w:szCs w:val="20"/>
                <w:color w:val="auto"/>
              </w:rPr>
            </w:pPr>
            <w:r>
              <w:rPr>
                <w:rFonts w:ascii="Arial" w:cs="Arial" w:eastAsia="Arial" w:hAnsi="Arial"/>
                <w:sz w:val="16"/>
                <w:szCs w:val="16"/>
                <w:color w:val="auto"/>
              </w:rPr>
              <w:t>Thailand</w:t>
            </w:r>
          </w:p>
        </w:tc>
        <w:tc>
          <w:tcPr>
            <w:tcW w:w="1260" w:type="dxa"/>
            <w:vAlign w:val="bottom"/>
          </w:tcPr>
          <w:p>
            <w:pPr>
              <w:jc w:val="right"/>
              <w:ind w:right="242"/>
              <w:spacing w:after="0" w:line="182" w:lineRule="exact"/>
              <w:rPr>
                <w:sz w:val="20"/>
                <w:szCs w:val="20"/>
                <w:color w:val="auto"/>
              </w:rPr>
            </w:pPr>
            <w:r>
              <w:rPr>
                <w:rFonts w:ascii="Arial" w:cs="Arial" w:eastAsia="Arial" w:hAnsi="Arial"/>
                <w:sz w:val="16"/>
                <w:szCs w:val="16"/>
                <w:color w:val="auto"/>
              </w:rPr>
              <w:t>1</w:t>
            </w:r>
          </w:p>
        </w:tc>
      </w:tr>
      <w:tr>
        <w:trPr>
          <w:trHeight w:val="182"/>
        </w:trPr>
        <w:tc>
          <w:tcPr>
            <w:tcW w:w="1980" w:type="dxa"/>
            <w:vAlign w:val="bottom"/>
            <w:shd w:val="clear" w:color="auto" w:fill="9DBDE4"/>
          </w:tcPr>
          <w:p>
            <w:pPr>
              <w:ind w:left="200"/>
              <w:spacing w:after="0" w:line="182" w:lineRule="exact"/>
              <w:rPr>
                <w:sz w:val="20"/>
                <w:szCs w:val="20"/>
                <w:color w:val="auto"/>
              </w:rPr>
            </w:pPr>
            <w:r>
              <w:rPr>
                <w:rFonts w:ascii="Arial" w:cs="Arial" w:eastAsia="Arial" w:hAnsi="Arial"/>
                <w:sz w:val="16"/>
                <w:szCs w:val="16"/>
                <w:color w:val="auto"/>
              </w:rPr>
              <w:t>Croatia</w:t>
            </w:r>
          </w:p>
        </w:tc>
        <w:tc>
          <w:tcPr>
            <w:tcW w:w="1500" w:type="dxa"/>
            <w:vAlign w:val="bottom"/>
            <w:shd w:val="clear" w:color="auto" w:fill="9DBDE4"/>
          </w:tcPr>
          <w:p>
            <w:pPr>
              <w:jc w:val="right"/>
              <w:ind w:right="142"/>
              <w:spacing w:after="0" w:line="182" w:lineRule="exact"/>
              <w:rPr>
                <w:sz w:val="20"/>
                <w:szCs w:val="20"/>
                <w:color w:val="auto"/>
              </w:rPr>
            </w:pPr>
            <w:r>
              <w:rPr>
                <w:rFonts w:ascii="Arial" w:cs="Arial" w:eastAsia="Arial" w:hAnsi="Arial"/>
                <w:sz w:val="16"/>
                <w:szCs w:val="16"/>
                <w:color w:val="auto"/>
              </w:rPr>
              <w:t>2</w:t>
            </w:r>
          </w:p>
        </w:tc>
        <w:tc>
          <w:tcPr>
            <w:tcW w:w="1660" w:type="dxa"/>
            <w:vAlign w:val="bottom"/>
            <w:shd w:val="clear" w:color="auto" w:fill="9DBDE4"/>
          </w:tcPr>
          <w:p>
            <w:pPr>
              <w:ind w:left="220"/>
              <w:spacing w:after="0" w:line="182" w:lineRule="exact"/>
              <w:rPr>
                <w:sz w:val="20"/>
                <w:szCs w:val="20"/>
                <w:color w:val="auto"/>
              </w:rPr>
            </w:pPr>
            <w:r>
              <w:rPr>
                <w:rFonts w:ascii="Arial" w:cs="Arial" w:eastAsia="Arial" w:hAnsi="Arial"/>
                <w:sz w:val="16"/>
                <w:szCs w:val="16"/>
                <w:color w:val="auto"/>
              </w:rPr>
              <w:t>Netherlands</w:t>
            </w:r>
          </w:p>
        </w:tc>
        <w:tc>
          <w:tcPr>
            <w:tcW w:w="1220" w:type="dxa"/>
            <w:vAlign w:val="bottom"/>
            <w:shd w:val="clear" w:color="auto" w:fill="9DBDE4"/>
          </w:tcPr>
          <w:p>
            <w:pPr>
              <w:jc w:val="right"/>
              <w:ind w:right="182"/>
              <w:spacing w:after="0" w:line="182" w:lineRule="exact"/>
              <w:rPr>
                <w:sz w:val="20"/>
                <w:szCs w:val="20"/>
                <w:color w:val="auto"/>
              </w:rPr>
            </w:pPr>
            <w:r>
              <w:rPr>
                <w:rFonts w:ascii="Arial" w:cs="Arial" w:eastAsia="Arial" w:hAnsi="Arial"/>
                <w:sz w:val="16"/>
                <w:szCs w:val="16"/>
                <w:color w:val="auto"/>
              </w:rPr>
              <w:t>16</w:t>
            </w:r>
          </w:p>
        </w:tc>
        <w:tc>
          <w:tcPr>
            <w:tcW w:w="1720" w:type="dxa"/>
            <w:vAlign w:val="bottom"/>
            <w:shd w:val="clear" w:color="auto" w:fill="9DBDE4"/>
          </w:tcPr>
          <w:p>
            <w:pPr>
              <w:ind w:left="260"/>
              <w:spacing w:after="0" w:line="182" w:lineRule="exact"/>
              <w:rPr>
                <w:sz w:val="20"/>
                <w:szCs w:val="20"/>
                <w:color w:val="auto"/>
              </w:rPr>
            </w:pPr>
            <w:r>
              <w:rPr>
                <w:rFonts w:ascii="Arial" w:cs="Arial" w:eastAsia="Arial" w:hAnsi="Arial"/>
                <w:sz w:val="16"/>
                <w:szCs w:val="16"/>
                <w:color w:val="auto"/>
              </w:rPr>
              <w:t>Uruguay</w:t>
            </w:r>
          </w:p>
        </w:tc>
        <w:tc>
          <w:tcPr>
            <w:tcW w:w="1260" w:type="dxa"/>
            <w:vAlign w:val="bottom"/>
            <w:shd w:val="clear" w:color="auto" w:fill="9DBDE4"/>
          </w:tcPr>
          <w:p>
            <w:pPr>
              <w:jc w:val="right"/>
              <w:ind w:right="242"/>
              <w:spacing w:after="0" w:line="182" w:lineRule="exact"/>
              <w:rPr>
                <w:sz w:val="20"/>
                <w:szCs w:val="20"/>
                <w:color w:val="auto"/>
              </w:rPr>
            </w:pPr>
            <w:r>
              <w:rPr>
                <w:rFonts w:ascii="Arial" w:cs="Arial" w:eastAsia="Arial" w:hAnsi="Arial"/>
                <w:sz w:val="16"/>
                <w:szCs w:val="16"/>
                <w:color w:val="auto"/>
              </w:rPr>
              <w:t>11</w:t>
            </w:r>
          </w:p>
        </w:tc>
      </w:tr>
      <w:tr>
        <w:trPr>
          <w:trHeight w:val="182"/>
        </w:trPr>
        <w:tc>
          <w:tcPr>
            <w:tcW w:w="1980" w:type="dxa"/>
            <w:vAlign w:val="bottom"/>
          </w:tcPr>
          <w:p>
            <w:pPr>
              <w:ind w:left="200"/>
              <w:spacing w:after="0" w:line="182" w:lineRule="exact"/>
              <w:rPr>
                <w:sz w:val="20"/>
                <w:szCs w:val="20"/>
                <w:color w:val="auto"/>
              </w:rPr>
            </w:pPr>
            <w:r>
              <w:rPr>
                <w:rFonts w:ascii="Arial" w:cs="Arial" w:eastAsia="Arial" w:hAnsi="Arial"/>
                <w:sz w:val="16"/>
                <w:szCs w:val="16"/>
                <w:color w:val="auto"/>
              </w:rPr>
              <w:t>Ecuador</w:t>
            </w:r>
          </w:p>
        </w:tc>
        <w:tc>
          <w:tcPr>
            <w:tcW w:w="1500" w:type="dxa"/>
            <w:vAlign w:val="bottom"/>
          </w:tcPr>
          <w:p>
            <w:pPr>
              <w:jc w:val="right"/>
              <w:ind w:right="142"/>
              <w:spacing w:after="0" w:line="182" w:lineRule="exact"/>
              <w:rPr>
                <w:sz w:val="20"/>
                <w:szCs w:val="20"/>
                <w:color w:val="auto"/>
              </w:rPr>
            </w:pPr>
            <w:r>
              <w:rPr>
                <w:rFonts w:ascii="Arial" w:cs="Arial" w:eastAsia="Arial" w:hAnsi="Arial"/>
                <w:sz w:val="16"/>
                <w:szCs w:val="16"/>
                <w:color w:val="auto"/>
              </w:rPr>
              <w:t>2</w:t>
            </w:r>
          </w:p>
        </w:tc>
        <w:tc>
          <w:tcPr>
            <w:tcW w:w="1660" w:type="dxa"/>
            <w:vAlign w:val="bottom"/>
          </w:tcPr>
          <w:p>
            <w:pPr>
              <w:ind w:left="220"/>
              <w:spacing w:after="0" w:line="182" w:lineRule="exact"/>
              <w:rPr>
                <w:sz w:val="20"/>
                <w:szCs w:val="20"/>
                <w:color w:val="auto"/>
              </w:rPr>
            </w:pPr>
            <w:r>
              <w:rPr>
                <w:rFonts w:ascii="Arial" w:cs="Arial" w:eastAsia="Arial" w:hAnsi="Arial"/>
                <w:sz w:val="16"/>
                <w:szCs w:val="16"/>
                <w:color w:val="auto"/>
              </w:rPr>
              <w:t>New Zealand </w:t>
            </w:r>
          </w:p>
        </w:tc>
        <w:tc>
          <w:tcPr>
            <w:tcW w:w="1220" w:type="dxa"/>
            <w:vAlign w:val="bottom"/>
          </w:tcPr>
          <w:p>
            <w:pPr>
              <w:jc w:val="right"/>
              <w:ind w:right="182"/>
              <w:spacing w:after="0" w:line="182" w:lineRule="exact"/>
              <w:rPr>
                <w:sz w:val="20"/>
                <w:szCs w:val="20"/>
                <w:color w:val="auto"/>
              </w:rPr>
            </w:pPr>
            <w:r>
              <w:rPr>
                <w:rFonts w:ascii="Arial" w:cs="Arial" w:eastAsia="Arial" w:hAnsi="Arial"/>
                <w:sz w:val="16"/>
                <w:szCs w:val="16"/>
                <w:color w:val="auto"/>
              </w:rPr>
              <w:t>13</w:t>
            </w:r>
          </w:p>
        </w:tc>
        <w:tc>
          <w:tcPr>
            <w:tcW w:w="17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2"/>
        </w:trPr>
        <w:tc>
          <w:tcPr>
            <w:tcW w:w="1980" w:type="dxa"/>
            <w:vAlign w:val="bottom"/>
            <w:tcBorders>
              <w:bottom w:val="single" w:sz="8" w:color="284993"/>
            </w:tcBorders>
            <w:shd w:val="clear" w:color="auto" w:fill="9DBDE4"/>
          </w:tcPr>
          <w:p>
            <w:pPr>
              <w:ind w:left="200"/>
              <w:spacing w:after="0" w:line="182" w:lineRule="exact"/>
              <w:rPr>
                <w:sz w:val="20"/>
                <w:szCs w:val="20"/>
                <w:color w:val="auto"/>
              </w:rPr>
            </w:pPr>
            <w:r>
              <w:rPr>
                <w:rFonts w:ascii="Arial" w:cs="Arial" w:eastAsia="Arial" w:hAnsi="Arial"/>
                <w:sz w:val="16"/>
                <w:szCs w:val="16"/>
                <w:color w:val="auto"/>
              </w:rPr>
              <w:t>Ethiopia</w:t>
            </w:r>
          </w:p>
        </w:tc>
        <w:tc>
          <w:tcPr>
            <w:tcW w:w="1500" w:type="dxa"/>
            <w:vAlign w:val="bottom"/>
            <w:tcBorders>
              <w:bottom w:val="single" w:sz="8" w:color="284993"/>
            </w:tcBorders>
            <w:shd w:val="clear" w:color="auto" w:fill="9DBDE4"/>
          </w:tcPr>
          <w:p>
            <w:pPr>
              <w:jc w:val="right"/>
              <w:ind w:right="142"/>
              <w:spacing w:after="0" w:line="182" w:lineRule="exact"/>
              <w:rPr>
                <w:sz w:val="20"/>
                <w:szCs w:val="20"/>
                <w:color w:val="auto"/>
              </w:rPr>
            </w:pPr>
            <w:r>
              <w:rPr>
                <w:rFonts w:ascii="Arial" w:cs="Arial" w:eastAsia="Arial" w:hAnsi="Arial"/>
                <w:sz w:val="16"/>
                <w:szCs w:val="16"/>
                <w:color w:val="auto"/>
              </w:rPr>
              <w:t>1</w:t>
            </w:r>
          </w:p>
        </w:tc>
        <w:tc>
          <w:tcPr>
            <w:tcW w:w="1660" w:type="dxa"/>
            <w:vAlign w:val="bottom"/>
            <w:tcBorders>
              <w:bottom w:val="single" w:sz="8" w:color="284993"/>
            </w:tcBorders>
            <w:shd w:val="clear" w:color="auto" w:fill="9DBDE4"/>
          </w:tcPr>
          <w:p>
            <w:pPr>
              <w:ind w:left="220"/>
              <w:spacing w:after="0" w:line="182" w:lineRule="exact"/>
              <w:rPr>
                <w:sz w:val="20"/>
                <w:szCs w:val="20"/>
                <w:color w:val="auto"/>
              </w:rPr>
            </w:pPr>
            <w:r>
              <w:rPr>
                <w:rFonts w:ascii="Arial" w:cs="Arial" w:eastAsia="Arial" w:hAnsi="Arial"/>
                <w:sz w:val="16"/>
                <w:szCs w:val="16"/>
                <w:color w:val="auto"/>
              </w:rPr>
              <w:t>Philippines</w:t>
            </w:r>
          </w:p>
        </w:tc>
        <w:tc>
          <w:tcPr>
            <w:tcW w:w="1220" w:type="dxa"/>
            <w:vAlign w:val="bottom"/>
            <w:tcBorders>
              <w:bottom w:val="single" w:sz="8" w:color="284993"/>
            </w:tcBorders>
            <w:shd w:val="clear" w:color="auto" w:fill="9DBDE4"/>
          </w:tcPr>
          <w:p>
            <w:pPr>
              <w:jc w:val="right"/>
              <w:ind w:right="182"/>
              <w:spacing w:after="0" w:line="182" w:lineRule="exact"/>
              <w:rPr>
                <w:sz w:val="20"/>
                <w:szCs w:val="20"/>
                <w:color w:val="auto"/>
              </w:rPr>
            </w:pPr>
            <w:r>
              <w:rPr>
                <w:rFonts w:ascii="Arial" w:cs="Arial" w:eastAsia="Arial" w:hAnsi="Arial"/>
                <w:sz w:val="16"/>
                <w:szCs w:val="16"/>
                <w:color w:val="auto"/>
              </w:rPr>
              <w:t>5</w:t>
            </w:r>
          </w:p>
        </w:tc>
        <w:tc>
          <w:tcPr>
            <w:tcW w:w="1720" w:type="dxa"/>
            <w:vAlign w:val="bottom"/>
            <w:tcBorders>
              <w:bottom w:val="single" w:sz="8" w:color="284993"/>
            </w:tcBorders>
            <w:shd w:val="clear" w:color="auto" w:fill="9DBDE4"/>
          </w:tcPr>
          <w:p>
            <w:pPr>
              <w:spacing w:after="0"/>
              <w:rPr>
                <w:sz w:val="15"/>
                <w:szCs w:val="15"/>
                <w:color w:val="auto"/>
              </w:rPr>
            </w:pPr>
          </w:p>
        </w:tc>
        <w:tc>
          <w:tcPr>
            <w:tcW w:w="1260" w:type="dxa"/>
            <w:vAlign w:val="bottom"/>
            <w:tcBorders>
              <w:bottom w:val="single" w:sz="8" w:color="284993"/>
            </w:tcBorders>
            <w:shd w:val="clear" w:color="auto" w:fill="9DBDE4"/>
          </w:tcPr>
          <w:p>
            <w:pPr>
              <w:spacing w:after="0"/>
              <w:rPr>
                <w:sz w:val="15"/>
                <w:szCs w:val="15"/>
                <w:color w:val="auto"/>
              </w:rPr>
            </w:pPr>
          </w:p>
        </w:tc>
      </w:tr>
    </w:tbl>
    <w:p>
      <w:pPr>
        <w:spacing w:after="0" w:line="196"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Using the median employee based on the methodology described above, we calculated annual total compensation for such median employee using the same methodology we used to calculate the amount reported for our Named Executive Officers in the “Total” column of the 2023 Summary Compensation Table, set forth above in this proxy statement.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As disclosed in the 2023 Summary Compensation Table, the annual total compensation for fiscal year 2023 for our CEO was</w:t>
      </w:r>
    </w:p>
    <w:p>
      <w:pPr>
        <w:spacing w:after="0" w:line="12" w:lineRule="exact"/>
        <w:rPr>
          <w:sz w:val="20"/>
          <w:szCs w:val="20"/>
          <w:color w:val="auto"/>
        </w:rPr>
      </w:pPr>
    </w:p>
    <w:p>
      <w:pPr>
        <w:ind w:right="220"/>
        <w:spacing w:after="0" w:line="241" w:lineRule="auto"/>
        <w:rPr>
          <w:sz w:val="20"/>
          <w:szCs w:val="20"/>
          <w:color w:val="auto"/>
        </w:rPr>
      </w:pPr>
      <w:r>
        <w:rPr>
          <w:rFonts w:ascii="Arial" w:cs="Arial" w:eastAsia="Arial" w:hAnsi="Arial"/>
          <w:sz w:val="16"/>
          <w:szCs w:val="16"/>
          <w:color w:val="auto"/>
        </w:rPr>
        <w:t>$5,231,678.  The annual total compensation for the median employee for fiscal year 2023 was $79,118. The resulting ratio of our CEO’s annual total compensation (based on the combined amount described above) to the annual total compensation of our median employee for fiscal year 2023 is approximately 66:1</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67</w:t>
      </w:r>
    </w:p>
    <w:p>
      <w:pPr>
        <w:sectPr>
          <w:pgSz w:w="11900" w:h="16838" w:orient="portrait"/>
          <w:cols w:equalWidth="0" w:num="1">
            <w:col w:w="9360"/>
          </w:cols>
          <w:pgMar w:left="1260" w:top="254" w:right="1279" w:bottom="1440" w:gutter="0" w:footer="0" w:header="0"/>
        </w:sectPr>
      </w:pPr>
    </w:p>
    <w:bookmarkStart w:id="73" w:name="page74"/>
    <w:bookmarkEnd w:id="73"/>
    <w:p>
      <w:pPr>
        <w:jc w:val="center"/>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Pay Versus Performance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257175</wp:posOffset>
            </wp:positionV>
            <wp:extent cx="59410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FFFFFF"/>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-75565</wp:posOffset>
            </wp:positionV>
            <wp:extent cx="5941060" cy="2559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41060" cy="25590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35"/>
        </w:trPr>
        <w:tc>
          <w:tcPr>
            <w:tcW w:w="460" w:type="dxa"/>
            <w:vAlign w:val="bottom"/>
            <w:shd w:val="clear" w:color="auto" w:fill="284993"/>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gridSpan w:val="2"/>
          </w:tcPr>
          <w:p>
            <w:pPr>
              <w:jc w:val="right"/>
              <w:ind w:right="39"/>
              <w:spacing w:after="0" w:line="135" w:lineRule="exact"/>
              <w:rPr>
                <w:sz w:val="20"/>
                <w:szCs w:val="20"/>
                <w:color w:val="auto"/>
              </w:rPr>
            </w:pPr>
            <w:r>
              <w:rPr>
                <w:rFonts w:ascii="Arial" w:cs="Arial" w:eastAsia="Arial" w:hAnsi="Arial"/>
                <w:sz w:val="12"/>
                <w:szCs w:val="12"/>
                <w:b w:val="1"/>
                <w:bCs w:val="1"/>
                <w:color w:val="FFFFFF"/>
              </w:rPr>
              <w:t>Value of Initial Fixed $100</w:t>
            </w: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0" w:type="dxa"/>
            <w:vAlign w:val="bottom"/>
            <w:shd w:val="clear" w:color="auto" w:fill="284993"/>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0" w:type="dxa"/>
            <w:vAlign w:val="bottom"/>
            <w:gridSpan w:val="2"/>
          </w:tcPr>
          <w:p>
            <w:pPr>
              <w:jc w:val="right"/>
              <w:ind w:right="99"/>
              <w:spacing w:after="0" w:line="148" w:lineRule="exact"/>
              <w:rPr>
                <w:sz w:val="20"/>
                <w:szCs w:val="20"/>
                <w:color w:val="auto"/>
              </w:rPr>
            </w:pPr>
            <w:r>
              <w:rPr>
                <w:rFonts w:ascii="Arial" w:cs="Arial" w:eastAsia="Arial" w:hAnsi="Arial"/>
                <w:sz w:val="12"/>
                <w:szCs w:val="12"/>
                <w:b w:val="1"/>
                <w:bCs w:val="1"/>
                <w:color w:val="FFFFFF"/>
              </w:rPr>
              <w:t>Investment Based On:</w:t>
            </w:r>
            <w:r>
              <w:rPr>
                <w:rFonts w:ascii="Arial" w:cs="Arial" w:eastAsia="Arial" w:hAnsi="Arial"/>
                <w:sz w:val="15"/>
                <w:szCs w:val="15"/>
                <w:b w:val="1"/>
                <w:bCs w:val="1"/>
                <w:color w:val="FFFFFF"/>
                <w:vertAlign w:val="superscript"/>
              </w:rPr>
              <w:t>6</w:t>
            </w: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60" w:type="dxa"/>
            <w:vAlign w:val="bottom"/>
            <w:shd w:val="clear" w:color="auto" w:fill="284993"/>
          </w:tcPr>
          <w:p>
            <w:pPr>
              <w:spacing w:after="0"/>
              <w:rPr>
                <w:sz w:val="10"/>
                <w:szCs w:val="10"/>
                <w:color w:val="auto"/>
              </w:rPr>
            </w:pPr>
          </w:p>
        </w:tc>
        <w:tc>
          <w:tcPr>
            <w:tcW w:w="920" w:type="dxa"/>
            <w:vAlign w:val="bottom"/>
            <w:shd w:val="clear" w:color="auto" w:fill="284993"/>
          </w:tcPr>
          <w:p>
            <w:pPr>
              <w:spacing w:after="0"/>
              <w:rPr>
                <w:sz w:val="10"/>
                <w:szCs w:val="10"/>
                <w:color w:val="auto"/>
              </w:rPr>
            </w:pPr>
          </w:p>
        </w:tc>
        <w:tc>
          <w:tcPr>
            <w:tcW w:w="920" w:type="dxa"/>
            <w:vAlign w:val="bottom"/>
            <w:shd w:val="clear" w:color="auto" w:fill="284993"/>
          </w:tcPr>
          <w:p>
            <w:pPr>
              <w:spacing w:after="0"/>
              <w:rPr>
                <w:sz w:val="10"/>
                <w:szCs w:val="10"/>
                <w:color w:val="auto"/>
              </w:rPr>
            </w:pPr>
          </w:p>
        </w:tc>
        <w:tc>
          <w:tcPr>
            <w:tcW w:w="880" w:type="dxa"/>
            <w:vAlign w:val="bottom"/>
            <w:shd w:val="clear" w:color="auto" w:fill="284993"/>
          </w:tcPr>
          <w:p>
            <w:pPr>
              <w:spacing w:after="0"/>
              <w:rPr>
                <w:sz w:val="10"/>
                <w:szCs w:val="10"/>
                <w:color w:val="auto"/>
              </w:rPr>
            </w:pPr>
          </w:p>
        </w:tc>
        <w:tc>
          <w:tcPr>
            <w:tcW w:w="880" w:type="dxa"/>
            <w:vAlign w:val="bottom"/>
            <w:shd w:val="clear" w:color="auto" w:fill="284993"/>
          </w:tcPr>
          <w:p>
            <w:pPr>
              <w:spacing w:after="0"/>
              <w:rPr>
                <w:sz w:val="10"/>
                <w:szCs w:val="10"/>
                <w:color w:val="auto"/>
              </w:rPr>
            </w:pPr>
          </w:p>
        </w:tc>
        <w:tc>
          <w:tcPr>
            <w:tcW w:w="900" w:type="dxa"/>
            <w:vAlign w:val="bottom"/>
            <w:shd w:val="clear" w:color="auto" w:fill="284993"/>
          </w:tcPr>
          <w:p>
            <w:pPr>
              <w:ind w:left="220"/>
              <w:spacing w:after="0" w:line="125" w:lineRule="exact"/>
              <w:rPr>
                <w:sz w:val="20"/>
                <w:szCs w:val="20"/>
                <w:color w:val="auto"/>
              </w:rPr>
            </w:pPr>
            <w:r>
              <w:rPr>
                <w:rFonts w:ascii="Arial" w:cs="Arial" w:eastAsia="Arial" w:hAnsi="Arial"/>
                <w:sz w:val="12"/>
                <w:szCs w:val="12"/>
                <w:b w:val="1"/>
                <w:bCs w:val="1"/>
                <w:color w:val="FFFFFF"/>
              </w:rPr>
              <w:t>Average</w:t>
            </w:r>
          </w:p>
        </w:tc>
        <w:tc>
          <w:tcPr>
            <w:tcW w:w="90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w w:val="97"/>
              </w:rPr>
              <w:t>Average</w:t>
            </w:r>
          </w:p>
        </w:tc>
        <w:tc>
          <w:tcPr>
            <w:tcW w:w="780" w:type="dxa"/>
            <w:vAlign w:val="bottom"/>
            <w:shd w:val="clear" w:color="auto" w:fill="284993"/>
          </w:tcPr>
          <w:p>
            <w:pPr>
              <w:spacing w:after="0"/>
              <w:rPr>
                <w:sz w:val="10"/>
                <w:szCs w:val="10"/>
                <w:color w:val="auto"/>
              </w:rPr>
            </w:pPr>
          </w:p>
        </w:tc>
        <w:tc>
          <w:tcPr>
            <w:tcW w:w="820" w:type="dxa"/>
            <w:vAlign w:val="bottom"/>
            <w:shd w:val="clear" w:color="auto" w:fill="284993"/>
          </w:tcPr>
          <w:p>
            <w:pPr>
              <w:spacing w:after="0"/>
              <w:rPr>
                <w:sz w:val="10"/>
                <w:szCs w:val="10"/>
                <w:color w:val="auto"/>
              </w:rPr>
            </w:pPr>
          </w:p>
        </w:tc>
        <w:tc>
          <w:tcPr>
            <w:tcW w:w="900" w:type="dxa"/>
            <w:vAlign w:val="bottom"/>
            <w:shd w:val="clear" w:color="auto" w:fill="284993"/>
          </w:tcPr>
          <w:p>
            <w:pPr>
              <w:spacing w:after="0"/>
              <w:rPr>
                <w:sz w:val="10"/>
                <w:szCs w:val="10"/>
                <w:color w:val="auto"/>
              </w:rPr>
            </w:pPr>
          </w:p>
        </w:tc>
        <w:tc>
          <w:tcPr>
            <w:tcW w:w="980" w:type="dxa"/>
            <w:vAlign w:val="bottom"/>
            <w:shd w:val="clear" w:color="auto" w:fill="284993"/>
          </w:tcPr>
          <w:p>
            <w:pPr>
              <w:jc w:val="center"/>
              <w:spacing w:after="0" w:line="125" w:lineRule="exact"/>
              <w:rPr>
                <w:sz w:val="20"/>
                <w:szCs w:val="20"/>
                <w:color w:val="auto"/>
              </w:rPr>
            </w:pPr>
            <w:r>
              <w:rPr>
                <w:rFonts w:ascii="Arial" w:cs="Arial" w:eastAsia="Arial" w:hAnsi="Arial"/>
                <w:sz w:val="12"/>
                <w:szCs w:val="12"/>
                <w:b w:val="1"/>
                <w:bCs w:val="1"/>
                <w:color w:val="FFFFFF"/>
              </w:rPr>
              <w:t>Company-</w:t>
            </w:r>
          </w:p>
        </w:tc>
        <w:tc>
          <w:tcPr>
            <w:tcW w:w="0" w:type="dxa"/>
            <w:vAlign w:val="bottom"/>
          </w:tcPr>
          <w:p>
            <w:pPr>
              <w:spacing w:after="0"/>
              <w:rPr>
                <w:sz w:val="1"/>
                <w:szCs w:val="1"/>
                <w:color w:val="auto"/>
              </w:rPr>
            </w:pPr>
          </w:p>
        </w:tc>
      </w:tr>
      <w:tr>
        <w:trPr>
          <w:trHeight w:val="130"/>
        </w:trPr>
        <w:tc>
          <w:tcPr>
            <w:tcW w:w="460" w:type="dxa"/>
            <w:vAlign w:val="bottom"/>
            <w:shd w:val="clear" w:color="auto" w:fill="284993"/>
          </w:tcPr>
          <w:p>
            <w:pPr>
              <w:spacing w:after="0"/>
              <w:rPr>
                <w:sz w:val="11"/>
                <w:szCs w:val="11"/>
                <w:color w:val="auto"/>
              </w:rPr>
            </w:pPr>
          </w:p>
        </w:tc>
        <w:tc>
          <w:tcPr>
            <w:tcW w:w="92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w w:val="98"/>
              </w:rPr>
              <w:t>Summary</w:t>
            </w:r>
          </w:p>
        </w:tc>
        <w:tc>
          <w:tcPr>
            <w:tcW w:w="920" w:type="dxa"/>
            <w:vAlign w:val="bottom"/>
            <w:shd w:val="clear" w:color="auto" w:fill="284993"/>
          </w:tcPr>
          <w:p>
            <w:pPr>
              <w:spacing w:after="0"/>
              <w:rPr>
                <w:sz w:val="11"/>
                <w:szCs w:val="11"/>
                <w:color w:val="auto"/>
              </w:rPr>
            </w:pPr>
          </w:p>
        </w:tc>
        <w:tc>
          <w:tcPr>
            <w:tcW w:w="88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rPr>
              <w:t>Summary</w:t>
            </w:r>
          </w:p>
        </w:tc>
        <w:tc>
          <w:tcPr>
            <w:tcW w:w="880" w:type="dxa"/>
            <w:vAlign w:val="bottom"/>
            <w:shd w:val="clear" w:color="auto" w:fill="284993"/>
          </w:tcPr>
          <w:p>
            <w:pPr>
              <w:spacing w:after="0"/>
              <w:rPr>
                <w:sz w:val="11"/>
                <w:szCs w:val="11"/>
                <w:color w:val="auto"/>
              </w:rPr>
            </w:pPr>
          </w:p>
        </w:tc>
        <w:tc>
          <w:tcPr>
            <w:tcW w:w="90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Summary</w:t>
            </w:r>
          </w:p>
        </w:tc>
        <w:tc>
          <w:tcPr>
            <w:tcW w:w="900" w:type="dxa"/>
            <w:vAlign w:val="bottom"/>
            <w:vMerge w:val="continue"/>
            <w:shd w:val="clear" w:color="auto" w:fill="284993"/>
          </w:tcPr>
          <w:p>
            <w:pPr>
              <w:spacing w:after="0"/>
              <w:rPr>
                <w:sz w:val="11"/>
                <w:szCs w:val="11"/>
                <w:color w:val="auto"/>
              </w:rPr>
            </w:pPr>
          </w:p>
        </w:tc>
        <w:tc>
          <w:tcPr>
            <w:tcW w:w="780" w:type="dxa"/>
            <w:vAlign w:val="bottom"/>
            <w:shd w:val="clear" w:color="auto" w:fill="284993"/>
          </w:tcPr>
          <w:p>
            <w:pPr>
              <w:spacing w:after="0"/>
              <w:rPr>
                <w:sz w:val="11"/>
                <w:szCs w:val="11"/>
                <w:color w:val="auto"/>
              </w:rPr>
            </w:pPr>
          </w:p>
        </w:tc>
        <w:tc>
          <w:tcPr>
            <w:tcW w:w="82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rPr>
              <w:t>Peer Group</w:t>
            </w:r>
          </w:p>
        </w:tc>
        <w:tc>
          <w:tcPr>
            <w:tcW w:w="900" w:type="dxa"/>
            <w:vAlign w:val="bottom"/>
            <w:shd w:val="clear" w:color="auto" w:fill="284993"/>
          </w:tcPr>
          <w:p>
            <w:pPr>
              <w:spacing w:after="0"/>
              <w:rPr>
                <w:sz w:val="11"/>
                <w:szCs w:val="11"/>
                <w:color w:val="auto"/>
              </w:rPr>
            </w:pPr>
          </w:p>
        </w:tc>
        <w:tc>
          <w:tcPr>
            <w:tcW w:w="9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Selected</w:t>
            </w:r>
          </w:p>
        </w:tc>
        <w:tc>
          <w:tcPr>
            <w:tcW w:w="0" w:type="dxa"/>
            <w:vAlign w:val="bottom"/>
          </w:tcPr>
          <w:p>
            <w:pPr>
              <w:spacing w:after="0"/>
              <w:rPr>
                <w:sz w:val="1"/>
                <w:szCs w:val="1"/>
                <w:color w:val="auto"/>
              </w:rPr>
            </w:pPr>
          </w:p>
        </w:tc>
      </w:tr>
      <w:tr>
        <w:trPr>
          <w:trHeight w:val="130"/>
        </w:trPr>
        <w:tc>
          <w:tcPr>
            <w:tcW w:w="460" w:type="dxa"/>
            <w:vAlign w:val="bottom"/>
            <w:shd w:val="clear" w:color="auto" w:fill="284993"/>
          </w:tcPr>
          <w:p>
            <w:pPr>
              <w:spacing w:after="0"/>
              <w:rPr>
                <w:sz w:val="11"/>
                <w:szCs w:val="11"/>
                <w:color w:val="auto"/>
              </w:rPr>
            </w:pPr>
          </w:p>
        </w:tc>
        <w:tc>
          <w:tcPr>
            <w:tcW w:w="920" w:type="dxa"/>
            <w:vAlign w:val="bottom"/>
            <w:vMerge w:val="continue"/>
            <w:shd w:val="clear" w:color="auto" w:fill="284993"/>
          </w:tcPr>
          <w:p>
            <w:pPr>
              <w:spacing w:after="0"/>
              <w:rPr>
                <w:sz w:val="11"/>
                <w:szCs w:val="11"/>
                <w:color w:val="auto"/>
              </w:rPr>
            </w:pPr>
          </w:p>
        </w:tc>
        <w:tc>
          <w:tcPr>
            <w:tcW w:w="920" w:type="dxa"/>
            <w:vAlign w:val="bottom"/>
            <w:shd w:val="clear" w:color="auto" w:fill="284993"/>
          </w:tcPr>
          <w:p>
            <w:pPr>
              <w:spacing w:after="0"/>
              <w:rPr>
                <w:sz w:val="11"/>
                <w:szCs w:val="11"/>
                <w:color w:val="auto"/>
              </w:rPr>
            </w:pPr>
          </w:p>
        </w:tc>
        <w:tc>
          <w:tcPr>
            <w:tcW w:w="880" w:type="dxa"/>
            <w:vAlign w:val="bottom"/>
            <w:vMerge w:val="continue"/>
            <w:shd w:val="clear" w:color="auto" w:fill="284993"/>
          </w:tcPr>
          <w:p>
            <w:pPr>
              <w:spacing w:after="0"/>
              <w:rPr>
                <w:sz w:val="11"/>
                <w:szCs w:val="11"/>
                <w:color w:val="auto"/>
              </w:rPr>
            </w:pPr>
          </w:p>
        </w:tc>
        <w:tc>
          <w:tcPr>
            <w:tcW w:w="880" w:type="dxa"/>
            <w:vAlign w:val="bottom"/>
            <w:shd w:val="clear" w:color="auto" w:fill="284993"/>
          </w:tcPr>
          <w:p>
            <w:pPr>
              <w:spacing w:after="0"/>
              <w:rPr>
                <w:sz w:val="11"/>
                <w:szCs w:val="11"/>
                <w:color w:val="auto"/>
              </w:rPr>
            </w:pPr>
          </w:p>
        </w:tc>
        <w:tc>
          <w:tcPr>
            <w:tcW w:w="1800" w:type="dxa"/>
            <w:vAlign w:val="bottom"/>
            <w:gridSpan w:val="2"/>
            <w:shd w:val="clear" w:color="auto" w:fill="284993"/>
          </w:tcPr>
          <w:p>
            <w:pPr>
              <w:ind w:left="40"/>
              <w:spacing w:after="0" w:line="130" w:lineRule="exact"/>
              <w:rPr>
                <w:sz w:val="20"/>
                <w:szCs w:val="20"/>
                <w:color w:val="auto"/>
              </w:rPr>
            </w:pPr>
            <w:r>
              <w:rPr>
                <w:rFonts w:ascii="Arial" w:cs="Arial" w:eastAsia="Arial" w:hAnsi="Arial"/>
                <w:sz w:val="12"/>
                <w:szCs w:val="12"/>
                <w:b w:val="1"/>
                <w:bCs w:val="1"/>
                <w:color w:val="FFFFFF"/>
              </w:rPr>
              <w:t>Compensation Compensation</w:t>
            </w:r>
          </w:p>
        </w:tc>
        <w:tc>
          <w:tcPr>
            <w:tcW w:w="780" w:type="dxa"/>
            <w:vAlign w:val="bottom"/>
            <w:shd w:val="clear" w:color="auto" w:fill="284993"/>
          </w:tcPr>
          <w:p>
            <w:pPr>
              <w:spacing w:after="0"/>
              <w:rPr>
                <w:sz w:val="11"/>
                <w:szCs w:val="11"/>
                <w:color w:val="auto"/>
              </w:rPr>
            </w:pPr>
          </w:p>
        </w:tc>
        <w:tc>
          <w:tcPr>
            <w:tcW w:w="820" w:type="dxa"/>
            <w:vAlign w:val="bottom"/>
            <w:vMerge w:val="continue"/>
            <w:shd w:val="clear" w:color="auto" w:fill="284993"/>
          </w:tcPr>
          <w:p>
            <w:pPr>
              <w:spacing w:after="0"/>
              <w:rPr>
                <w:sz w:val="11"/>
                <w:szCs w:val="11"/>
                <w:color w:val="auto"/>
              </w:rPr>
            </w:pPr>
          </w:p>
        </w:tc>
        <w:tc>
          <w:tcPr>
            <w:tcW w:w="900" w:type="dxa"/>
            <w:vAlign w:val="bottom"/>
            <w:shd w:val="clear" w:color="auto" w:fill="284993"/>
          </w:tcPr>
          <w:p>
            <w:pPr>
              <w:spacing w:after="0"/>
              <w:rPr>
                <w:sz w:val="11"/>
                <w:szCs w:val="11"/>
                <w:color w:val="auto"/>
              </w:rPr>
            </w:pPr>
          </w:p>
        </w:tc>
        <w:tc>
          <w:tcPr>
            <w:tcW w:w="9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8"/>
              </w:rPr>
              <w:t>Measure:</w:t>
            </w:r>
          </w:p>
        </w:tc>
        <w:tc>
          <w:tcPr>
            <w:tcW w:w="0" w:type="dxa"/>
            <w:vAlign w:val="bottom"/>
          </w:tcPr>
          <w:p>
            <w:pPr>
              <w:spacing w:after="0"/>
              <w:rPr>
                <w:sz w:val="1"/>
                <w:szCs w:val="1"/>
                <w:color w:val="auto"/>
              </w:rPr>
            </w:pPr>
          </w:p>
        </w:tc>
      </w:tr>
      <w:tr>
        <w:trPr>
          <w:trHeight w:val="135"/>
        </w:trPr>
        <w:tc>
          <w:tcPr>
            <w:tcW w:w="460" w:type="dxa"/>
            <w:vAlign w:val="bottom"/>
            <w:shd w:val="clear" w:color="auto" w:fill="284993"/>
          </w:tcPr>
          <w:p>
            <w:pPr>
              <w:spacing w:after="0"/>
              <w:rPr>
                <w:sz w:val="11"/>
                <w:szCs w:val="11"/>
                <w:color w:val="auto"/>
              </w:rPr>
            </w:pPr>
          </w:p>
        </w:tc>
        <w:tc>
          <w:tcPr>
            <w:tcW w:w="3600" w:type="dxa"/>
            <w:vAlign w:val="bottom"/>
            <w:gridSpan w:val="4"/>
            <w:shd w:val="clear" w:color="auto" w:fill="284993"/>
          </w:tcPr>
          <w:p>
            <w:pPr>
              <w:jc w:val="right"/>
              <w:spacing w:after="0" w:line="135" w:lineRule="exact"/>
              <w:rPr>
                <w:sz w:val="20"/>
                <w:szCs w:val="20"/>
                <w:color w:val="auto"/>
              </w:rPr>
            </w:pPr>
            <w:r>
              <w:rPr>
                <w:rFonts w:ascii="Arial" w:cs="Arial" w:eastAsia="Arial" w:hAnsi="Arial"/>
                <w:sz w:val="12"/>
                <w:szCs w:val="12"/>
                <w:b w:val="1"/>
                <w:bCs w:val="1"/>
                <w:color w:val="FFFFFF"/>
              </w:rPr>
              <w:t>Compensation Compensation Compensation Compensation</w:t>
            </w:r>
          </w:p>
        </w:tc>
        <w:tc>
          <w:tcPr>
            <w:tcW w:w="900" w:type="dxa"/>
            <w:vAlign w:val="bottom"/>
            <w:shd w:val="clear" w:color="auto" w:fill="284993"/>
          </w:tcPr>
          <w:p>
            <w:pPr>
              <w:jc w:val="center"/>
              <w:spacing w:after="0" w:line="135" w:lineRule="exact"/>
              <w:rPr>
                <w:sz w:val="20"/>
                <w:szCs w:val="20"/>
                <w:color w:val="auto"/>
              </w:rPr>
            </w:pPr>
            <w:r>
              <w:rPr>
                <w:rFonts w:ascii="Arial" w:cs="Arial" w:eastAsia="Arial" w:hAnsi="Arial"/>
                <w:sz w:val="12"/>
                <w:szCs w:val="12"/>
                <w:b w:val="1"/>
                <w:bCs w:val="1"/>
                <w:color w:val="FFFFFF"/>
                <w:w w:val="97"/>
              </w:rPr>
              <w:t>Table Total</w:t>
            </w:r>
          </w:p>
        </w:tc>
        <w:tc>
          <w:tcPr>
            <w:tcW w:w="900" w:type="dxa"/>
            <w:vAlign w:val="bottom"/>
            <w:shd w:val="clear" w:color="auto" w:fill="284993"/>
          </w:tcPr>
          <w:p>
            <w:pPr>
              <w:jc w:val="center"/>
              <w:spacing w:after="0" w:line="135" w:lineRule="exact"/>
              <w:rPr>
                <w:sz w:val="20"/>
                <w:szCs w:val="20"/>
                <w:color w:val="auto"/>
              </w:rPr>
            </w:pPr>
            <w:r>
              <w:rPr>
                <w:rFonts w:ascii="Arial" w:cs="Arial" w:eastAsia="Arial" w:hAnsi="Arial"/>
                <w:sz w:val="12"/>
                <w:szCs w:val="12"/>
                <w:b w:val="1"/>
                <w:bCs w:val="1"/>
                <w:color w:val="FFFFFF"/>
              </w:rPr>
              <w:t>Actually Paid</w:t>
            </w:r>
          </w:p>
        </w:tc>
        <w:tc>
          <w:tcPr>
            <w:tcW w:w="780" w:type="dxa"/>
            <w:vAlign w:val="bottom"/>
            <w:shd w:val="clear" w:color="auto" w:fill="284993"/>
          </w:tcPr>
          <w:p>
            <w:pPr>
              <w:jc w:val="center"/>
              <w:spacing w:after="0" w:line="135" w:lineRule="exact"/>
              <w:rPr>
                <w:sz w:val="20"/>
                <w:szCs w:val="20"/>
                <w:color w:val="auto"/>
              </w:rPr>
            </w:pPr>
            <w:r>
              <w:rPr>
                <w:rFonts w:ascii="Arial" w:cs="Arial" w:eastAsia="Arial" w:hAnsi="Arial"/>
                <w:sz w:val="12"/>
                <w:szCs w:val="12"/>
                <w:b w:val="1"/>
                <w:bCs w:val="1"/>
                <w:color w:val="FFFFFF"/>
                <w:w w:val="97"/>
              </w:rPr>
              <w:t>Total</w:t>
            </w:r>
          </w:p>
        </w:tc>
        <w:tc>
          <w:tcPr>
            <w:tcW w:w="820" w:type="dxa"/>
            <w:vAlign w:val="bottom"/>
            <w:shd w:val="clear" w:color="auto" w:fill="284993"/>
          </w:tcPr>
          <w:p>
            <w:pPr>
              <w:jc w:val="center"/>
              <w:spacing w:after="0" w:line="135" w:lineRule="exact"/>
              <w:rPr>
                <w:sz w:val="20"/>
                <w:szCs w:val="20"/>
                <w:color w:val="auto"/>
              </w:rPr>
            </w:pPr>
            <w:r>
              <w:rPr>
                <w:rFonts w:ascii="Arial" w:cs="Arial" w:eastAsia="Arial" w:hAnsi="Arial"/>
                <w:sz w:val="12"/>
                <w:szCs w:val="12"/>
                <w:b w:val="1"/>
                <w:bCs w:val="1"/>
                <w:color w:val="FFFFFF"/>
                <w:w w:val="97"/>
              </w:rPr>
              <w:t>Total</w:t>
            </w:r>
          </w:p>
        </w:tc>
        <w:tc>
          <w:tcPr>
            <w:tcW w:w="900" w:type="dxa"/>
            <w:vAlign w:val="bottom"/>
            <w:shd w:val="clear" w:color="auto" w:fill="284993"/>
          </w:tcPr>
          <w:p>
            <w:pPr>
              <w:spacing w:after="0"/>
              <w:rPr>
                <w:sz w:val="11"/>
                <w:szCs w:val="11"/>
                <w:color w:val="auto"/>
              </w:rPr>
            </w:pPr>
          </w:p>
        </w:tc>
        <w:tc>
          <w:tcPr>
            <w:tcW w:w="980" w:type="dxa"/>
            <w:vAlign w:val="bottom"/>
            <w:shd w:val="clear" w:color="auto" w:fill="284993"/>
          </w:tcPr>
          <w:p>
            <w:pPr>
              <w:jc w:val="center"/>
              <w:spacing w:after="0" w:line="135" w:lineRule="exact"/>
              <w:rPr>
                <w:sz w:val="20"/>
                <w:szCs w:val="20"/>
                <w:color w:val="auto"/>
              </w:rPr>
            </w:pPr>
            <w:r>
              <w:rPr>
                <w:rFonts w:ascii="Arial" w:cs="Arial" w:eastAsia="Arial" w:hAnsi="Arial"/>
                <w:sz w:val="12"/>
                <w:szCs w:val="12"/>
                <w:b w:val="1"/>
                <w:bCs w:val="1"/>
                <w:color w:val="FFFFFF"/>
                <w:w w:val="98"/>
              </w:rPr>
              <w:t>Revenue Net</w:t>
            </w:r>
          </w:p>
        </w:tc>
        <w:tc>
          <w:tcPr>
            <w:tcW w:w="0" w:type="dxa"/>
            <w:vAlign w:val="bottom"/>
          </w:tcPr>
          <w:p>
            <w:pPr>
              <w:spacing w:after="0"/>
              <w:rPr>
                <w:sz w:val="1"/>
                <w:szCs w:val="1"/>
                <w:color w:val="auto"/>
              </w:rPr>
            </w:pPr>
          </w:p>
        </w:tc>
      </w:tr>
      <w:tr>
        <w:trPr>
          <w:trHeight w:val="130"/>
        </w:trPr>
        <w:tc>
          <w:tcPr>
            <w:tcW w:w="460" w:type="dxa"/>
            <w:vAlign w:val="bottom"/>
            <w:vMerge w:val="restart"/>
            <w:shd w:val="clear" w:color="auto" w:fill="284993"/>
          </w:tcPr>
          <w:p>
            <w:pPr>
              <w:ind w:left="80"/>
              <w:spacing w:after="0"/>
              <w:rPr>
                <w:sz w:val="20"/>
                <w:szCs w:val="20"/>
                <w:color w:val="auto"/>
              </w:rPr>
            </w:pPr>
            <w:r>
              <w:rPr>
                <w:rFonts w:ascii="Arial" w:cs="Arial" w:eastAsia="Arial" w:hAnsi="Arial"/>
                <w:sz w:val="12"/>
                <w:szCs w:val="12"/>
                <w:b w:val="1"/>
                <w:bCs w:val="1"/>
                <w:color w:val="FFFFFF"/>
              </w:rPr>
              <w:t xml:space="preserve">Year   </w:t>
            </w:r>
          </w:p>
        </w:tc>
        <w:tc>
          <w:tcPr>
            <w:tcW w:w="9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7"/>
              </w:rPr>
              <w:t>Table Total</w:t>
            </w:r>
          </w:p>
        </w:tc>
        <w:tc>
          <w:tcPr>
            <w:tcW w:w="9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Actually Paid</w:t>
            </w:r>
          </w:p>
        </w:tc>
        <w:tc>
          <w:tcPr>
            <w:tcW w:w="8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7"/>
              </w:rPr>
              <w:t>Table Total</w:t>
            </w:r>
          </w:p>
        </w:tc>
        <w:tc>
          <w:tcPr>
            <w:tcW w:w="8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Actually Paid</w:t>
            </w:r>
          </w:p>
        </w:tc>
        <w:tc>
          <w:tcPr>
            <w:tcW w:w="90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9"/>
              </w:rPr>
              <w:t>for Non-PEO</w:t>
            </w:r>
          </w:p>
        </w:tc>
        <w:tc>
          <w:tcPr>
            <w:tcW w:w="90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for Non-PEO</w:t>
            </w:r>
          </w:p>
        </w:tc>
        <w:tc>
          <w:tcPr>
            <w:tcW w:w="7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Shareholder</w:t>
            </w:r>
          </w:p>
        </w:tc>
        <w:tc>
          <w:tcPr>
            <w:tcW w:w="8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Shareholder</w:t>
            </w:r>
          </w:p>
        </w:tc>
        <w:tc>
          <w:tcPr>
            <w:tcW w:w="900" w:type="dxa"/>
            <w:vAlign w:val="bottom"/>
            <w:vMerge w:val="restart"/>
            <w:shd w:val="clear" w:color="auto" w:fill="284993"/>
          </w:tcPr>
          <w:p>
            <w:pPr>
              <w:jc w:val="right"/>
              <w:ind w:right="99"/>
              <w:spacing w:after="0"/>
              <w:rPr>
                <w:sz w:val="20"/>
                <w:szCs w:val="20"/>
                <w:color w:val="auto"/>
              </w:rPr>
            </w:pPr>
            <w:r>
              <w:rPr>
                <w:rFonts w:ascii="Arial" w:cs="Arial" w:eastAsia="Arial" w:hAnsi="Arial"/>
                <w:sz w:val="12"/>
                <w:szCs w:val="12"/>
                <w:b w:val="1"/>
                <w:bCs w:val="1"/>
                <w:color w:val="FFFFFF"/>
              </w:rPr>
              <w:t>Net Income</w:t>
            </w:r>
          </w:p>
        </w:tc>
        <w:tc>
          <w:tcPr>
            <w:tcW w:w="9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of</w:t>
            </w:r>
          </w:p>
        </w:tc>
        <w:tc>
          <w:tcPr>
            <w:tcW w:w="0" w:type="dxa"/>
            <w:vAlign w:val="bottom"/>
          </w:tcPr>
          <w:p>
            <w:pPr>
              <w:spacing w:after="0"/>
              <w:rPr>
                <w:sz w:val="1"/>
                <w:szCs w:val="1"/>
                <w:color w:val="auto"/>
              </w:rPr>
            </w:pPr>
          </w:p>
        </w:tc>
      </w:tr>
      <w:tr>
        <w:trPr>
          <w:trHeight w:val="130"/>
        </w:trPr>
        <w:tc>
          <w:tcPr>
            <w:tcW w:w="460" w:type="dxa"/>
            <w:vAlign w:val="bottom"/>
            <w:vMerge w:val="continue"/>
            <w:shd w:val="clear" w:color="auto" w:fill="284993"/>
          </w:tcPr>
          <w:p>
            <w:pPr>
              <w:spacing w:after="0"/>
              <w:rPr>
                <w:sz w:val="11"/>
                <w:szCs w:val="11"/>
                <w:color w:val="auto"/>
              </w:rPr>
            </w:pPr>
          </w:p>
        </w:tc>
        <w:tc>
          <w:tcPr>
            <w:tcW w:w="9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6"/>
              </w:rPr>
              <w:t>for PEO 1</w:t>
            </w:r>
            <w:r>
              <w:rPr>
                <w:rFonts w:ascii="Arial" w:cs="Arial" w:eastAsia="Arial" w:hAnsi="Arial"/>
                <w:sz w:val="15"/>
                <w:szCs w:val="15"/>
                <w:b w:val="1"/>
                <w:bCs w:val="1"/>
                <w:color w:val="FFFFFF"/>
                <w:w w:val="96"/>
                <w:vertAlign w:val="superscript"/>
              </w:rPr>
              <w:t>1,3</w:t>
            </w:r>
          </w:p>
        </w:tc>
        <w:tc>
          <w:tcPr>
            <w:tcW w:w="9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6"/>
              </w:rPr>
              <w:t>for PEO 1</w:t>
            </w:r>
            <w:r>
              <w:rPr>
                <w:rFonts w:ascii="Arial" w:cs="Arial" w:eastAsia="Arial" w:hAnsi="Arial"/>
                <w:sz w:val="15"/>
                <w:szCs w:val="15"/>
                <w:b w:val="1"/>
                <w:bCs w:val="1"/>
                <w:color w:val="FFFFFF"/>
                <w:w w:val="96"/>
                <w:vertAlign w:val="superscript"/>
              </w:rPr>
              <w:t>1,4</w:t>
            </w:r>
          </w:p>
        </w:tc>
        <w:tc>
          <w:tcPr>
            <w:tcW w:w="8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3"/>
              </w:rPr>
              <w:t>for PEO 2</w:t>
            </w:r>
            <w:r>
              <w:rPr>
                <w:rFonts w:ascii="Arial" w:cs="Arial" w:eastAsia="Arial" w:hAnsi="Arial"/>
                <w:sz w:val="15"/>
                <w:szCs w:val="15"/>
                <w:b w:val="1"/>
                <w:bCs w:val="1"/>
                <w:color w:val="FFFFFF"/>
                <w:w w:val="93"/>
                <w:vertAlign w:val="superscript"/>
              </w:rPr>
              <w:t>1,3</w:t>
            </w:r>
          </w:p>
        </w:tc>
        <w:tc>
          <w:tcPr>
            <w:tcW w:w="8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6"/>
              </w:rPr>
              <w:t>for PEO 2</w:t>
            </w:r>
            <w:r>
              <w:rPr>
                <w:rFonts w:ascii="Arial" w:cs="Arial" w:eastAsia="Arial" w:hAnsi="Arial"/>
                <w:sz w:val="15"/>
                <w:szCs w:val="15"/>
                <w:b w:val="1"/>
                <w:bCs w:val="1"/>
                <w:color w:val="FFFFFF"/>
                <w:w w:val="96"/>
                <w:vertAlign w:val="superscript"/>
              </w:rPr>
              <w:t>1,4</w:t>
            </w:r>
          </w:p>
        </w:tc>
        <w:tc>
          <w:tcPr>
            <w:tcW w:w="90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4"/>
              </w:rPr>
              <w:t>NEOs</w:t>
            </w:r>
            <w:r>
              <w:rPr>
                <w:rFonts w:ascii="Arial" w:cs="Arial" w:eastAsia="Arial" w:hAnsi="Arial"/>
                <w:sz w:val="15"/>
                <w:szCs w:val="15"/>
                <w:b w:val="1"/>
                <w:bCs w:val="1"/>
                <w:color w:val="FFFFFF"/>
                <w:w w:val="94"/>
                <w:vertAlign w:val="superscript"/>
              </w:rPr>
              <w:t>2,3</w:t>
            </w:r>
          </w:p>
        </w:tc>
        <w:tc>
          <w:tcPr>
            <w:tcW w:w="90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0"/>
              </w:rPr>
              <w:t>NEOs</w:t>
            </w:r>
            <w:r>
              <w:rPr>
                <w:rFonts w:ascii="Arial" w:cs="Arial" w:eastAsia="Arial" w:hAnsi="Arial"/>
                <w:sz w:val="15"/>
                <w:szCs w:val="15"/>
                <w:b w:val="1"/>
                <w:bCs w:val="1"/>
                <w:color w:val="FFFFFF"/>
                <w:w w:val="90"/>
                <w:vertAlign w:val="superscript"/>
              </w:rPr>
              <w:t>2,5</w:t>
            </w:r>
          </w:p>
        </w:tc>
        <w:tc>
          <w:tcPr>
            <w:tcW w:w="7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Return</w:t>
            </w:r>
          </w:p>
        </w:tc>
        <w:tc>
          <w:tcPr>
            <w:tcW w:w="8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9"/>
              </w:rPr>
              <w:t>Return</w:t>
            </w:r>
            <w:r>
              <w:rPr>
                <w:rFonts w:ascii="Arial" w:cs="Arial" w:eastAsia="Arial" w:hAnsi="Arial"/>
                <w:sz w:val="15"/>
                <w:szCs w:val="15"/>
                <w:b w:val="1"/>
                <w:bCs w:val="1"/>
                <w:color w:val="FFFFFF"/>
                <w:w w:val="99"/>
                <w:vertAlign w:val="superscript"/>
              </w:rPr>
              <w:t>7</w:t>
            </w:r>
          </w:p>
        </w:tc>
        <w:tc>
          <w:tcPr>
            <w:tcW w:w="900" w:type="dxa"/>
            <w:vAlign w:val="bottom"/>
            <w:vMerge w:val="continue"/>
            <w:shd w:val="clear" w:color="auto" w:fill="284993"/>
          </w:tcPr>
          <w:p>
            <w:pPr>
              <w:spacing w:after="0"/>
              <w:rPr>
                <w:sz w:val="11"/>
                <w:szCs w:val="11"/>
                <w:color w:val="auto"/>
              </w:rPr>
            </w:pPr>
          </w:p>
        </w:tc>
        <w:tc>
          <w:tcPr>
            <w:tcW w:w="9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7"/>
              </w:rPr>
              <w:t>Interchange</w:t>
            </w:r>
            <w:r>
              <w:rPr>
                <w:rFonts w:ascii="Arial" w:cs="Arial" w:eastAsia="Arial" w:hAnsi="Arial"/>
                <w:sz w:val="15"/>
                <w:szCs w:val="15"/>
                <w:b w:val="1"/>
                <w:bCs w:val="1"/>
                <w:color w:val="FFFFFF"/>
                <w:w w:val="97"/>
                <w:vertAlign w:val="superscript"/>
              </w:rPr>
              <w:t>8</w:t>
            </w:r>
          </w:p>
        </w:tc>
        <w:tc>
          <w:tcPr>
            <w:tcW w:w="0" w:type="dxa"/>
            <w:vAlign w:val="bottom"/>
          </w:tcPr>
          <w:p>
            <w:pPr>
              <w:spacing w:after="0"/>
              <w:rPr>
                <w:sz w:val="1"/>
                <w:szCs w:val="1"/>
                <w:color w:val="auto"/>
              </w:rPr>
            </w:pPr>
          </w:p>
        </w:tc>
      </w:tr>
      <w:tr>
        <w:trPr>
          <w:trHeight w:val="156"/>
        </w:trPr>
        <w:tc>
          <w:tcPr>
            <w:tcW w:w="460" w:type="dxa"/>
            <w:vAlign w:val="bottom"/>
            <w:shd w:val="clear" w:color="auto" w:fill="284993"/>
          </w:tcPr>
          <w:p>
            <w:pPr>
              <w:ind w:left="80"/>
              <w:spacing w:after="0"/>
              <w:rPr>
                <w:sz w:val="20"/>
                <w:szCs w:val="20"/>
                <w:color w:val="auto"/>
              </w:rPr>
            </w:pPr>
            <w:r>
              <w:rPr>
                <w:rFonts w:ascii="Arial" w:cs="Arial" w:eastAsia="Arial" w:hAnsi="Arial"/>
                <w:sz w:val="12"/>
                <w:szCs w:val="12"/>
                <w:b w:val="1"/>
                <w:bCs w:val="1"/>
                <w:color w:val="FFFFFF"/>
              </w:rPr>
              <w:t xml:space="preserve">  (a)   </w:t>
            </w:r>
          </w:p>
        </w:tc>
        <w:tc>
          <w:tcPr>
            <w:tcW w:w="92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91"/>
              </w:rPr>
              <w:t>(b)</w:t>
            </w:r>
          </w:p>
        </w:tc>
        <w:tc>
          <w:tcPr>
            <w:tcW w:w="92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95"/>
              </w:rPr>
              <w:t>(c)</w:t>
            </w:r>
          </w:p>
        </w:tc>
        <w:tc>
          <w:tcPr>
            <w:tcW w:w="88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rPr>
              <w:t>(d)</w:t>
            </w:r>
          </w:p>
        </w:tc>
        <w:tc>
          <w:tcPr>
            <w:tcW w:w="88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rPr>
              <w:t>(e)</w:t>
            </w:r>
          </w:p>
        </w:tc>
        <w:tc>
          <w:tcPr>
            <w:tcW w:w="90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99"/>
              </w:rPr>
              <w:t>(f)</w:t>
            </w:r>
          </w:p>
        </w:tc>
        <w:tc>
          <w:tcPr>
            <w:tcW w:w="90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91"/>
              </w:rPr>
              <w:t>(g)</w:t>
            </w:r>
          </w:p>
        </w:tc>
        <w:tc>
          <w:tcPr>
            <w:tcW w:w="78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rPr>
              <w:t>(h)</w:t>
            </w:r>
          </w:p>
        </w:tc>
        <w:tc>
          <w:tcPr>
            <w:tcW w:w="82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rPr>
              <w:t>(i)</w:t>
            </w:r>
          </w:p>
        </w:tc>
        <w:tc>
          <w:tcPr>
            <w:tcW w:w="900" w:type="dxa"/>
            <w:vAlign w:val="bottom"/>
            <w:shd w:val="clear" w:color="auto" w:fill="284993"/>
          </w:tcPr>
          <w:p>
            <w:pPr>
              <w:jc w:val="right"/>
              <w:ind w:right="359"/>
              <w:spacing w:after="0"/>
              <w:rPr>
                <w:sz w:val="20"/>
                <w:szCs w:val="20"/>
                <w:color w:val="auto"/>
              </w:rPr>
            </w:pPr>
            <w:r>
              <w:rPr>
                <w:rFonts w:ascii="Arial" w:cs="Arial" w:eastAsia="Arial" w:hAnsi="Arial"/>
                <w:sz w:val="12"/>
                <w:szCs w:val="12"/>
                <w:b w:val="1"/>
                <w:bCs w:val="1"/>
                <w:color w:val="FFFFFF"/>
              </w:rPr>
              <w:t>(j)</w:t>
            </w:r>
          </w:p>
        </w:tc>
        <w:tc>
          <w:tcPr>
            <w:tcW w:w="98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rPr>
              <w:t>(k)</w:t>
            </w:r>
          </w:p>
        </w:tc>
        <w:tc>
          <w:tcPr>
            <w:tcW w:w="0" w:type="dxa"/>
            <w:vAlign w:val="bottom"/>
          </w:tcPr>
          <w:p>
            <w:pPr>
              <w:spacing w:after="0"/>
              <w:rPr>
                <w:sz w:val="1"/>
                <w:szCs w:val="1"/>
                <w:color w:val="auto"/>
              </w:rPr>
            </w:pPr>
          </w:p>
        </w:tc>
      </w:tr>
      <w:tr>
        <w:trPr>
          <w:trHeight w:val="194"/>
        </w:trPr>
        <w:tc>
          <w:tcPr>
            <w:tcW w:w="460" w:type="dxa"/>
            <w:vAlign w:val="bottom"/>
          </w:tcPr>
          <w:p>
            <w:pPr>
              <w:ind w:left="100"/>
              <w:spacing w:after="0"/>
              <w:rPr>
                <w:sz w:val="20"/>
                <w:szCs w:val="20"/>
                <w:color w:val="auto"/>
              </w:rPr>
            </w:pPr>
            <w:r>
              <w:rPr>
                <w:rFonts w:ascii="Arial" w:cs="Arial" w:eastAsia="Arial" w:hAnsi="Arial"/>
                <w:sz w:val="12"/>
                <w:szCs w:val="12"/>
                <w:color w:val="auto"/>
              </w:rPr>
              <w:t xml:space="preserve">2023   </w:t>
            </w:r>
          </w:p>
        </w:tc>
        <w:tc>
          <w:tcPr>
            <w:tcW w:w="920" w:type="dxa"/>
            <w:vAlign w:val="bottom"/>
          </w:tcPr>
          <w:p>
            <w:pPr>
              <w:jc w:val="right"/>
              <w:spacing w:after="0"/>
              <w:rPr>
                <w:sz w:val="20"/>
                <w:szCs w:val="20"/>
                <w:color w:val="auto"/>
              </w:rPr>
            </w:pPr>
            <w:r>
              <w:rPr>
                <w:rFonts w:ascii="Arial" w:cs="Arial" w:eastAsia="Arial" w:hAnsi="Arial"/>
                <w:sz w:val="12"/>
                <w:szCs w:val="12"/>
                <w:color w:val="auto"/>
              </w:rPr>
              <w:t>$5,231,678</w:t>
            </w:r>
          </w:p>
        </w:tc>
        <w:tc>
          <w:tcPr>
            <w:tcW w:w="920" w:type="dxa"/>
            <w:vAlign w:val="bottom"/>
          </w:tcPr>
          <w:p>
            <w:pPr>
              <w:jc w:val="right"/>
              <w:ind w:right="39"/>
              <w:spacing w:after="0"/>
              <w:rPr>
                <w:sz w:val="20"/>
                <w:szCs w:val="20"/>
                <w:color w:val="auto"/>
              </w:rPr>
            </w:pPr>
            <w:r>
              <w:rPr>
                <w:rFonts w:ascii="Arial" w:cs="Arial" w:eastAsia="Arial" w:hAnsi="Arial"/>
                <w:sz w:val="12"/>
                <w:szCs w:val="12"/>
                <w:color w:val="auto"/>
              </w:rPr>
              <w:t>$8,594,753</w:t>
            </w: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ind w:left="240"/>
              <w:spacing w:after="0"/>
              <w:rPr>
                <w:sz w:val="20"/>
                <w:szCs w:val="20"/>
                <w:color w:val="auto"/>
              </w:rPr>
            </w:pPr>
            <w:r>
              <w:rPr>
                <w:rFonts w:ascii="Arial" w:cs="Arial" w:eastAsia="Arial" w:hAnsi="Arial"/>
                <w:sz w:val="12"/>
                <w:szCs w:val="12"/>
                <w:color w:val="auto"/>
              </w:rPr>
              <w:t>$2,150,984</w:t>
            </w:r>
          </w:p>
        </w:tc>
        <w:tc>
          <w:tcPr>
            <w:tcW w:w="900" w:type="dxa"/>
            <w:vAlign w:val="bottom"/>
          </w:tcPr>
          <w:p>
            <w:pPr>
              <w:jc w:val="right"/>
              <w:spacing w:after="0"/>
              <w:rPr>
                <w:sz w:val="20"/>
                <w:szCs w:val="20"/>
                <w:color w:val="auto"/>
              </w:rPr>
            </w:pPr>
            <w:r>
              <w:rPr>
                <w:rFonts w:ascii="Arial" w:cs="Arial" w:eastAsia="Arial" w:hAnsi="Arial"/>
                <w:sz w:val="12"/>
                <w:szCs w:val="12"/>
                <w:color w:val="auto"/>
              </w:rPr>
              <w:t>$3,352,988</w:t>
            </w:r>
          </w:p>
        </w:tc>
        <w:tc>
          <w:tcPr>
            <w:tcW w:w="780" w:type="dxa"/>
            <w:vAlign w:val="bottom"/>
          </w:tcPr>
          <w:p>
            <w:pPr>
              <w:jc w:val="right"/>
              <w:ind w:right="79"/>
              <w:spacing w:after="0"/>
              <w:rPr>
                <w:sz w:val="20"/>
                <w:szCs w:val="20"/>
                <w:color w:val="auto"/>
              </w:rPr>
            </w:pPr>
            <w:r>
              <w:rPr>
                <w:rFonts w:ascii="Arial" w:cs="Arial" w:eastAsia="Arial" w:hAnsi="Arial"/>
                <w:sz w:val="12"/>
                <w:szCs w:val="12"/>
                <w:color w:val="auto"/>
              </w:rPr>
              <w:t>$81</w:t>
            </w:r>
          </w:p>
        </w:tc>
        <w:tc>
          <w:tcPr>
            <w:tcW w:w="820" w:type="dxa"/>
            <w:vAlign w:val="bottom"/>
          </w:tcPr>
          <w:p>
            <w:pPr>
              <w:jc w:val="right"/>
              <w:ind w:right="119"/>
              <w:spacing w:after="0"/>
              <w:rPr>
                <w:sz w:val="20"/>
                <w:szCs w:val="20"/>
                <w:color w:val="auto"/>
              </w:rPr>
            </w:pPr>
            <w:r>
              <w:rPr>
                <w:rFonts w:ascii="Arial" w:cs="Arial" w:eastAsia="Arial" w:hAnsi="Arial"/>
                <w:sz w:val="12"/>
                <w:szCs w:val="12"/>
                <w:color w:val="auto"/>
              </w:rPr>
              <w:t>$134</w:t>
            </w:r>
          </w:p>
        </w:tc>
        <w:tc>
          <w:tcPr>
            <w:tcW w:w="900" w:type="dxa"/>
            <w:vAlign w:val="bottom"/>
          </w:tcPr>
          <w:p>
            <w:pPr>
              <w:jc w:val="right"/>
              <w:ind w:right="19"/>
              <w:spacing w:after="0"/>
              <w:rPr>
                <w:sz w:val="20"/>
                <w:szCs w:val="20"/>
                <w:color w:val="auto"/>
              </w:rPr>
            </w:pPr>
            <w:r>
              <w:rPr>
                <w:rFonts w:ascii="Arial" w:cs="Arial" w:eastAsia="Arial" w:hAnsi="Arial"/>
                <w:sz w:val="12"/>
                <w:szCs w:val="12"/>
                <w:color w:val="auto"/>
              </w:rPr>
              <w:t>$121,509,000</w:t>
            </w:r>
          </w:p>
        </w:tc>
        <w:tc>
          <w:tcPr>
            <w:tcW w:w="980" w:type="dxa"/>
            <w:vAlign w:val="bottom"/>
          </w:tcPr>
          <w:p>
            <w:pPr>
              <w:jc w:val="right"/>
              <w:spacing w:after="0"/>
              <w:rPr>
                <w:sz w:val="20"/>
                <w:szCs w:val="20"/>
                <w:color w:val="auto"/>
              </w:rPr>
            </w:pPr>
            <w:r>
              <w:rPr>
                <w:rFonts w:ascii="Arial" w:cs="Arial" w:eastAsia="Arial" w:hAnsi="Arial"/>
                <w:sz w:val="12"/>
                <w:szCs w:val="12"/>
                <w:color w:val="auto"/>
              </w:rPr>
              <w:t>$1,031,100,000</w:t>
            </w:r>
          </w:p>
        </w:tc>
        <w:tc>
          <w:tcPr>
            <w:tcW w:w="0" w:type="dxa"/>
            <w:vAlign w:val="bottom"/>
          </w:tcPr>
          <w:p>
            <w:pPr>
              <w:spacing w:after="0"/>
              <w:rPr>
                <w:sz w:val="1"/>
                <w:szCs w:val="1"/>
                <w:color w:val="auto"/>
              </w:rPr>
            </w:pPr>
          </w:p>
        </w:tc>
      </w:tr>
      <w:tr>
        <w:trPr>
          <w:trHeight w:val="40"/>
        </w:trPr>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2"/>
        </w:trPr>
        <w:tc>
          <w:tcPr>
            <w:tcW w:w="460" w:type="dxa"/>
            <w:vAlign w:val="bottom"/>
            <w:vMerge w:val="restart"/>
            <w:shd w:val="clear" w:color="auto" w:fill="9DBDE4"/>
          </w:tcPr>
          <w:p>
            <w:pPr>
              <w:ind w:left="100"/>
              <w:spacing w:after="0"/>
              <w:rPr>
                <w:sz w:val="20"/>
                <w:szCs w:val="20"/>
                <w:color w:val="auto"/>
              </w:rPr>
            </w:pPr>
            <w:r>
              <w:rPr>
                <w:rFonts w:ascii="Arial" w:cs="Arial" w:eastAsia="Arial" w:hAnsi="Arial"/>
                <w:sz w:val="12"/>
                <w:szCs w:val="12"/>
                <w:color w:val="auto"/>
              </w:rPr>
              <w:t xml:space="preserve">2022   </w:t>
            </w:r>
          </w:p>
        </w:tc>
        <w:tc>
          <w:tcPr>
            <w:tcW w:w="920" w:type="dxa"/>
            <w:vAlign w:val="bottom"/>
            <w:vMerge w:val="restart"/>
            <w:shd w:val="clear" w:color="auto" w:fill="9DBDE4"/>
          </w:tcPr>
          <w:p>
            <w:pPr>
              <w:jc w:val="right"/>
              <w:spacing w:after="0"/>
              <w:rPr>
                <w:sz w:val="20"/>
                <w:szCs w:val="20"/>
                <w:color w:val="auto"/>
              </w:rPr>
            </w:pPr>
            <w:r>
              <w:rPr>
                <w:rFonts w:ascii="Arial" w:cs="Arial" w:eastAsia="Arial" w:hAnsi="Arial"/>
                <w:sz w:val="12"/>
                <w:szCs w:val="12"/>
                <w:color w:val="auto"/>
              </w:rPr>
              <w:t>$577,608</w:t>
            </w:r>
          </w:p>
        </w:tc>
        <w:tc>
          <w:tcPr>
            <w:tcW w:w="920" w:type="dxa"/>
            <w:vAlign w:val="bottom"/>
            <w:vMerge w:val="restart"/>
            <w:shd w:val="clear" w:color="auto" w:fill="9DBDE4"/>
          </w:tcPr>
          <w:p>
            <w:pPr>
              <w:jc w:val="right"/>
              <w:ind w:right="39"/>
              <w:spacing w:after="0"/>
              <w:rPr>
                <w:sz w:val="20"/>
                <w:szCs w:val="20"/>
                <w:color w:val="auto"/>
              </w:rPr>
            </w:pPr>
            <w:r>
              <w:rPr>
                <w:rFonts w:ascii="Arial" w:cs="Arial" w:eastAsia="Arial" w:hAnsi="Arial"/>
                <w:sz w:val="12"/>
                <w:szCs w:val="12"/>
                <w:color w:val="auto"/>
              </w:rPr>
              <w:t>$799,949</w:t>
            </w:r>
          </w:p>
        </w:tc>
        <w:tc>
          <w:tcPr>
            <w:tcW w:w="880" w:type="dxa"/>
            <w:vAlign w:val="bottom"/>
            <w:vMerge w:val="restart"/>
            <w:shd w:val="clear" w:color="auto" w:fill="9DBDE4"/>
          </w:tcPr>
          <w:p>
            <w:pPr>
              <w:jc w:val="right"/>
              <w:ind w:right="19"/>
              <w:spacing w:after="0"/>
              <w:rPr>
                <w:sz w:val="20"/>
                <w:szCs w:val="20"/>
                <w:color w:val="auto"/>
              </w:rPr>
            </w:pPr>
            <w:r>
              <w:rPr>
                <w:rFonts w:ascii="Arial" w:cs="Arial" w:eastAsia="Arial" w:hAnsi="Arial"/>
                <w:sz w:val="12"/>
                <w:szCs w:val="12"/>
                <w:color w:val="auto"/>
              </w:rPr>
              <w:t>$10,280,267</w:t>
            </w:r>
          </w:p>
        </w:tc>
        <w:tc>
          <w:tcPr>
            <w:tcW w:w="880" w:type="dxa"/>
            <w:vAlign w:val="bottom"/>
            <w:vMerge w:val="restart"/>
            <w:shd w:val="clear" w:color="auto" w:fill="9DBDE4"/>
          </w:tcPr>
          <w:p>
            <w:pPr>
              <w:jc w:val="right"/>
              <w:spacing w:after="0"/>
              <w:rPr>
                <w:sz w:val="20"/>
                <w:szCs w:val="20"/>
                <w:color w:val="auto"/>
              </w:rPr>
            </w:pPr>
            <w:r>
              <w:rPr>
                <w:rFonts w:ascii="Arial" w:cs="Arial" w:eastAsia="Arial" w:hAnsi="Arial"/>
                <w:sz w:val="12"/>
                <w:szCs w:val="12"/>
                <w:color w:val="auto"/>
              </w:rPr>
              <w:t>($5,735,389)</w:t>
            </w:r>
          </w:p>
        </w:tc>
        <w:tc>
          <w:tcPr>
            <w:tcW w:w="900" w:type="dxa"/>
            <w:vAlign w:val="bottom"/>
            <w:vMerge w:val="restart"/>
            <w:shd w:val="clear" w:color="auto" w:fill="9DBDE4"/>
          </w:tcPr>
          <w:p>
            <w:pPr>
              <w:ind w:left="240"/>
              <w:spacing w:after="0"/>
              <w:rPr>
                <w:sz w:val="20"/>
                <w:szCs w:val="20"/>
                <w:color w:val="auto"/>
              </w:rPr>
            </w:pPr>
            <w:r>
              <w:rPr>
                <w:rFonts w:ascii="Arial" w:cs="Arial" w:eastAsia="Arial" w:hAnsi="Arial"/>
                <w:sz w:val="12"/>
                <w:szCs w:val="12"/>
                <w:color w:val="auto"/>
              </w:rPr>
              <w:t>$2,450,602</w:t>
            </w:r>
          </w:p>
        </w:tc>
        <w:tc>
          <w:tcPr>
            <w:tcW w:w="900" w:type="dxa"/>
            <w:vAlign w:val="bottom"/>
            <w:vMerge w:val="restart"/>
            <w:shd w:val="clear" w:color="auto" w:fill="9DBDE4"/>
          </w:tcPr>
          <w:p>
            <w:pPr>
              <w:jc w:val="right"/>
              <w:spacing w:after="0"/>
              <w:rPr>
                <w:sz w:val="20"/>
                <w:szCs w:val="20"/>
                <w:color w:val="auto"/>
              </w:rPr>
            </w:pPr>
            <w:r>
              <w:rPr>
                <w:rFonts w:ascii="Arial" w:cs="Arial" w:eastAsia="Arial" w:hAnsi="Arial"/>
                <w:sz w:val="12"/>
                <w:szCs w:val="12"/>
                <w:color w:val="auto"/>
              </w:rPr>
              <w:t>$790,615</w:t>
            </w:r>
          </w:p>
        </w:tc>
        <w:tc>
          <w:tcPr>
            <w:tcW w:w="780" w:type="dxa"/>
            <w:vAlign w:val="bottom"/>
            <w:vMerge w:val="restart"/>
            <w:shd w:val="clear" w:color="auto" w:fill="9DBDE4"/>
          </w:tcPr>
          <w:p>
            <w:pPr>
              <w:jc w:val="right"/>
              <w:ind w:right="79"/>
              <w:spacing w:after="0"/>
              <w:rPr>
                <w:sz w:val="20"/>
                <w:szCs w:val="20"/>
                <w:color w:val="auto"/>
              </w:rPr>
            </w:pPr>
            <w:r>
              <w:rPr>
                <w:rFonts w:ascii="Arial" w:cs="Arial" w:eastAsia="Arial" w:hAnsi="Arial"/>
                <w:sz w:val="12"/>
                <w:szCs w:val="12"/>
                <w:color w:val="auto"/>
              </w:rPr>
              <w:t>$61</w:t>
            </w:r>
          </w:p>
        </w:tc>
        <w:tc>
          <w:tcPr>
            <w:tcW w:w="820" w:type="dxa"/>
            <w:vAlign w:val="bottom"/>
            <w:vMerge w:val="restart"/>
            <w:shd w:val="clear" w:color="auto" w:fill="9DBDE4"/>
          </w:tcPr>
          <w:p>
            <w:pPr>
              <w:jc w:val="right"/>
              <w:ind w:right="119"/>
              <w:spacing w:after="0"/>
              <w:rPr>
                <w:sz w:val="20"/>
                <w:szCs w:val="20"/>
                <w:color w:val="auto"/>
              </w:rPr>
            </w:pPr>
            <w:r>
              <w:rPr>
                <w:rFonts w:ascii="Arial" w:cs="Arial" w:eastAsia="Arial" w:hAnsi="Arial"/>
                <w:sz w:val="12"/>
                <w:szCs w:val="12"/>
                <w:color w:val="auto"/>
              </w:rPr>
              <w:t>$119</w:t>
            </w:r>
          </w:p>
        </w:tc>
        <w:tc>
          <w:tcPr>
            <w:tcW w:w="900" w:type="dxa"/>
            <w:vAlign w:val="bottom"/>
            <w:vMerge w:val="restart"/>
            <w:shd w:val="clear" w:color="auto" w:fill="9DBDE4"/>
          </w:tcPr>
          <w:p>
            <w:pPr>
              <w:jc w:val="right"/>
              <w:ind w:right="19"/>
              <w:spacing w:after="0"/>
              <w:rPr>
                <w:sz w:val="20"/>
                <w:szCs w:val="20"/>
                <w:color w:val="auto"/>
              </w:rPr>
            </w:pPr>
            <w:r>
              <w:rPr>
                <w:rFonts w:ascii="Arial" w:cs="Arial" w:eastAsia="Arial" w:hAnsi="Arial"/>
                <w:sz w:val="12"/>
                <w:szCs w:val="12"/>
                <w:color w:val="auto"/>
              </w:rPr>
              <w:t>$142,177,000</w:t>
            </w:r>
          </w:p>
        </w:tc>
        <w:tc>
          <w:tcPr>
            <w:tcW w:w="980" w:type="dxa"/>
            <w:vAlign w:val="bottom"/>
            <w:vMerge w:val="restart"/>
            <w:shd w:val="clear" w:color="auto" w:fill="9DBDE4"/>
          </w:tcPr>
          <w:p>
            <w:pPr>
              <w:jc w:val="right"/>
              <w:spacing w:after="0"/>
              <w:rPr>
                <w:sz w:val="20"/>
                <w:szCs w:val="20"/>
                <w:color w:val="auto"/>
              </w:rPr>
            </w:pPr>
            <w:r>
              <w:rPr>
                <w:rFonts w:ascii="Arial" w:cs="Arial" w:eastAsia="Arial" w:hAnsi="Arial"/>
                <w:sz w:val="12"/>
                <w:szCs w:val="12"/>
                <w:color w:val="auto"/>
              </w:rPr>
              <w:t>$1,015,300,000</w:t>
            </w:r>
          </w:p>
        </w:tc>
        <w:tc>
          <w:tcPr>
            <w:tcW w:w="0" w:type="dxa"/>
            <w:vAlign w:val="bottom"/>
          </w:tcPr>
          <w:p>
            <w:pPr>
              <w:spacing w:after="0"/>
              <w:rPr>
                <w:sz w:val="1"/>
                <w:szCs w:val="1"/>
                <w:color w:val="auto"/>
              </w:rPr>
            </w:pPr>
          </w:p>
        </w:tc>
      </w:tr>
      <w:tr>
        <w:trPr>
          <w:trHeight w:val="167"/>
        </w:trPr>
        <w:tc>
          <w:tcPr>
            <w:tcW w:w="460" w:type="dxa"/>
            <w:vAlign w:val="bottom"/>
            <w:tcBorders>
              <w:bottom w:val="single" w:sz="8" w:color="9DBDE4"/>
            </w:tcBorders>
            <w:vMerge w:val="continue"/>
            <w:shd w:val="clear" w:color="auto" w:fill="9DBDE4"/>
          </w:tcPr>
          <w:p>
            <w:pPr>
              <w:spacing w:after="0"/>
              <w:rPr>
                <w:sz w:val="14"/>
                <w:szCs w:val="14"/>
                <w:color w:val="auto"/>
              </w:rPr>
            </w:pPr>
          </w:p>
        </w:tc>
        <w:tc>
          <w:tcPr>
            <w:tcW w:w="920" w:type="dxa"/>
            <w:vAlign w:val="bottom"/>
            <w:tcBorders>
              <w:bottom w:val="single" w:sz="8" w:color="9DBDE4"/>
            </w:tcBorders>
            <w:vMerge w:val="continue"/>
            <w:shd w:val="clear" w:color="auto" w:fill="9DBDE4"/>
          </w:tcPr>
          <w:p>
            <w:pPr>
              <w:spacing w:after="0"/>
              <w:rPr>
                <w:sz w:val="14"/>
                <w:szCs w:val="14"/>
                <w:color w:val="auto"/>
              </w:rPr>
            </w:pPr>
          </w:p>
        </w:tc>
        <w:tc>
          <w:tcPr>
            <w:tcW w:w="920" w:type="dxa"/>
            <w:vAlign w:val="bottom"/>
            <w:tcBorders>
              <w:bottom w:val="single" w:sz="8" w:color="9DBDE4"/>
            </w:tcBorders>
            <w:vMerge w:val="continue"/>
            <w:shd w:val="clear" w:color="auto" w:fill="9DBDE4"/>
          </w:tcPr>
          <w:p>
            <w:pPr>
              <w:spacing w:after="0"/>
              <w:rPr>
                <w:sz w:val="14"/>
                <w:szCs w:val="14"/>
                <w:color w:val="auto"/>
              </w:rPr>
            </w:pPr>
          </w:p>
        </w:tc>
        <w:tc>
          <w:tcPr>
            <w:tcW w:w="880" w:type="dxa"/>
            <w:vAlign w:val="bottom"/>
            <w:tcBorders>
              <w:bottom w:val="single" w:sz="8" w:color="9DBDE4"/>
            </w:tcBorders>
            <w:vMerge w:val="continue"/>
            <w:shd w:val="clear" w:color="auto" w:fill="9DBDE4"/>
          </w:tcPr>
          <w:p>
            <w:pPr>
              <w:spacing w:after="0"/>
              <w:rPr>
                <w:sz w:val="14"/>
                <w:szCs w:val="14"/>
                <w:color w:val="auto"/>
              </w:rPr>
            </w:pPr>
          </w:p>
        </w:tc>
        <w:tc>
          <w:tcPr>
            <w:tcW w:w="880" w:type="dxa"/>
            <w:vAlign w:val="bottom"/>
            <w:tcBorders>
              <w:bottom w:val="single" w:sz="8" w:color="9DBDE4"/>
            </w:tcBorders>
            <w:vMerge w:val="continue"/>
            <w:shd w:val="clear" w:color="auto" w:fill="9DBDE4"/>
          </w:tcPr>
          <w:p>
            <w:pPr>
              <w:spacing w:after="0"/>
              <w:rPr>
                <w:sz w:val="14"/>
                <w:szCs w:val="14"/>
                <w:color w:val="auto"/>
              </w:rPr>
            </w:pPr>
          </w:p>
        </w:tc>
        <w:tc>
          <w:tcPr>
            <w:tcW w:w="900" w:type="dxa"/>
            <w:vAlign w:val="bottom"/>
            <w:tcBorders>
              <w:bottom w:val="single" w:sz="8" w:color="9DBDE4"/>
            </w:tcBorders>
            <w:vMerge w:val="continue"/>
            <w:shd w:val="clear" w:color="auto" w:fill="9DBDE4"/>
          </w:tcPr>
          <w:p>
            <w:pPr>
              <w:spacing w:after="0"/>
              <w:rPr>
                <w:sz w:val="14"/>
                <w:szCs w:val="14"/>
                <w:color w:val="auto"/>
              </w:rPr>
            </w:pPr>
          </w:p>
        </w:tc>
        <w:tc>
          <w:tcPr>
            <w:tcW w:w="900" w:type="dxa"/>
            <w:vAlign w:val="bottom"/>
            <w:tcBorders>
              <w:bottom w:val="single" w:sz="8" w:color="9DBDE4"/>
            </w:tcBorders>
            <w:vMerge w:val="continue"/>
            <w:shd w:val="clear" w:color="auto" w:fill="9DBDE4"/>
          </w:tcPr>
          <w:p>
            <w:pPr>
              <w:spacing w:after="0"/>
              <w:rPr>
                <w:sz w:val="14"/>
                <w:szCs w:val="14"/>
                <w:color w:val="auto"/>
              </w:rPr>
            </w:pPr>
          </w:p>
        </w:tc>
        <w:tc>
          <w:tcPr>
            <w:tcW w:w="780" w:type="dxa"/>
            <w:vAlign w:val="bottom"/>
            <w:tcBorders>
              <w:bottom w:val="single" w:sz="8" w:color="9DBDE4"/>
            </w:tcBorders>
            <w:vMerge w:val="continue"/>
            <w:shd w:val="clear" w:color="auto" w:fill="9DBDE4"/>
          </w:tcPr>
          <w:p>
            <w:pPr>
              <w:spacing w:after="0"/>
              <w:rPr>
                <w:sz w:val="14"/>
                <w:szCs w:val="14"/>
                <w:color w:val="auto"/>
              </w:rPr>
            </w:pPr>
          </w:p>
        </w:tc>
        <w:tc>
          <w:tcPr>
            <w:tcW w:w="820" w:type="dxa"/>
            <w:vAlign w:val="bottom"/>
            <w:tcBorders>
              <w:bottom w:val="single" w:sz="8" w:color="9DBDE4"/>
            </w:tcBorders>
            <w:vMerge w:val="continue"/>
            <w:shd w:val="clear" w:color="auto" w:fill="9DBDE4"/>
          </w:tcPr>
          <w:p>
            <w:pPr>
              <w:spacing w:after="0"/>
              <w:rPr>
                <w:sz w:val="14"/>
                <w:szCs w:val="14"/>
                <w:color w:val="auto"/>
              </w:rPr>
            </w:pPr>
          </w:p>
        </w:tc>
        <w:tc>
          <w:tcPr>
            <w:tcW w:w="900" w:type="dxa"/>
            <w:vAlign w:val="bottom"/>
            <w:tcBorders>
              <w:bottom w:val="single" w:sz="8" w:color="9DBDE4"/>
            </w:tcBorders>
            <w:vMerge w:val="continue"/>
            <w:shd w:val="clear" w:color="auto" w:fill="9DBDE4"/>
          </w:tcPr>
          <w:p>
            <w:pPr>
              <w:spacing w:after="0"/>
              <w:rPr>
                <w:sz w:val="14"/>
                <w:szCs w:val="14"/>
                <w:color w:val="auto"/>
              </w:rPr>
            </w:pPr>
          </w:p>
        </w:tc>
        <w:tc>
          <w:tcPr>
            <w:tcW w:w="980" w:type="dxa"/>
            <w:vAlign w:val="bottom"/>
            <w:tcBorders>
              <w:bottom w:val="single" w:sz="8" w:color="9DBDE4"/>
            </w:tcBorders>
            <w:vMerge w:val="continue"/>
            <w:shd w:val="clear" w:color="auto" w:fill="9DBDE4"/>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60" w:type="dxa"/>
            <w:vAlign w:val="bottom"/>
          </w:tcPr>
          <w:p>
            <w:pPr>
              <w:ind w:left="100"/>
              <w:spacing w:after="0"/>
              <w:rPr>
                <w:sz w:val="20"/>
                <w:szCs w:val="20"/>
                <w:color w:val="auto"/>
              </w:rPr>
            </w:pPr>
            <w:r>
              <w:rPr>
                <w:rFonts w:ascii="Arial" w:cs="Arial" w:eastAsia="Arial" w:hAnsi="Arial"/>
                <w:sz w:val="12"/>
                <w:szCs w:val="12"/>
                <w:color w:val="auto"/>
              </w:rPr>
              <w:t xml:space="preserve">2021   </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$8,768,059</w:t>
            </w:r>
          </w:p>
        </w:tc>
        <w:tc>
          <w:tcPr>
            <w:tcW w:w="880" w:type="dxa"/>
            <w:vAlign w:val="bottom"/>
          </w:tcPr>
          <w:p>
            <w:pPr>
              <w:jc w:val="right"/>
              <w:spacing w:after="0"/>
              <w:rPr>
                <w:sz w:val="20"/>
                <w:szCs w:val="20"/>
                <w:color w:val="auto"/>
              </w:rPr>
            </w:pPr>
            <w:r>
              <w:rPr>
                <w:rFonts w:ascii="Arial" w:cs="Arial" w:eastAsia="Arial" w:hAnsi="Arial"/>
                <w:sz w:val="12"/>
                <w:szCs w:val="12"/>
                <w:color w:val="auto"/>
              </w:rPr>
              <w:t>$2,003,203</w:t>
            </w:r>
          </w:p>
        </w:tc>
        <w:tc>
          <w:tcPr>
            <w:tcW w:w="900" w:type="dxa"/>
            <w:vAlign w:val="bottom"/>
          </w:tcPr>
          <w:p>
            <w:pPr>
              <w:ind w:left="240"/>
              <w:spacing w:after="0"/>
              <w:rPr>
                <w:sz w:val="20"/>
                <w:szCs w:val="20"/>
                <w:color w:val="auto"/>
              </w:rPr>
            </w:pPr>
            <w:r>
              <w:rPr>
                <w:rFonts w:ascii="Arial" w:cs="Arial" w:eastAsia="Arial" w:hAnsi="Arial"/>
                <w:sz w:val="12"/>
                <w:szCs w:val="12"/>
                <w:color w:val="auto"/>
              </w:rPr>
              <w:t>$2,667,749</w:t>
            </w:r>
          </w:p>
        </w:tc>
        <w:tc>
          <w:tcPr>
            <w:tcW w:w="900" w:type="dxa"/>
            <w:vAlign w:val="bottom"/>
          </w:tcPr>
          <w:p>
            <w:pPr>
              <w:jc w:val="right"/>
              <w:spacing w:after="0"/>
              <w:rPr>
                <w:sz w:val="20"/>
                <w:szCs w:val="20"/>
                <w:color w:val="auto"/>
              </w:rPr>
            </w:pPr>
            <w:r>
              <w:rPr>
                <w:rFonts w:ascii="Arial" w:cs="Arial" w:eastAsia="Arial" w:hAnsi="Arial"/>
                <w:sz w:val="12"/>
                <w:szCs w:val="12"/>
                <w:color w:val="auto"/>
              </w:rPr>
              <w:t>$1,273,508</w:t>
            </w:r>
          </w:p>
        </w:tc>
        <w:tc>
          <w:tcPr>
            <w:tcW w:w="780" w:type="dxa"/>
            <w:vAlign w:val="bottom"/>
          </w:tcPr>
          <w:p>
            <w:pPr>
              <w:jc w:val="right"/>
              <w:ind w:right="79"/>
              <w:spacing w:after="0"/>
              <w:rPr>
                <w:sz w:val="20"/>
                <w:szCs w:val="20"/>
                <w:color w:val="auto"/>
              </w:rPr>
            </w:pPr>
            <w:r>
              <w:rPr>
                <w:rFonts w:ascii="Arial" w:cs="Arial" w:eastAsia="Arial" w:hAnsi="Arial"/>
                <w:sz w:val="12"/>
                <w:szCs w:val="12"/>
                <w:color w:val="auto"/>
              </w:rPr>
              <w:t>$92</w:t>
            </w:r>
          </w:p>
        </w:tc>
        <w:tc>
          <w:tcPr>
            <w:tcW w:w="820" w:type="dxa"/>
            <w:vAlign w:val="bottom"/>
          </w:tcPr>
          <w:p>
            <w:pPr>
              <w:jc w:val="right"/>
              <w:ind w:right="119"/>
              <w:spacing w:after="0"/>
              <w:rPr>
                <w:sz w:val="20"/>
                <w:szCs w:val="20"/>
                <w:color w:val="auto"/>
              </w:rPr>
            </w:pPr>
            <w:r>
              <w:rPr>
                <w:rFonts w:ascii="Arial" w:cs="Arial" w:eastAsia="Arial" w:hAnsi="Arial"/>
                <w:sz w:val="12"/>
                <w:szCs w:val="12"/>
                <w:color w:val="auto"/>
              </w:rPr>
              <w:t>$130</w:t>
            </w:r>
          </w:p>
        </w:tc>
        <w:tc>
          <w:tcPr>
            <w:tcW w:w="900" w:type="dxa"/>
            <w:vAlign w:val="bottom"/>
          </w:tcPr>
          <w:p>
            <w:pPr>
              <w:jc w:val="right"/>
              <w:ind w:right="19"/>
              <w:spacing w:after="0"/>
              <w:rPr>
                <w:sz w:val="20"/>
                <w:szCs w:val="20"/>
                <w:color w:val="auto"/>
              </w:rPr>
            </w:pPr>
            <w:r>
              <w:rPr>
                <w:rFonts w:ascii="Arial" w:cs="Arial" w:eastAsia="Arial" w:hAnsi="Arial"/>
                <w:sz w:val="12"/>
                <w:szCs w:val="12"/>
                <w:color w:val="auto"/>
              </w:rPr>
              <w:t>$127,791,000</w:t>
            </w:r>
          </w:p>
        </w:tc>
        <w:tc>
          <w:tcPr>
            <w:tcW w:w="980" w:type="dxa"/>
            <w:vAlign w:val="bottom"/>
          </w:tcPr>
          <w:p>
            <w:pPr>
              <w:jc w:val="right"/>
              <w:spacing w:after="0"/>
              <w:rPr>
                <w:sz w:val="20"/>
                <w:szCs w:val="20"/>
                <w:color w:val="auto"/>
              </w:rPr>
            </w:pPr>
            <w:r>
              <w:rPr>
                <w:rFonts w:ascii="Arial" w:cs="Arial" w:eastAsia="Arial" w:hAnsi="Arial"/>
                <w:sz w:val="12"/>
                <w:szCs w:val="12"/>
                <w:color w:val="auto"/>
              </w:rPr>
              <w:t>$1,017,900,000</w:t>
            </w:r>
          </w:p>
        </w:tc>
        <w:tc>
          <w:tcPr>
            <w:tcW w:w="0" w:type="dxa"/>
            <w:vAlign w:val="bottom"/>
          </w:tcPr>
          <w:p>
            <w:pPr>
              <w:spacing w:after="0"/>
              <w:rPr>
                <w:sz w:val="1"/>
                <w:szCs w:val="1"/>
                <w:color w:val="auto"/>
              </w:rPr>
            </w:pPr>
          </w:p>
        </w:tc>
      </w:tr>
      <w:tr>
        <w:trPr>
          <w:trHeight w:val="40"/>
        </w:trPr>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2"/>
        </w:trPr>
        <w:tc>
          <w:tcPr>
            <w:tcW w:w="460" w:type="dxa"/>
            <w:vAlign w:val="bottom"/>
            <w:vMerge w:val="restart"/>
            <w:shd w:val="clear" w:color="auto" w:fill="9DBDE4"/>
          </w:tcPr>
          <w:p>
            <w:pPr>
              <w:ind w:left="100"/>
              <w:spacing w:after="0"/>
              <w:rPr>
                <w:sz w:val="20"/>
                <w:szCs w:val="20"/>
                <w:color w:val="auto"/>
              </w:rPr>
            </w:pPr>
            <w:r>
              <w:rPr>
                <w:rFonts w:ascii="Arial" w:cs="Arial" w:eastAsia="Arial" w:hAnsi="Arial"/>
                <w:sz w:val="12"/>
                <w:szCs w:val="12"/>
                <w:color w:val="auto"/>
              </w:rPr>
              <w:t xml:space="preserve">2020   </w:t>
            </w:r>
          </w:p>
        </w:tc>
        <w:tc>
          <w:tcPr>
            <w:tcW w:w="920" w:type="dxa"/>
            <w:vAlign w:val="bottom"/>
            <w:vMerge w:val="restart"/>
            <w:shd w:val="clear" w:color="auto" w:fill="9DBDE4"/>
          </w:tcPr>
          <w:p>
            <w:pPr>
              <w:jc w:val="right"/>
              <w:spacing w:after="0"/>
              <w:rPr>
                <w:sz w:val="20"/>
                <w:szCs w:val="20"/>
                <w:color w:val="auto"/>
              </w:rPr>
            </w:pPr>
            <w:r>
              <w:rPr>
                <w:rFonts w:ascii="Arial" w:cs="Arial" w:eastAsia="Arial" w:hAnsi="Arial"/>
                <w:sz w:val="12"/>
                <w:szCs w:val="12"/>
                <w:color w:val="auto"/>
              </w:rPr>
              <w:t>-</w:t>
            </w:r>
          </w:p>
        </w:tc>
        <w:tc>
          <w:tcPr>
            <w:tcW w:w="920" w:type="dxa"/>
            <w:vAlign w:val="bottom"/>
            <w:vMerge w:val="restart"/>
            <w:shd w:val="clear" w:color="auto" w:fill="9DBDE4"/>
          </w:tcPr>
          <w:p>
            <w:pPr>
              <w:jc w:val="right"/>
              <w:ind w:right="39"/>
              <w:spacing w:after="0"/>
              <w:rPr>
                <w:sz w:val="20"/>
                <w:szCs w:val="20"/>
                <w:color w:val="auto"/>
              </w:rPr>
            </w:pPr>
            <w:r>
              <w:rPr>
                <w:rFonts w:ascii="Arial" w:cs="Arial" w:eastAsia="Arial" w:hAnsi="Arial"/>
                <w:sz w:val="12"/>
                <w:szCs w:val="12"/>
                <w:color w:val="auto"/>
              </w:rPr>
              <w:t>-</w:t>
            </w:r>
          </w:p>
        </w:tc>
        <w:tc>
          <w:tcPr>
            <w:tcW w:w="880" w:type="dxa"/>
            <w:vAlign w:val="bottom"/>
            <w:vMerge w:val="restart"/>
            <w:shd w:val="clear" w:color="auto" w:fill="9DBDE4"/>
          </w:tcPr>
          <w:p>
            <w:pPr>
              <w:jc w:val="right"/>
              <w:ind w:right="19"/>
              <w:spacing w:after="0"/>
              <w:rPr>
                <w:sz w:val="20"/>
                <w:szCs w:val="20"/>
                <w:color w:val="auto"/>
              </w:rPr>
            </w:pPr>
            <w:r>
              <w:rPr>
                <w:rFonts w:ascii="Arial" w:cs="Arial" w:eastAsia="Arial" w:hAnsi="Arial"/>
                <w:sz w:val="12"/>
                <w:szCs w:val="12"/>
                <w:color w:val="auto"/>
              </w:rPr>
              <w:t>$7,001,341</w:t>
            </w:r>
          </w:p>
        </w:tc>
        <w:tc>
          <w:tcPr>
            <w:tcW w:w="880" w:type="dxa"/>
            <w:vAlign w:val="bottom"/>
            <w:vMerge w:val="restart"/>
            <w:shd w:val="clear" w:color="auto" w:fill="9DBDE4"/>
          </w:tcPr>
          <w:p>
            <w:pPr>
              <w:jc w:val="right"/>
              <w:spacing w:after="0"/>
              <w:rPr>
                <w:sz w:val="20"/>
                <w:szCs w:val="20"/>
                <w:color w:val="auto"/>
              </w:rPr>
            </w:pPr>
            <w:r>
              <w:rPr>
                <w:rFonts w:ascii="Arial" w:cs="Arial" w:eastAsia="Arial" w:hAnsi="Arial"/>
                <w:sz w:val="12"/>
                <w:szCs w:val="12"/>
                <w:color w:val="auto"/>
              </w:rPr>
              <w:t>$10,687,663</w:t>
            </w:r>
          </w:p>
        </w:tc>
        <w:tc>
          <w:tcPr>
            <w:tcW w:w="900" w:type="dxa"/>
            <w:vAlign w:val="bottom"/>
            <w:vMerge w:val="restart"/>
            <w:shd w:val="clear" w:color="auto" w:fill="9DBDE4"/>
          </w:tcPr>
          <w:p>
            <w:pPr>
              <w:ind w:left="240"/>
              <w:spacing w:after="0"/>
              <w:rPr>
                <w:sz w:val="20"/>
                <w:szCs w:val="20"/>
                <w:color w:val="auto"/>
              </w:rPr>
            </w:pPr>
            <w:r>
              <w:rPr>
                <w:rFonts w:ascii="Arial" w:cs="Arial" w:eastAsia="Arial" w:hAnsi="Arial"/>
                <w:sz w:val="12"/>
                <w:szCs w:val="12"/>
                <w:color w:val="auto"/>
              </w:rPr>
              <w:t>$2,241,571</w:t>
            </w:r>
          </w:p>
        </w:tc>
        <w:tc>
          <w:tcPr>
            <w:tcW w:w="900" w:type="dxa"/>
            <w:vAlign w:val="bottom"/>
            <w:vMerge w:val="restart"/>
            <w:shd w:val="clear" w:color="auto" w:fill="9DBDE4"/>
          </w:tcPr>
          <w:p>
            <w:pPr>
              <w:jc w:val="right"/>
              <w:spacing w:after="0"/>
              <w:rPr>
                <w:sz w:val="20"/>
                <w:szCs w:val="20"/>
                <w:color w:val="auto"/>
              </w:rPr>
            </w:pPr>
            <w:r>
              <w:rPr>
                <w:rFonts w:ascii="Arial" w:cs="Arial" w:eastAsia="Arial" w:hAnsi="Arial"/>
                <w:sz w:val="12"/>
                <w:szCs w:val="12"/>
                <w:color w:val="auto"/>
              </w:rPr>
              <w:t>$1,643,342</w:t>
            </w:r>
          </w:p>
        </w:tc>
        <w:tc>
          <w:tcPr>
            <w:tcW w:w="780" w:type="dxa"/>
            <w:vAlign w:val="bottom"/>
            <w:vMerge w:val="restart"/>
            <w:shd w:val="clear" w:color="auto" w:fill="9DBDE4"/>
          </w:tcPr>
          <w:p>
            <w:pPr>
              <w:jc w:val="right"/>
              <w:ind w:right="79"/>
              <w:spacing w:after="0"/>
              <w:rPr>
                <w:sz w:val="20"/>
                <w:szCs w:val="20"/>
                <w:color w:val="auto"/>
              </w:rPr>
            </w:pPr>
            <w:r>
              <w:rPr>
                <w:rFonts w:ascii="Arial" w:cs="Arial" w:eastAsia="Arial" w:hAnsi="Arial"/>
                <w:sz w:val="12"/>
                <w:szCs w:val="12"/>
                <w:color w:val="auto"/>
              </w:rPr>
              <w:t>$101</w:t>
            </w:r>
          </w:p>
        </w:tc>
        <w:tc>
          <w:tcPr>
            <w:tcW w:w="820" w:type="dxa"/>
            <w:vAlign w:val="bottom"/>
            <w:vMerge w:val="restart"/>
            <w:shd w:val="clear" w:color="auto" w:fill="9DBDE4"/>
          </w:tcPr>
          <w:p>
            <w:pPr>
              <w:jc w:val="right"/>
              <w:ind w:right="119"/>
              <w:spacing w:after="0"/>
              <w:rPr>
                <w:sz w:val="20"/>
                <w:szCs w:val="20"/>
                <w:color w:val="auto"/>
              </w:rPr>
            </w:pPr>
            <w:r>
              <w:rPr>
                <w:rFonts w:ascii="Arial" w:cs="Arial" w:eastAsia="Arial" w:hAnsi="Arial"/>
                <w:sz w:val="12"/>
                <w:szCs w:val="12"/>
                <w:color w:val="auto"/>
              </w:rPr>
              <w:t>$101</w:t>
            </w:r>
          </w:p>
        </w:tc>
        <w:tc>
          <w:tcPr>
            <w:tcW w:w="900" w:type="dxa"/>
            <w:vAlign w:val="bottom"/>
            <w:vMerge w:val="restart"/>
            <w:shd w:val="clear" w:color="auto" w:fill="9DBDE4"/>
          </w:tcPr>
          <w:p>
            <w:pPr>
              <w:jc w:val="right"/>
              <w:ind w:right="19"/>
              <w:spacing w:after="0"/>
              <w:rPr>
                <w:sz w:val="20"/>
                <w:szCs w:val="20"/>
                <w:color w:val="auto"/>
              </w:rPr>
            </w:pPr>
            <w:r>
              <w:rPr>
                <w:rFonts w:ascii="Arial" w:cs="Arial" w:eastAsia="Arial" w:hAnsi="Arial"/>
                <w:sz w:val="12"/>
                <w:szCs w:val="12"/>
                <w:color w:val="auto"/>
              </w:rPr>
              <w:t>$72,660,000</w:t>
            </w:r>
          </w:p>
        </w:tc>
        <w:tc>
          <w:tcPr>
            <w:tcW w:w="980" w:type="dxa"/>
            <w:vAlign w:val="bottom"/>
            <w:vMerge w:val="restart"/>
            <w:shd w:val="clear" w:color="auto" w:fill="9DBDE4"/>
          </w:tcPr>
          <w:p>
            <w:pPr>
              <w:jc w:val="right"/>
              <w:spacing w:after="0"/>
              <w:rPr>
                <w:sz w:val="20"/>
                <w:szCs w:val="20"/>
                <w:color w:val="auto"/>
              </w:rPr>
            </w:pPr>
            <w:r>
              <w:rPr>
                <w:rFonts w:ascii="Arial" w:cs="Arial" w:eastAsia="Arial" w:hAnsi="Arial"/>
                <w:sz w:val="12"/>
                <w:szCs w:val="12"/>
                <w:color w:val="auto"/>
              </w:rPr>
              <w:t>$960,000,000</w:t>
            </w:r>
          </w:p>
        </w:tc>
        <w:tc>
          <w:tcPr>
            <w:tcW w:w="0" w:type="dxa"/>
            <w:vAlign w:val="bottom"/>
          </w:tcPr>
          <w:p>
            <w:pPr>
              <w:spacing w:after="0"/>
              <w:rPr>
                <w:sz w:val="1"/>
                <w:szCs w:val="1"/>
                <w:color w:val="auto"/>
              </w:rPr>
            </w:pPr>
          </w:p>
        </w:tc>
      </w:tr>
      <w:tr>
        <w:trPr>
          <w:trHeight w:val="167"/>
        </w:trPr>
        <w:tc>
          <w:tcPr>
            <w:tcW w:w="460" w:type="dxa"/>
            <w:vAlign w:val="bottom"/>
            <w:tcBorders>
              <w:bottom w:val="single" w:sz="8" w:color="9DBDE4"/>
            </w:tcBorders>
            <w:vMerge w:val="continue"/>
            <w:shd w:val="clear" w:color="auto" w:fill="9DBDE4"/>
          </w:tcPr>
          <w:p>
            <w:pPr>
              <w:spacing w:after="0"/>
              <w:rPr>
                <w:sz w:val="14"/>
                <w:szCs w:val="14"/>
                <w:color w:val="auto"/>
              </w:rPr>
            </w:pPr>
          </w:p>
        </w:tc>
        <w:tc>
          <w:tcPr>
            <w:tcW w:w="920" w:type="dxa"/>
            <w:vAlign w:val="bottom"/>
            <w:tcBorders>
              <w:bottom w:val="single" w:sz="8" w:color="9DBDE4"/>
            </w:tcBorders>
            <w:vMerge w:val="continue"/>
            <w:shd w:val="clear" w:color="auto" w:fill="9DBDE4"/>
          </w:tcPr>
          <w:p>
            <w:pPr>
              <w:spacing w:after="0"/>
              <w:rPr>
                <w:sz w:val="14"/>
                <w:szCs w:val="14"/>
                <w:color w:val="auto"/>
              </w:rPr>
            </w:pPr>
          </w:p>
        </w:tc>
        <w:tc>
          <w:tcPr>
            <w:tcW w:w="920" w:type="dxa"/>
            <w:vAlign w:val="bottom"/>
            <w:tcBorders>
              <w:bottom w:val="single" w:sz="8" w:color="9DBDE4"/>
            </w:tcBorders>
            <w:vMerge w:val="continue"/>
            <w:shd w:val="clear" w:color="auto" w:fill="9DBDE4"/>
          </w:tcPr>
          <w:p>
            <w:pPr>
              <w:spacing w:after="0"/>
              <w:rPr>
                <w:sz w:val="14"/>
                <w:szCs w:val="14"/>
                <w:color w:val="auto"/>
              </w:rPr>
            </w:pPr>
          </w:p>
        </w:tc>
        <w:tc>
          <w:tcPr>
            <w:tcW w:w="880" w:type="dxa"/>
            <w:vAlign w:val="bottom"/>
            <w:tcBorders>
              <w:bottom w:val="single" w:sz="8" w:color="9DBDE4"/>
            </w:tcBorders>
            <w:vMerge w:val="continue"/>
            <w:shd w:val="clear" w:color="auto" w:fill="9DBDE4"/>
          </w:tcPr>
          <w:p>
            <w:pPr>
              <w:spacing w:after="0"/>
              <w:rPr>
                <w:sz w:val="14"/>
                <w:szCs w:val="14"/>
                <w:color w:val="auto"/>
              </w:rPr>
            </w:pPr>
          </w:p>
        </w:tc>
        <w:tc>
          <w:tcPr>
            <w:tcW w:w="880" w:type="dxa"/>
            <w:vAlign w:val="bottom"/>
            <w:tcBorders>
              <w:bottom w:val="single" w:sz="8" w:color="9DBDE4"/>
            </w:tcBorders>
            <w:vMerge w:val="continue"/>
            <w:shd w:val="clear" w:color="auto" w:fill="9DBDE4"/>
          </w:tcPr>
          <w:p>
            <w:pPr>
              <w:spacing w:after="0"/>
              <w:rPr>
                <w:sz w:val="14"/>
                <w:szCs w:val="14"/>
                <w:color w:val="auto"/>
              </w:rPr>
            </w:pPr>
          </w:p>
        </w:tc>
        <w:tc>
          <w:tcPr>
            <w:tcW w:w="900" w:type="dxa"/>
            <w:vAlign w:val="bottom"/>
            <w:tcBorders>
              <w:bottom w:val="single" w:sz="8" w:color="9DBDE4"/>
            </w:tcBorders>
            <w:vMerge w:val="continue"/>
            <w:shd w:val="clear" w:color="auto" w:fill="9DBDE4"/>
          </w:tcPr>
          <w:p>
            <w:pPr>
              <w:spacing w:after="0"/>
              <w:rPr>
                <w:sz w:val="14"/>
                <w:szCs w:val="14"/>
                <w:color w:val="auto"/>
              </w:rPr>
            </w:pPr>
          </w:p>
        </w:tc>
        <w:tc>
          <w:tcPr>
            <w:tcW w:w="900" w:type="dxa"/>
            <w:vAlign w:val="bottom"/>
            <w:tcBorders>
              <w:bottom w:val="single" w:sz="8" w:color="9DBDE4"/>
            </w:tcBorders>
            <w:vMerge w:val="continue"/>
            <w:shd w:val="clear" w:color="auto" w:fill="9DBDE4"/>
          </w:tcPr>
          <w:p>
            <w:pPr>
              <w:spacing w:after="0"/>
              <w:rPr>
                <w:sz w:val="14"/>
                <w:szCs w:val="14"/>
                <w:color w:val="auto"/>
              </w:rPr>
            </w:pPr>
          </w:p>
        </w:tc>
        <w:tc>
          <w:tcPr>
            <w:tcW w:w="780" w:type="dxa"/>
            <w:vAlign w:val="bottom"/>
            <w:tcBorders>
              <w:bottom w:val="single" w:sz="8" w:color="9DBDE4"/>
            </w:tcBorders>
            <w:vMerge w:val="continue"/>
            <w:shd w:val="clear" w:color="auto" w:fill="9DBDE4"/>
          </w:tcPr>
          <w:p>
            <w:pPr>
              <w:spacing w:after="0"/>
              <w:rPr>
                <w:sz w:val="14"/>
                <w:szCs w:val="14"/>
                <w:color w:val="auto"/>
              </w:rPr>
            </w:pPr>
          </w:p>
        </w:tc>
        <w:tc>
          <w:tcPr>
            <w:tcW w:w="820" w:type="dxa"/>
            <w:vAlign w:val="bottom"/>
            <w:tcBorders>
              <w:bottom w:val="single" w:sz="8" w:color="9DBDE4"/>
            </w:tcBorders>
            <w:vMerge w:val="continue"/>
            <w:shd w:val="clear" w:color="auto" w:fill="9DBDE4"/>
          </w:tcPr>
          <w:p>
            <w:pPr>
              <w:spacing w:after="0"/>
              <w:rPr>
                <w:sz w:val="14"/>
                <w:szCs w:val="14"/>
                <w:color w:val="auto"/>
              </w:rPr>
            </w:pPr>
          </w:p>
        </w:tc>
        <w:tc>
          <w:tcPr>
            <w:tcW w:w="900" w:type="dxa"/>
            <w:vAlign w:val="bottom"/>
            <w:tcBorders>
              <w:bottom w:val="single" w:sz="8" w:color="9DBDE4"/>
            </w:tcBorders>
            <w:vMerge w:val="continue"/>
            <w:shd w:val="clear" w:color="auto" w:fill="9DBDE4"/>
          </w:tcPr>
          <w:p>
            <w:pPr>
              <w:spacing w:after="0"/>
              <w:rPr>
                <w:sz w:val="14"/>
                <w:szCs w:val="14"/>
                <w:color w:val="auto"/>
              </w:rPr>
            </w:pPr>
          </w:p>
        </w:tc>
        <w:tc>
          <w:tcPr>
            <w:tcW w:w="980" w:type="dxa"/>
            <w:vAlign w:val="bottom"/>
            <w:tcBorders>
              <w:bottom w:val="single" w:sz="8" w:color="9DBDE4"/>
            </w:tcBorders>
            <w:vMerge w:val="continue"/>
            <w:shd w:val="clear" w:color="auto" w:fill="9DBDE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284993"/>
          </w:tcPr>
          <w:p>
            <w:pPr>
              <w:spacing w:after="0" w:line="20" w:lineRule="exact"/>
              <w:rPr>
                <w:sz w:val="1"/>
                <w:szCs w:val="1"/>
                <w:color w:val="auto"/>
              </w:rPr>
            </w:pPr>
          </w:p>
        </w:tc>
        <w:tc>
          <w:tcPr>
            <w:tcW w:w="920" w:type="dxa"/>
            <w:vAlign w:val="bottom"/>
            <w:shd w:val="clear" w:color="auto" w:fill="284993"/>
          </w:tcPr>
          <w:p>
            <w:pPr>
              <w:spacing w:after="0" w:line="20" w:lineRule="exact"/>
              <w:rPr>
                <w:sz w:val="1"/>
                <w:szCs w:val="1"/>
                <w:color w:val="auto"/>
              </w:rPr>
            </w:pPr>
          </w:p>
        </w:tc>
        <w:tc>
          <w:tcPr>
            <w:tcW w:w="920" w:type="dxa"/>
            <w:vAlign w:val="bottom"/>
            <w:shd w:val="clear" w:color="auto" w:fill="284993"/>
          </w:tcPr>
          <w:p>
            <w:pPr>
              <w:spacing w:after="0" w:line="20" w:lineRule="exact"/>
              <w:rPr>
                <w:sz w:val="1"/>
                <w:szCs w:val="1"/>
                <w:color w:val="auto"/>
              </w:rPr>
            </w:pPr>
          </w:p>
        </w:tc>
        <w:tc>
          <w:tcPr>
            <w:tcW w:w="880" w:type="dxa"/>
            <w:vAlign w:val="bottom"/>
            <w:shd w:val="clear" w:color="auto" w:fill="284993"/>
          </w:tcPr>
          <w:p>
            <w:pPr>
              <w:spacing w:after="0" w:line="20" w:lineRule="exact"/>
              <w:rPr>
                <w:sz w:val="1"/>
                <w:szCs w:val="1"/>
                <w:color w:val="auto"/>
              </w:rPr>
            </w:pPr>
          </w:p>
        </w:tc>
        <w:tc>
          <w:tcPr>
            <w:tcW w:w="880" w:type="dxa"/>
            <w:vAlign w:val="bottom"/>
            <w:shd w:val="clear" w:color="auto" w:fill="284993"/>
          </w:tcPr>
          <w:p>
            <w:pPr>
              <w:spacing w:after="0" w:line="20" w:lineRule="exact"/>
              <w:rPr>
                <w:sz w:val="1"/>
                <w:szCs w:val="1"/>
                <w:color w:val="auto"/>
              </w:rPr>
            </w:pPr>
          </w:p>
        </w:tc>
        <w:tc>
          <w:tcPr>
            <w:tcW w:w="900" w:type="dxa"/>
            <w:vAlign w:val="bottom"/>
            <w:shd w:val="clear" w:color="auto" w:fill="284993"/>
          </w:tcPr>
          <w:p>
            <w:pPr>
              <w:spacing w:after="0" w:line="20" w:lineRule="exact"/>
              <w:rPr>
                <w:sz w:val="1"/>
                <w:szCs w:val="1"/>
                <w:color w:val="auto"/>
              </w:rPr>
            </w:pPr>
          </w:p>
        </w:tc>
        <w:tc>
          <w:tcPr>
            <w:tcW w:w="900" w:type="dxa"/>
            <w:vAlign w:val="bottom"/>
            <w:shd w:val="clear" w:color="auto" w:fill="284993"/>
          </w:tcPr>
          <w:p>
            <w:pPr>
              <w:spacing w:after="0" w:line="20" w:lineRule="exact"/>
              <w:rPr>
                <w:sz w:val="1"/>
                <w:szCs w:val="1"/>
                <w:color w:val="auto"/>
              </w:rPr>
            </w:pPr>
          </w:p>
        </w:tc>
        <w:tc>
          <w:tcPr>
            <w:tcW w:w="780" w:type="dxa"/>
            <w:vAlign w:val="bottom"/>
            <w:shd w:val="clear" w:color="auto" w:fill="284993"/>
          </w:tcPr>
          <w:p>
            <w:pPr>
              <w:spacing w:after="0" w:line="20" w:lineRule="exact"/>
              <w:rPr>
                <w:sz w:val="1"/>
                <w:szCs w:val="1"/>
                <w:color w:val="auto"/>
              </w:rPr>
            </w:pPr>
          </w:p>
        </w:tc>
        <w:tc>
          <w:tcPr>
            <w:tcW w:w="820" w:type="dxa"/>
            <w:vAlign w:val="bottom"/>
            <w:shd w:val="clear" w:color="auto" w:fill="284993"/>
          </w:tcPr>
          <w:p>
            <w:pPr>
              <w:spacing w:after="0" w:line="20" w:lineRule="exact"/>
              <w:rPr>
                <w:sz w:val="1"/>
                <w:szCs w:val="1"/>
                <w:color w:val="auto"/>
              </w:rPr>
            </w:pPr>
          </w:p>
        </w:tc>
        <w:tc>
          <w:tcPr>
            <w:tcW w:w="900" w:type="dxa"/>
            <w:vAlign w:val="bottom"/>
            <w:shd w:val="clear" w:color="auto" w:fill="284993"/>
          </w:tcPr>
          <w:p>
            <w:pPr>
              <w:spacing w:after="0" w:line="20" w:lineRule="exact"/>
              <w:rPr>
                <w:sz w:val="1"/>
                <w:szCs w:val="1"/>
                <w:color w:val="auto"/>
              </w:rPr>
            </w:pPr>
          </w:p>
        </w:tc>
        <w:tc>
          <w:tcPr>
            <w:tcW w:w="980" w:type="dxa"/>
            <w:vAlign w:val="bottom"/>
            <w:shd w:val="clear" w:color="auto" w:fill="28499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-1195705</wp:posOffset>
            </wp:positionV>
            <wp:extent cx="5941060" cy="11963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41060" cy="1196340"/>
                    </a:xfrm>
                    <a:prstGeom prst="rect">
                      <a:avLst/>
                    </a:prstGeom>
                    <a:noFill/>
                  </pic:spPr>
                </pic:pic>
              </a:graphicData>
            </a:graphic>
          </wp:anchor>
        </w:drawing>
      </w:r>
    </w:p>
    <w:p>
      <w:pPr>
        <w:spacing w:after="0" w:line="40" w:lineRule="exact"/>
        <w:rPr>
          <w:sz w:val="20"/>
          <w:szCs w:val="20"/>
          <w:color w:val="auto"/>
        </w:rPr>
      </w:pPr>
    </w:p>
    <w:p>
      <w:pPr>
        <w:ind w:left="280" w:hanging="274"/>
        <w:spacing w:after="0"/>
        <w:tabs>
          <w:tab w:leader="none" w:pos="2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Company’s PEOs for the applicable years were as follows:</w:t>
      </w:r>
    </w:p>
    <w:p>
      <w:pPr>
        <w:spacing w:after="0" w:line="30" w:lineRule="exact"/>
        <w:rPr>
          <w:rFonts w:ascii="Arial" w:cs="Arial" w:eastAsia="Arial" w:hAnsi="Arial"/>
          <w:sz w:val="12"/>
          <w:szCs w:val="12"/>
          <w:color w:val="auto"/>
        </w:rPr>
      </w:pPr>
    </w:p>
    <w:p>
      <w:pPr>
        <w:ind w:left="280"/>
        <w:spacing w:after="0"/>
        <w:rPr>
          <w:rFonts w:ascii="Arial" w:cs="Arial" w:eastAsia="Arial" w:hAnsi="Arial"/>
          <w:sz w:val="12"/>
          <w:szCs w:val="12"/>
          <w:color w:val="auto"/>
        </w:rPr>
      </w:pPr>
      <w:r>
        <w:rPr>
          <w:rFonts w:ascii="Arial" w:cs="Arial" w:eastAsia="Arial" w:hAnsi="Arial"/>
          <w:sz w:val="12"/>
          <w:szCs w:val="12"/>
          <w:color w:val="auto"/>
        </w:rPr>
        <w:t>–   2023: Thomas W. Warsop III served as the Interim CEO from January 1, 2023 to May 31, 2023 and CEO from June 1, 2023 to December 31, 2023 (“PEO 1”).</w:t>
      </w:r>
    </w:p>
    <w:p>
      <w:pPr>
        <w:spacing w:after="0" w:line="3" w:lineRule="exact"/>
        <w:rPr>
          <w:rFonts w:ascii="Arial" w:cs="Arial" w:eastAsia="Arial" w:hAnsi="Arial"/>
          <w:sz w:val="12"/>
          <w:szCs w:val="12"/>
          <w:color w:val="auto"/>
        </w:rPr>
      </w:pPr>
    </w:p>
    <w:p>
      <w:pPr>
        <w:ind w:left="560" w:right="700" w:hanging="273"/>
        <w:spacing w:after="0" w:line="226" w:lineRule="auto"/>
        <w:rPr>
          <w:rFonts w:ascii="Arial" w:cs="Arial" w:eastAsia="Arial" w:hAnsi="Arial"/>
          <w:sz w:val="12"/>
          <w:szCs w:val="12"/>
          <w:color w:val="auto"/>
        </w:rPr>
      </w:pPr>
      <w:r>
        <w:rPr>
          <w:rFonts w:ascii="Arial" w:cs="Arial" w:eastAsia="Arial" w:hAnsi="Arial"/>
          <w:sz w:val="12"/>
          <w:szCs w:val="12"/>
          <w:color w:val="auto"/>
        </w:rPr>
        <w:t>– 2022: Odilon Almeida served as the CEO from January 1, 2022 to November 7, 2022 (“PEO 2”); Thomas W. Warsop III served as the Interim CEO from November 7, 2022 to December 31, 2022.</w:t>
      </w:r>
    </w:p>
    <w:p>
      <w:pPr>
        <w:ind w:left="280"/>
        <w:spacing w:after="0" w:line="226" w:lineRule="auto"/>
        <w:rPr>
          <w:rFonts w:ascii="Arial" w:cs="Arial" w:eastAsia="Arial" w:hAnsi="Arial"/>
          <w:sz w:val="12"/>
          <w:szCs w:val="12"/>
          <w:color w:val="auto"/>
        </w:rPr>
      </w:pPr>
      <w:r>
        <w:rPr>
          <w:rFonts w:ascii="Arial" w:cs="Arial" w:eastAsia="Arial" w:hAnsi="Arial"/>
          <w:sz w:val="12"/>
          <w:szCs w:val="12"/>
          <w:color w:val="auto"/>
        </w:rPr>
        <w:t>–   2021: Odilon Almeida served as the CEO for the entirety of 2021.</w:t>
      </w:r>
    </w:p>
    <w:p>
      <w:pPr>
        <w:ind w:left="280"/>
        <w:spacing w:after="0" w:line="226" w:lineRule="auto"/>
        <w:rPr>
          <w:rFonts w:ascii="Arial" w:cs="Arial" w:eastAsia="Arial" w:hAnsi="Arial"/>
          <w:sz w:val="12"/>
          <w:szCs w:val="12"/>
          <w:color w:val="auto"/>
        </w:rPr>
      </w:pPr>
      <w:r>
        <w:rPr>
          <w:rFonts w:ascii="Arial" w:cs="Arial" w:eastAsia="Arial" w:hAnsi="Arial"/>
          <w:sz w:val="12"/>
          <w:szCs w:val="12"/>
          <w:color w:val="auto"/>
        </w:rPr>
        <w:t>–   2020: Odilon Almeida served as the CEO from March 9, 2020 to December 31, 2020.</w:t>
      </w:r>
    </w:p>
    <w:p>
      <w:pPr>
        <w:jc w:val="both"/>
        <w:ind w:left="560" w:right="160" w:hanging="273"/>
        <w:spacing w:after="0" w:line="232" w:lineRule="auto"/>
        <w:rPr>
          <w:rFonts w:ascii="Arial" w:cs="Arial" w:eastAsia="Arial" w:hAnsi="Arial"/>
          <w:sz w:val="12"/>
          <w:szCs w:val="12"/>
          <w:color w:val="auto"/>
        </w:rPr>
      </w:pPr>
      <w:r>
        <w:rPr>
          <w:rFonts w:ascii="Arial" w:cs="Arial" w:eastAsia="Arial" w:hAnsi="Arial"/>
          <w:sz w:val="12"/>
          <w:szCs w:val="12"/>
          <w:color w:val="auto"/>
        </w:rPr>
        <w:t>– 2020: Note that Craig Saks is being reported as a non-PEO NEO for the entirety of 2020, even though he served as the interim CEO from January 1, 2020 until March 8, 2020. This is because the majority of his compensation awarded and earned reflects his time as a non-PEO NEO and his compensation in the summary compensation table is not divided between his time as PEO and a non-PEO NEO. If Mr. Saks was disclosed as a PEO for the time he spent as interim CEO from January 1, 2020 until March 8, 2020, we estimate that his total compensation as reported in the summary compensation table would have been $85,385 and his compensation actually paid would have been -$119,010.</w:t>
      </w:r>
    </w:p>
    <w:p>
      <w:pPr>
        <w:spacing w:after="0" w:line="48" w:lineRule="exact"/>
        <w:rPr>
          <w:rFonts w:ascii="Arial" w:cs="Arial" w:eastAsia="Arial" w:hAnsi="Arial"/>
          <w:sz w:val="12"/>
          <w:szCs w:val="12"/>
          <w:color w:val="auto"/>
        </w:rPr>
      </w:pPr>
    </w:p>
    <w:p>
      <w:pPr>
        <w:ind w:left="280" w:hanging="274"/>
        <w:spacing w:after="0"/>
        <w:tabs>
          <w:tab w:leader="none" w:pos="2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Company’s non-PEO NEOs for the applicable years were as follows:</w:t>
      </w:r>
    </w:p>
    <w:p>
      <w:pPr>
        <w:spacing w:after="0" w:line="30" w:lineRule="exact"/>
        <w:rPr>
          <w:rFonts w:ascii="Arial" w:cs="Arial" w:eastAsia="Arial" w:hAnsi="Arial"/>
          <w:sz w:val="12"/>
          <w:szCs w:val="12"/>
          <w:color w:val="auto"/>
        </w:rPr>
      </w:pPr>
    </w:p>
    <w:p>
      <w:pPr>
        <w:ind w:left="280"/>
        <w:spacing w:after="0"/>
        <w:rPr>
          <w:rFonts w:ascii="Arial" w:cs="Arial" w:eastAsia="Arial" w:hAnsi="Arial"/>
          <w:sz w:val="12"/>
          <w:szCs w:val="12"/>
          <w:color w:val="auto"/>
        </w:rPr>
      </w:pPr>
      <w:r>
        <w:rPr>
          <w:rFonts w:ascii="Arial" w:cs="Arial" w:eastAsia="Arial" w:hAnsi="Arial"/>
          <w:sz w:val="12"/>
          <w:szCs w:val="12"/>
          <w:color w:val="auto"/>
        </w:rPr>
        <w:t>–   2023: Scott W. Behrens, Alessandro Silva, Deborah L. Guerra, and Abraham Kuruvilla.</w:t>
      </w:r>
    </w:p>
    <w:p>
      <w:pPr>
        <w:spacing w:after="0" w:line="3" w:lineRule="exact"/>
        <w:rPr>
          <w:rFonts w:ascii="Arial" w:cs="Arial" w:eastAsia="Arial" w:hAnsi="Arial"/>
          <w:sz w:val="12"/>
          <w:szCs w:val="12"/>
          <w:color w:val="auto"/>
        </w:rPr>
      </w:pPr>
    </w:p>
    <w:p>
      <w:pPr>
        <w:ind w:left="280"/>
        <w:spacing w:after="0" w:line="226" w:lineRule="auto"/>
        <w:rPr>
          <w:rFonts w:ascii="Arial" w:cs="Arial" w:eastAsia="Arial" w:hAnsi="Arial"/>
          <w:sz w:val="12"/>
          <w:szCs w:val="12"/>
          <w:color w:val="auto"/>
        </w:rPr>
      </w:pPr>
      <w:r>
        <w:rPr>
          <w:rFonts w:ascii="Arial" w:cs="Arial" w:eastAsia="Arial" w:hAnsi="Arial"/>
          <w:sz w:val="12"/>
          <w:szCs w:val="12"/>
          <w:color w:val="auto"/>
        </w:rPr>
        <w:t>–   2022: Scott W. Behrens, Ram K. Puppala, Alessandro Silva, Deborah L. Guerra, Eve Aretakis, and Jeremy M. Wilmot.</w:t>
      </w:r>
    </w:p>
    <w:p>
      <w:pPr>
        <w:ind w:left="280"/>
        <w:spacing w:after="0" w:line="226" w:lineRule="auto"/>
        <w:rPr>
          <w:rFonts w:ascii="Arial" w:cs="Arial" w:eastAsia="Arial" w:hAnsi="Arial"/>
          <w:sz w:val="12"/>
          <w:szCs w:val="12"/>
          <w:color w:val="auto"/>
        </w:rPr>
      </w:pPr>
      <w:r>
        <w:rPr>
          <w:rFonts w:ascii="Arial" w:cs="Arial" w:eastAsia="Arial" w:hAnsi="Arial"/>
          <w:sz w:val="12"/>
          <w:szCs w:val="12"/>
          <w:color w:val="auto"/>
        </w:rPr>
        <w:t>–   2021: Scott W. Behrens, Eve Aretakis, Dennis P. Byrnes, Jeremy M. Wilmot, and Ram K. Puppala.</w:t>
      </w:r>
    </w:p>
    <w:p>
      <w:pPr>
        <w:ind w:left="280"/>
        <w:spacing w:after="0"/>
        <w:rPr>
          <w:rFonts w:ascii="Arial" w:cs="Arial" w:eastAsia="Arial" w:hAnsi="Arial"/>
          <w:sz w:val="12"/>
          <w:szCs w:val="12"/>
          <w:color w:val="auto"/>
        </w:rPr>
      </w:pPr>
      <w:r>
        <w:rPr>
          <w:rFonts w:ascii="Arial" w:cs="Arial" w:eastAsia="Arial" w:hAnsi="Arial"/>
          <w:sz w:val="12"/>
          <w:szCs w:val="12"/>
          <w:color w:val="auto"/>
        </w:rPr>
        <w:t>–   2020: Scott W. Behrens, Dennis P. Byrnes, Eve Aretakis, Jeremy M. Wilmot, and Craig Saks.</w:t>
      </w:r>
    </w:p>
    <w:p>
      <w:pPr>
        <w:spacing w:after="0" w:line="18" w:lineRule="exact"/>
        <w:rPr>
          <w:rFonts w:ascii="Arial" w:cs="Arial" w:eastAsia="Arial" w:hAnsi="Arial"/>
          <w:sz w:val="12"/>
          <w:szCs w:val="12"/>
          <w:color w:val="auto"/>
        </w:rPr>
      </w:pPr>
    </w:p>
    <w:p>
      <w:pPr>
        <w:ind w:left="280" w:right="140" w:hanging="274"/>
        <w:spacing w:after="0" w:line="236" w:lineRule="auto"/>
        <w:tabs>
          <w:tab w:leader="none" w:pos="2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Amounts reported in these columns represent (i) the total compensation reported in the Summary Compensation Table for the applicable year for the Company’s PEOs and (ii) the average of the total compensation reported in the Summary Compensation Table for the applicable year for the Company’s non-PEO NEOs.</w:t>
      </w:r>
    </w:p>
    <w:p>
      <w:pPr>
        <w:ind w:left="280" w:right="100" w:hanging="274"/>
        <w:spacing w:after="0" w:line="233" w:lineRule="auto"/>
        <w:tabs>
          <w:tab w:leader="none" w:pos="2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Amounts reported in these columns represent the “compensation actually paid” to the Company’s PEOs based on the total compensation reported in the Summary Compensation Table for each fiscal year, as adjusted in accordance with SEC rules. For 2023, PEO 1 total compensation reported in the Summary Compensation Table was adjusted as shown in the table below. For information on the calculation of “compensation actually paid” for 2020, 2021 and 2022, please see the “pay versus performance” disclosure in our 2023 definitive proxy statement.</w:t>
      </w:r>
    </w:p>
    <w:p>
      <w:pPr>
        <w:spacing w:after="0" w:line="209"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FFFFFF"/>
        </w:rPr>
        <w:t>PEO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-107315</wp:posOffset>
            </wp:positionV>
            <wp:extent cx="5941060" cy="16338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41060" cy="163385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2140" w:type="dxa"/>
            <w:vAlign w:val="bottom"/>
          </w:tcPr>
          <w:p>
            <w:pPr>
              <w:jc w:val="right"/>
              <w:ind w:right="302"/>
              <w:spacing w:after="0"/>
              <w:rPr>
                <w:sz w:val="20"/>
                <w:szCs w:val="20"/>
                <w:color w:val="auto"/>
              </w:rPr>
            </w:pPr>
            <w:r>
              <w:rPr>
                <w:rFonts w:ascii="Arial" w:cs="Arial" w:eastAsia="Arial" w:hAnsi="Arial"/>
                <w:sz w:val="16"/>
                <w:szCs w:val="16"/>
                <w:b w:val="1"/>
                <w:bCs w:val="1"/>
                <w:color w:val="FFFFFF"/>
              </w:rPr>
              <w:t>2023</w:t>
            </w:r>
          </w:p>
        </w:tc>
      </w:tr>
      <w:tr>
        <w:trPr>
          <w:trHeight w:val="194"/>
        </w:trPr>
        <w:tc>
          <w:tcPr>
            <w:tcW w:w="7200" w:type="dxa"/>
            <w:vAlign w:val="bottom"/>
          </w:tcPr>
          <w:p>
            <w:pPr>
              <w:ind w:left="420"/>
              <w:spacing w:after="0"/>
              <w:rPr>
                <w:sz w:val="20"/>
                <w:szCs w:val="20"/>
                <w:color w:val="auto"/>
              </w:rPr>
            </w:pPr>
            <w:r>
              <w:rPr>
                <w:rFonts w:ascii="Arial" w:cs="Arial" w:eastAsia="Arial" w:hAnsi="Arial"/>
                <w:sz w:val="16"/>
                <w:szCs w:val="16"/>
                <w:color w:val="auto"/>
              </w:rPr>
              <w:t>Summary Compensation Table - Total Compensation</w:t>
            </w:r>
          </w:p>
        </w:tc>
        <w:tc>
          <w:tcPr>
            <w:tcW w:w="2140" w:type="dxa"/>
            <w:vAlign w:val="bottom"/>
          </w:tcPr>
          <w:p>
            <w:pPr>
              <w:jc w:val="right"/>
              <w:ind w:right="2"/>
              <w:spacing w:after="0"/>
              <w:rPr>
                <w:sz w:val="20"/>
                <w:szCs w:val="20"/>
                <w:color w:val="auto"/>
              </w:rPr>
            </w:pPr>
            <w:r>
              <w:rPr>
                <w:rFonts w:ascii="Arial" w:cs="Arial" w:eastAsia="Arial" w:hAnsi="Arial"/>
                <w:sz w:val="16"/>
                <w:szCs w:val="16"/>
                <w:color w:val="auto"/>
              </w:rPr>
              <w:t>$5,231,678</w:t>
            </w:r>
          </w:p>
        </w:tc>
      </w:tr>
      <w:tr>
        <w:trPr>
          <w:trHeight w:val="182"/>
        </w:trPr>
        <w:tc>
          <w:tcPr>
            <w:tcW w:w="7200" w:type="dxa"/>
            <w:vAlign w:val="bottom"/>
            <w:shd w:val="clear" w:color="auto" w:fill="9DBDE4"/>
          </w:tcPr>
          <w:p>
            <w:pPr>
              <w:ind w:left="120"/>
              <w:spacing w:after="0" w:line="182" w:lineRule="exact"/>
              <w:rPr>
                <w:sz w:val="20"/>
                <w:szCs w:val="20"/>
                <w:color w:val="auto"/>
              </w:rPr>
            </w:pPr>
            <w:r>
              <w:rPr>
                <w:rFonts w:ascii="Arial" w:cs="Arial" w:eastAsia="Arial" w:hAnsi="Arial"/>
                <w:sz w:val="16"/>
                <w:szCs w:val="16"/>
                <w:color w:val="auto"/>
              </w:rPr>
              <w:t>-   Grant Date Fair Value of Stock Awards and Option Awards Granted in Fiscal Year</w:t>
            </w:r>
          </w:p>
        </w:tc>
        <w:tc>
          <w:tcPr>
            <w:tcW w:w="2140" w:type="dxa"/>
            <w:vAlign w:val="bottom"/>
            <w:shd w:val="clear" w:color="auto" w:fill="9DBDE4"/>
          </w:tcPr>
          <w:p>
            <w:pPr>
              <w:jc w:val="right"/>
              <w:ind w:right="2"/>
              <w:spacing w:after="0" w:line="182" w:lineRule="exact"/>
              <w:rPr>
                <w:sz w:val="20"/>
                <w:szCs w:val="20"/>
                <w:color w:val="auto"/>
              </w:rPr>
            </w:pPr>
            <w:r>
              <w:rPr>
                <w:rFonts w:ascii="Arial" w:cs="Arial" w:eastAsia="Arial" w:hAnsi="Arial"/>
                <w:sz w:val="16"/>
                <w:szCs w:val="16"/>
                <w:color w:val="auto"/>
              </w:rPr>
              <w:t>($2,308,220)</w:t>
            </w:r>
          </w:p>
        </w:tc>
      </w:tr>
    </w:tbl>
    <w:p>
      <w:pPr>
        <w:ind w:left="440" w:hanging="315"/>
        <w:spacing w:after="0"/>
        <w:tabs>
          <w:tab w:leader="none" w:pos="4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Fair Value at Fiscal Year End of Outstanding and Unvested Stock Awards and Option Awards Granted in Fiscal</w:t>
      </w:r>
    </w:p>
    <w:tbl>
      <w:tblPr>
        <w:tblLayout w:type="fixed"/>
        <w:tblInd w:w="20" w:type="dxa"/>
        <w:tblCellMar>
          <w:top w:w="0" w:type="dxa"/>
          <w:left w:w="0" w:type="dxa"/>
          <w:bottom w:w="0" w:type="dxa"/>
          <w:right w:w="0" w:type="dxa"/>
        </w:tblCellMar>
      </w:tblPr>
      <w:tr>
        <w:trPr>
          <w:trHeight w:val="180"/>
        </w:trPr>
        <w:tc>
          <w:tcPr>
            <w:tcW w:w="320" w:type="dxa"/>
            <w:vAlign w:val="bottom"/>
          </w:tcPr>
          <w:p>
            <w:pPr>
              <w:spacing w:after="0"/>
              <w:rPr>
                <w:sz w:val="15"/>
                <w:szCs w:val="15"/>
                <w:color w:val="auto"/>
              </w:rPr>
            </w:pPr>
          </w:p>
        </w:tc>
        <w:tc>
          <w:tcPr>
            <w:tcW w:w="7960" w:type="dxa"/>
            <w:vAlign w:val="bottom"/>
          </w:tcPr>
          <w:p>
            <w:pPr>
              <w:ind w:left="100"/>
              <w:spacing w:after="0" w:line="180" w:lineRule="exact"/>
              <w:rPr>
                <w:sz w:val="20"/>
                <w:szCs w:val="20"/>
                <w:color w:val="auto"/>
              </w:rPr>
            </w:pPr>
            <w:r>
              <w:rPr>
                <w:rFonts w:ascii="Arial" w:cs="Arial" w:eastAsia="Arial" w:hAnsi="Arial"/>
                <w:sz w:val="16"/>
                <w:szCs w:val="16"/>
                <w:color w:val="auto"/>
              </w:rPr>
              <w:t>Year</w:t>
            </w:r>
          </w:p>
        </w:tc>
        <w:tc>
          <w:tcPr>
            <w:tcW w:w="1060" w:type="dxa"/>
            <w:vAlign w:val="bottom"/>
          </w:tcPr>
          <w:p>
            <w:pPr>
              <w:jc w:val="right"/>
              <w:ind w:right="2"/>
              <w:spacing w:after="0" w:line="180" w:lineRule="exact"/>
              <w:rPr>
                <w:sz w:val="20"/>
                <w:szCs w:val="20"/>
                <w:color w:val="auto"/>
              </w:rPr>
            </w:pPr>
            <w:r>
              <w:rPr>
                <w:rFonts w:ascii="Arial" w:cs="Arial" w:eastAsia="Arial" w:hAnsi="Arial"/>
                <w:sz w:val="16"/>
                <w:szCs w:val="16"/>
                <w:color w:val="auto"/>
              </w:rPr>
              <w:t>$$5,665,011</w:t>
            </w:r>
          </w:p>
        </w:tc>
      </w:tr>
      <w:tr>
        <w:trPr>
          <w:trHeight w:val="170"/>
        </w:trPr>
        <w:tc>
          <w:tcPr>
            <w:tcW w:w="320" w:type="dxa"/>
            <w:vAlign w:val="bottom"/>
            <w:shd w:val="clear" w:color="auto" w:fill="9DBDE4"/>
          </w:tcPr>
          <w:p>
            <w:pPr>
              <w:jc w:val="center"/>
              <w:spacing w:after="0" w:line="170" w:lineRule="exact"/>
              <w:rPr>
                <w:sz w:val="20"/>
                <w:szCs w:val="20"/>
                <w:color w:val="auto"/>
              </w:rPr>
            </w:pPr>
            <w:r>
              <w:rPr>
                <w:rFonts w:ascii="Arial" w:cs="Arial" w:eastAsia="Arial" w:hAnsi="Arial"/>
                <w:sz w:val="16"/>
                <w:szCs w:val="16"/>
                <w:color w:val="auto"/>
                <w:w w:val="93"/>
              </w:rPr>
              <w:t>+/-</w:t>
            </w:r>
          </w:p>
        </w:tc>
        <w:tc>
          <w:tcPr>
            <w:tcW w:w="7960" w:type="dxa"/>
            <w:vAlign w:val="bottom"/>
            <w:shd w:val="clear" w:color="auto" w:fill="9DBDE4"/>
          </w:tcPr>
          <w:p>
            <w:pPr>
              <w:ind w:left="100"/>
              <w:spacing w:after="0" w:line="170" w:lineRule="exact"/>
              <w:rPr>
                <w:sz w:val="20"/>
                <w:szCs w:val="20"/>
                <w:color w:val="auto"/>
              </w:rPr>
            </w:pPr>
            <w:r>
              <w:rPr>
                <w:rFonts w:ascii="Arial" w:cs="Arial" w:eastAsia="Arial" w:hAnsi="Arial"/>
                <w:sz w:val="16"/>
                <w:szCs w:val="16"/>
                <w:color w:val="auto"/>
                <w:w w:val="98"/>
              </w:rPr>
              <w:t>Change in Fair Value (from Prior Year-End to Year-End) of Outstanding and Unvested Stock Awards and Option</w:t>
            </w:r>
          </w:p>
        </w:tc>
        <w:tc>
          <w:tcPr>
            <w:tcW w:w="1060" w:type="dxa"/>
            <w:vAlign w:val="bottom"/>
            <w:shd w:val="clear" w:color="auto" w:fill="9DBDE4"/>
          </w:tcPr>
          <w:p>
            <w:pPr>
              <w:spacing w:after="0"/>
              <w:rPr>
                <w:sz w:val="14"/>
                <w:szCs w:val="14"/>
                <w:color w:val="auto"/>
              </w:rPr>
            </w:pPr>
          </w:p>
        </w:tc>
      </w:tr>
      <w:tr>
        <w:trPr>
          <w:trHeight w:val="194"/>
        </w:trPr>
        <w:tc>
          <w:tcPr>
            <w:tcW w:w="320" w:type="dxa"/>
            <w:vAlign w:val="bottom"/>
            <w:shd w:val="clear" w:color="auto" w:fill="9DBDE4"/>
          </w:tcPr>
          <w:p>
            <w:pPr>
              <w:spacing w:after="0"/>
              <w:rPr>
                <w:sz w:val="16"/>
                <w:szCs w:val="16"/>
                <w:color w:val="auto"/>
              </w:rPr>
            </w:pPr>
          </w:p>
        </w:tc>
        <w:tc>
          <w:tcPr>
            <w:tcW w:w="7960" w:type="dxa"/>
            <w:vAlign w:val="bottom"/>
            <w:shd w:val="clear" w:color="auto" w:fill="9DBDE4"/>
          </w:tcPr>
          <w:p>
            <w:pPr>
              <w:ind w:left="100"/>
              <w:spacing w:after="0"/>
              <w:rPr>
                <w:sz w:val="20"/>
                <w:szCs w:val="20"/>
                <w:color w:val="auto"/>
              </w:rPr>
            </w:pPr>
            <w:r>
              <w:rPr>
                <w:rFonts w:ascii="Arial" w:cs="Arial" w:eastAsia="Arial" w:hAnsi="Arial"/>
                <w:sz w:val="16"/>
                <w:szCs w:val="16"/>
                <w:color w:val="auto"/>
              </w:rPr>
              <w:t>Awards Granted in Prior Fiscal Years</w:t>
            </w:r>
          </w:p>
        </w:tc>
        <w:tc>
          <w:tcPr>
            <w:tcW w:w="1060" w:type="dxa"/>
            <w:vAlign w:val="bottom"/>
            <w:shd w:val="clear" w:color="auto" w:fill="9DBDE4"/>
          </w:tcPr>
          <w:p>
            <w:pPr>
              <w:jc w:val="right"/>
              <w:ind w:right="2"/>
              <w:spacing w:after="0"/>
              <w:rPr>
                <w:sz w:val="20"/>
                <w:szCs w:val="20"/>
                <w:color w:val="auto"/>
              </w:rPr>
            </w:pPr>
            <w:r>
              <w:rPr>
                <w:rFonts w:ascii="Arial" w:cs="Arial" w:eastAsia="Arial" w:hAnsi="Arial"/>
                <w:sz w:val="16"/>
                <w:szCs w:val="16"/>
                <w:color w:val="auto"/>
              </w:rPr>
              <w:t>$$0</w:t>
            </w:r>
          </w:p>
        </w:tc>
      </w:tr>
      <w:tr>
        <w:trPr>
          <w:trHeight w:val="182"/>
        </w:trPr>
        <w:tc>
          <w:tcPr>
            <w:tcW w:w="320" w:type="dxa"/>
            <w:vAlign w:val="bottom"/>
          </w:tcPr>
          <w:p>
            <w:pPr>
              <w:jc w:val="center"/>
              <w:spacing w:after="0" w:line="182" w:lineRule="exact"/>
              <w:rPr>
                <w:sz w:val="20"/>
                <w:szCs w:val="20"/>
                <w:color w:val="auto"/>
              </w:rPr>
            </w:pPr>
            <w:r>
              <w:rPr>
                <w:rFonts w:ascii="Arial" w:cs="Arial" w:eastAsia="Arial" w:hAnsi="Arial"/>
                <w:sz w:val="16"/>
                <w:szCs w:val="16"/>
                <w:color w:val="auto"/>
              </w:rPr>
              <w:t>+</w:t>
            </w:r>
          </w:p>
        </w:tc>
        <w:tc>
          <w:tcPr>
            <w:tcW w:w="7960" w:type="dxa"/>
            <w:vAlign w:val="bottom"/>
          </w:tcPr>
          <w:p>
            <w:pPr>
              <w:ind w:left="100"/>
              <w:spacing w:after="0" w:line="182" w:lineRule="exact"/>
              <w:rPr>
                <w:sz w:val="20"/>
                <w:szCs w:val="20"/>
                <w:color w:val="auto"/>
              </w:rPr>
            </w:pPr>
            <w:r>
              <w:rPr>
                <w:rFonts w:ascii="Arial" w:cs="Arial" w:eastAsia="Arial" w:hAnsi="Arial"/>
                <w:sz w:val="16"/>
                <w:szCs w:val="16"/>
                <w:color w:val="auto"/>
                <w:w w:val="98"/>
              </w:rPr>
              <w:t>Fair Value at Vesting of Stock Awards and Option Awards Granted in Fiscal Year That Vested During Fiscal Year</w:t>
            </w:r>
          </w:p>
        </w:tc>
        <w:tc>
          <w:tcPr>
            <w:tcW w:w="1060" w:type="dxa"/>
            <w:vAlign w:val="bottom"/>
          </w:tcPr>
          <w:p>
            <w:pPr>
              <w:jc w:val="right"/>
              <w:ind w:right="2"/>
              <w:spacing w:after="0" w:line="182" w:lineRule="exact"/>
              <w:rPr>
                <w:sz w:val="20"/>
                <w:szCs w:val="20"/>
                <w:color w:val="auto"/>
              </w:rPr>
            </w:pPr>
            <w:r>
              <w:rPr>
                <w:rFonts w:ascii="Arial" w:cs="Arial" w:eastAsia="Arial" w:hAnsi="Arial"/>
                <w:sz w:val="16"/>
                <w:szCs w:val="16"/>
                <w:color w:val="auto"/>
              </w:rPr>
              <w:t>$$0</w:t>
            </w:r>
          </w:p>
        </w:tc>
      </w:tr>
      <w:tr>
        <w:trPr>
          <w:trHeight w:val="170"/>
        </w:trPr>
        <w:tc>
          <w:tcPr>
            <w:tcW w:w="320" w:type="dxa"/>
            <w:vAlign w:val="bottom"/>
            <w:shd w:val="clear" w:color="auto" w:fill="9DBDE4"/>
          </w:tcPr>
          <w:p>
            <w:pPr>
              <w:jc w:val="center"/>
              <w:spacing w:after="0" w:line="170" w:lineRule="exact"/>
              <w:rPr>
                <w:sz w:val="20"/>
                <w:szCs w:val="20"/>
                <w:color w:val="auto"/>
              </w:rPr>
            </w:pPr>
            <w:r>
              <w:rPr>
                <w:rFonts w:ascii="Arial" w:cs="Arial" w:eastAsia="Arial" w:hAnsi="Arial"/>
                <w:sz w:val="16"/>
                <w:szCs w:val="16"/>
                <w:color w:val="auto"/>
                <w:w w:val="93"/>
              </w:rPr>
              <w:t>+/-</w:t>
            </w:r>
          </w:p>
        </w:tc>
        <w:tc>
          <w:tcPr>
            <w:tcW w:w="7960" w:type="dxa"/>
            <w:vAlign w:val="bottom"/>
            <w:shd w:val="clear" w:color="auto" w:fill="9DBDE4"/>
          </w:tcPr>
          <w:p>
            <w:pPr>
              <w:ind w:left="100"/>
              <w:spacing w:after="0" w:line="170" w:lineRule="exact"/>
              <w:rPr>
                <w:sz w:val="20"/>
                <w:szCs w:val="20"/>
                <w:color w:val="auto"/>
              </w:rPr>
            </w:pPr>
            <w:r>
              <w:rPr>
                <w:rFonts w:ascii="Arial" w:cs="Arial" w:eastAsia="Arial" w:hAnsi="Arial"/>
                <w:sz w:val="16"/>
                <w:szCs w:val="16"/>
                <w:color w:val="auto"/>
                <w:w w:val="98"/>
              </w:rPr>
              <w:t>Change in Fair Value (from Prior Year-End to Vesting Date) of Stock Awards and Option Awards Granted in Prior</w:t>
            </w:r>
          </w:p>
        </w:tc>
        <w:tc>
          <w:tcPr>
            <w:tcW w:w="1060" w:type="dxa"/>
            <w:vAlign w:val="bottom"/>
            <w:shd w:val="clear" w:color="auto" w:fill="9DBDE4"/>
          </w:tcPr>
          <w:p>
            <w:pPr>
              <w:spacing w:after="0"/>
              <w:rPr>
                <w:sz w:val="14"/>
                <w:szCs w:val="14"/>
                <w:color w:val="auto"/>
              </w:rPr>
            </w:pPr>
          </w:p>
        </w:tc>
      </w:tr>
      <w:tr>
        <w:trPr>
          <w:trHeight w:val="194"/>
        </w:trPr>
        <w:tc>
          <w:tcPr>
            <w:tcW w:w="320" w:type="dxa"/>
            <w:vAlign w:val="bottom"/>
            <w:shd w:val="clear" w:color="auto" w:fill="9DBDE4"/>
          </w:tcPr>
          <w:p>
            <w:pPr>
              <w:spacing w:after="0"/>
              <w:rPr>
                <w:sz w:val="16"/>
                <w:szCs w:val="16"/>
                <w:color w:val="auto"/>
              </w:rPr>
            </w:pPr>
          </w:p>
        </w:tc>
        <w:tc>
          <w:tcPr>
            <w:tcW w:w="7960" w:type="dxa"/>
            <w:vAlign w:val="bottom"/>
            <w:shd w:val="clear" w:color="auto" w:fill="9DBDE4"/>
          </w:tcPr>
          <w:p>
            <w:pPr>
              <w:ind w:left="100"/>
              <w:spacing w:after="0"/>
              <w:rPr>
                <w:sz w:val="20"/>
                <w:szCs w:val="20"/>
                <w:color w:val="auto"/>
              </w:rPr>
            </w:pPr>
            <w:r>
              <w:rPr>
                <w:rFonts w:ascii="Arial" w:cs="Arial" w:eastAsia="Arial" w:hAnsi="Arial"/>
                <w:sz w:val="16"/>
                <w:szCs w:val="16"/>
                <w:color w:val="auto"/>
              </w:rPr>
              <w:t>Fiscal Years For Which Applicable Vesting Conditions Were Satisfied During Fiscal Year</w:t>
            </w:r>
          </w:p>
        </w:tc>
        <w:tc>
          <w:tcPr>
            <w:tcW w:w="1060" w:type="dxa"/>
            <w:vAlign w:val="bottom"/>
            <w:shd w:val="clear" w:color="auto" w:fill="9DBDE4"/>
          </w:tcPr>
          <w:p>
            <w:pPr>
              <w:jc w:val="right"/>
              <w:ind w:right="2"/>
              <w:spacing w:after="0"/>
              <w:rPr>
                <w:sz w:val="20"/>
                <w:szCs w:val="20"/>
                <w:color w:val="auto"/>
              </w:rPr>
            </w:pPr>
            <w:r>
              <w:rPr>
                <w:rFonts w:ascii="Arial" w:cs="Arial" w:eastAsia="Arial" w:hAnsi="Arial"/>
                <w:sz w:val="16"/>
                <w:szCs w:val="16"/>
                <w:color w:val="auto"/>
              </w:rPr>
              <w:t>$$6,284</w:t>
            </w:r>
          </w:p>
        </w:tc>
      </w:tr>
    </w:tbl>
    <w:p>
      <w:pPr>
        <w:ind w:left="440" w:hanging="296"/>
        <w:spacing w:after="0"/>
        <w:tabs>
          <w:tab w:leader="none" w:pos="4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Fair Value as of Prior Fiscal Year End of Stock Awards and Option Awards Granted in Prior Fiscal Years That</w:t>
      </w:r>
    </w:p>
    <w:tbl>
      <w:tblPr>
        <w:tblLayout w:type="fixed"/>
        <w:tblInd w:w="20" w:type="dxa"/>
        <w:tblCellMar>
          <w:top w:w="0" w:type="dxa"/>
          <w:left w:w="0" w:type="dxa"/>
          <w:bottom w:w="0" w:type="dxa"/>
          <w:right w:w="0" w:type="dxa"/>
        </w:tblCellMar>
      </w:tblPr>
      <w:tr>
        <w:trPr>
          <w:trHeight w:val="180"/>
        </w:trPr>
        <w:tc>
          <w:tcPr>
            <w:tcW w:w="6640" w:type="dxa"/>
            <w:vAlign w:val="bottom"/>
          </w:tcPr>
          <w:p>
            <w:pPr>
              <w:ind w:left="420"/>
              <w:spacing w:after="0" w:line="180" w:lineRule="exact"/>
              <w:rPr>
                <w:sz w:val="20"/>
                <w:szCs w:val="20"/>
                <w:color w:val="auto"/>
              </w:rPr>
            </w:pPr>
            <w:r>
              <w:rPr>
                <w:rFonts w:ascii="Arial" w:cs="Arial" w:eastAsia="Arial" w:hAnsi="Arial"/>
                <w:sz w:val="16"/>
                <w:szCs w:val="16"/>
                <w:color w:val="auto"/>
              </w:rPr>
              <w:t>Failed to Meet Applicable Vesting Conditions During Fiscal Year</w:t>
            </w:r>
          </w:p>
        </w:tc>
        <w:tc>
          <w:tcPr>
            <w:tcW w:w="2700" w:type="dxa"/>
            <w:vAlign w:val="bottom"/>
          </w:tcPr>
          <w:p>
            <w:pPr>
              <w:jc w:val="right"/>
              <w:ind w:right="2"/>
              <w:spacing w:after="0" w:line="180" w:lineRule="exact"/>
              <w:rPr>
                <w:sz w:val="20"/>
                <w:szCs w:val="20"/>
                <w:color w:val="auto"/>
              </w:rPr>
            </w:pPr>
            <w:r>
              <w:rPr>
                <w:rFonts w:ascii="Arial" w:cs="Arial" w:eastAsia="Arial" w:hAnsi="Arial"/>
                <w:sz w:val="16"/>
                <w:szCs w:val="16"/>
                <w:color w:val="auto"/>
              </w:rPr>
              <w:t>$$0</w:t>
            </w:r>
          </w:p>
        </w:tc>
      </w:tr>
      <w:tr>
        <w:trPr>
          <w:trHeight w:val="182"/>
        </w:trPr>
        <w:tc>
          <w:tcPr>
            <w:tcW w:w="6640" w:type="dxa"/>
            <w:vAlign w:val="bottom"/>
            <w:tcBorders>
              <w:bottom w:val="single" w:sz="8" w:color="284993"/>
            </w:tcBorders>
            <w:shd w:val="clear" w:color="auto" w:fill="9DBDE4"/>
          </w:tcPr>
          <w:p>
            <w:pPr>
              <w:ind w:left="100"/>
              <w:spacing w:after="0" w:line="182" w:lineRule="exact"/>
              <w:rPr>
                <w:sz w:val="20"/>
                <w:szCs w:val="20"/>
                <w:color w:val="auto"/>
              </w:rPr>
            </w:pPr>
            <w:r>
              <w:rPr>
                <w:rFonts w:ascii="Arial" w:cs="Arial" w:eastAsia="Arial" w:hAnsi="Arial"/>
                <w:sz w:val="16"/>
                <w:szCs w:val="16"/>
                <w:color w:val="auto"/>
              </w:rPr>
              <w:t>=   Compensation Actually Paid</w:t>
            </w:r>
          </w:p>
        </w:tc>
        <w:tc>
          <w:tcPr>
            <w:tcW w:w="2700" w:type="dxa"/>
            <w:vAlign w:val="bottom"/>
            <w:tcBorders>
              <w:bottom w:val="single" w:sz="8" w:color="284993"/>
            </w:tcBorders>
            <w:shd w:val="clear" w:color="auto" w:fill="9DBDE4"/>
          </w:tcPr>
          <w:p>
            <w:pPr>
              <w:jc w:val="right"/>
              <w:ind w:right="2"/>
              <w:spacing w:after="0" w:line="182" w:lineRule="exact"/>
              <w:rPr>
                <w:sz w:val="20"/>
                <w:szCs w:val="20"/>
                <w:color w:val="auto"/>
              </w:rPr>
            </w:pPr>
            <w:r>
              <w:rPr>
                <w:rFonts w:ascii="Arial" w:cs="Arial" w:eastAsia="Arial" w:hAnsi="Arial"/>
                <w:sz w:val="16"/>
                <w:szCs w:val="16"/>
                <w:color w:val="auto"/>
              </w:rPr>
              <w:t>$8,594,753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90805</wp:posOffset>
            </wp:positionV>
            <wp:extent cx="693420" cy="1320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3420" cy="13208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68</w:t>
      </w:r>
    </w:p>
    <w:p>
      <w:pPr>
        <w:sectPr>
          <w:pgSz w:w="11900" w:h="16838" w:orient="portrait"/>
          <w:cols w:equalWidth="0" w:num="1">
            <w:col w:w="9360"/>
          </w:cols>
          <w:pgMar w:left="1260" w:top="605" w:right="12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0" w:lineRule="exact"/>
        <w:rPr>
          <w:sz w:val="20"/>
          <w:szCs w:val="20"/>
          <w:color w:val="auto"/>
        </w:rPr>
      </w:pPr>
    </w:p>
    <w:p>
      <w:pPr>
        <w:ind w:left="940" w:right="100"/>
        <w:spacing w:after="0" w:line="263" w:lineRule="auto"/>
        <w:rPr>
          <w:sz w:val="20"/>
          <w:szCs w:val="20"/>
          <w:color w:val="auto"/>
        </w:rPr>
      </w:pPr>
      <w:r>
        <w:rPr>
          <w:rFonts w:ascii="Arial" w:cs="Arial" w:eastAsia="Arial" w:hAnsi="Arial"/>
          <w:sz w:val="12"/>
          <w:szCs w:val="12"/>
          <w:u w:val="single" w:color="auto"/>
          <w:color w:val="auto"/>
        </w:rPr>
        <w:t>Equity Award Valuations</w:t>
      </w:r>
      <w:r>
        <w:rPr>
          <w:rFonts w:ascii="Arial" w:cs="Arial" w:eastAsia="Arial" w:hAnsi="Arial"/>
          <w:sz w:val="12"/>
          <w:szCs w:val="12"/>
          <w:color w:val="auto"/>
        </w:rPr>
        <w:t>: Equity values are computed in accordance with FASB ASC 718, and the valuation assumptions used to calculate fair values did not materially differ from those disclosed at the time of grant.</w:t>
      </w:r>
    </w:p>
    <w:p>
      <w:pPr>
        <w:spacing w:after="0" w:line="35" w:lineRule="exact"/>
        <w:rPr>
          <w:sz w:val="20"/>
          <w:szCs w:val="20"/>
          <w:color w:val="auto"/>
        </w:rPr>
      </w:pPr>
    </w:p>
    <w:p>
      <w:pPr>
        <w:ind w:left="1220" w:right="40" w:hanging="274"/>
        <w:spacing w:after="0" w:line="236" w:lineRule="auto"/>
        <w:tabs>
          <w:tab w:leader="none" w:pos="12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Amounts reported in this column represent the “compensation actually paid” to the NEOs other than the PEO, based on the average “Total” compensation for such NEOs reported in the Summary Compensation Table for each fiscal year, as adjusted in accordance with SEC rules. For 2023, the non-PEO NEOs’ average total compensation reported in the Summary Compensation Table was adjusted as shown in the table below (with the numbers representing average amounts for the applicable non-PEO NEOs). See footnote 2 for the non-PEO NEOs included in the average for the 2023 fiscal year. For information on the calculation of “compensation actually paid” for 2020, 2021, and 2022, please see the “pay versus performance” disclosure in our 2023 definitive proxy statement.</w:t>
      </w:r>
    </w:p>
    <w:p>
      <w:pPr>
        <w:spacing w:after="0" w:line="209" w:lineRule="exact"/>
        <w:rPr>
          <w:sz w:val="20"/>
          <w:szCs w:val="20"/>
          <w:color w:val="auto"/>
        </w:rPr>
      </w:pPr>
    </w:p>
    <w:p>
      <w:pPr>
        <w:ind w:left="5120"/>
        <w:spacing w:after="0"/>
        <w:rPr>
          <w:sz w:val="20"/>
          <w:szCs w:val="20"/>
          <w:color w:val="auto"/>
        </w:rPr>
      </w:pPr>
      <w:r>
        <w:rPr>
          <w:rFonts w:ascii="Arial" w:cs="Arial" w:eastAsia="Arial" w:hAnsi="Arial"/>
          <w:sz w:val="16"/>
          <w:szCs w:val="16"/>
          <w:b w:val="1"/>
          <w:bCs w:val="1"/>
          <w:color w:val="FFFFFF"/>
        </w:rPr>
        <w:t>NEO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-107315</wp:posOffset>
            </wp:positionV>
            <wp:extent cx="5941060" cy="16338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41060" cy="1633855"/>
                    </a:xfrm>
                    <a:prstGeom prst="rect">
                      <a:avLst/>
                    </a:prstGeom>
                    <a:noFill/>
                  </pic:spPr>
                </pic:pic>
              </a:graphicData>
            </a:graphic>
          </wp:anchor>
        </w:drawing>
      </w:r>
    </w:p>
    <w:tbl>
      <w:tblPr>
        <w:tblLayout w:type="fixed"/>
        <w:tblInd w:w="96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2140" w:type="dxa"/>
            <w:vAlign w:val="bottom"/>
          </w:tcPr>
          <w:p>
            <w:pPr>
              <w:jc w:val="right"/>
              <w:ind w:right="302"/>
              <w:spacing w:after="0"/>
              <w:rPr>
                <w:sz w:val="20"/>
                <w:szCs w:val="20"/>
                <w:color w:val="auto"/>
              </w:rPr>
            </w:pPr>
            <w:r>
              <w:rPr>
                <w:rFonts w:ascii="Arial" w:cs="Arial" w:eastAsia="Arial" w:hAnsi="Arial"/>
                <w:sz w:val="16"/>
                <w:szCs w:val="16"/>
                <w:b w:val="1"/>
                <w:bCs w:val="1"/>
                <w:color w:val="FFFFFF"/>
              </w:rPr>
              <w:t>2023</w:t>
            </w:r>
          </w:p>
        </w:tc>
      </w:tr>
      <w:tr>
        <w:trPr>
          <w:trHeight w:val="194"/>
        </w:trPr>
        <w:tc>
          <w:tcPr>
            <w:tcW w:w="7200" w:type="dxa"/>
            <w:vAlign w:val="bottom"/>
          </w:tcPr>
          <w:p>
            <w:pPr>
              <w:ind w:left="420"/>
              <w:spacing w:after="0"/>
              <w:rPr>
                <w:sz w:val="20"/>
                <w:szCs w:val="20"/>
                <w:color w:val="auto"/>
              </w:rPr>
            </w:pPr>
            <w:r>
              <w:rPr>
                <w:rFonts w:ascii="Arial" w:cs="Arial" w:eastAsia="Arial" w:hAnsi="Arial"/>
                <w:sz w:val="16"/>
                <w:szCs w:val="16"/>
                <w:color w:val="auto"/>
              </w:rPr>
              <w:t>Summary Compensation Table - Total Compensation</w:t>
            </w:r>
          </w:p>
        </w:tc>
        <w:tc>
          <w:tcPr>
            <w:tcW w:w="2140" w:type="dxa"/>
            <w:vAlign w:val="bottom"/>
          </w:tcPr>
          <w:p>
            <w:pPr>
              <w:jc w:val="right"/>
              <w:ind w:right="2"/>
              <w:spacing w:after="0"/>
              <w:rPr>
                <w:sz w:val="20"/>
                <w:szCs w:val="20"/>
                <w:color w:val="auto"/>
              </w:rPr>
            </w:pPr>
            <w:r>
              <w:rPr>
                <w:rFonts w:ascii="Arial" w:cs="Arial" w:eastAsia="Arial" w:hAnsi="Arial"/>
                <w:sz w:val="16"/>
                <w:szCs w:val="16"/>
                <w:color w:val="auto"/>
              </w:rPr>
              <w:t>$2,150,984</w:t>
            </w:r>
          </w:p>
        </w:tc>
      </w:tr>
      <w:tr>
        <w:trPr>
          <w:trHeight w:val="182"/>
        </w:trPr>
        <w:tc>
          <w:tcPr>
            <w:tcW w:w="7200" w:type="dxa"/>
            <w:vAlign w:val="bottom"/>
            <w:shd w:val="clear" w:color="auto" w:fill="9DBDE4"/>
          </w:tcPr>
          <w:p>
            <w:pPr>
              <w:ind w:left="120"/>
              <w:spacing w:after="0" w:line="182" w:lineRule="exact"/>
              <w:rPr>
                <w:sz w:val="20"/>
                <w:szCs w:val="20"/>
                <w:color w:val="auto"/>
              </w:rPr>
            </w:pPr>
            <w:r>
              <w:rPr>
                <w:rFonts w:ascii="Arial" w:cs="Arial" w:eastAsia="Arial" w:hAnsi="Arial"/>
                <w:sz w:val="16"/>
                <w:szCs w:val="16"/>
                <w:color w:val="auto"/>
              </w:rPr>
              <w:t>-   Grant Date Fair Value of Stock Awards and Option Awards Granted in Fiscal Year</w:t>
            </w:r>
          </w:p>
        </w:tc>
        <w:tc>
          <w:tcPr>
            <w:tcW w:w="2140" w:type="dxa"/>
            <w:vAlign w:val="bottom"/>
            <w:shd w:val="clear" w:color="auto" w:fill="9DBDE4"/>
          </w:tcPr>
          <w:p>
            <w:pPr>
              <w:jc w:val="right"/>
              <w:ind w:right="2"/>
              <w:spacing w:after="0" w:line="182" w:lineRule="exact"/>
              <w:rPr>
                <w:sz w:val="20"/>
                <w:szCs w:val="20"/>
                <w:color w:val="auto"/>
              </w:rPr>
            </w:pPr>
            <w:r>
              <w:rPr>
                <w:rFonts w:ascii="Arial" w:cs="Arial" w:eastAsia="Arial" w:hAnsi="Arial"/>
                <w:sz w:val="16"/>
                <w:szCs w:val="16"/>
                <w:color w:val="auto"/>
              </w:rPr>
              <w:t>($1,385,114)</w:t>
            </w:r>
          </w:p>
        </w:tc>
      </w:tr>
    </w:tbl>
    <w:p>
      <w:pPr>
        <w:ind w:left="1380" w:hanging="315"/>
        <w:spacing w:after="0"/>
        <w:tabs>
          <w:tab w:leader="none" w:pos="13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Fair Value at Fiscal Year End of Outstanding and Unvested Stock Awards and Option Awards Granted in Fiscal</w:t>
      </w:r>
    </w:p>
    <w:tbl>
      <w:tblPr>
        <w:tblLayout w:type="fixed"/>
        <w:tblInd w:w="960" w:type="dxa"/>
        <w:tblCellMar>
          <w:top w:w="0" w:type="dxa"/>
          <w:left w:w="0" w:type="dxa"/>
          <w:bottom w:w="0" w:type="dxa"/>
          <w:right w:w="0" w:type="dxa"/>
        </w:tblCellMar>
      </w:tblPr>
      <w:tr>
        <w:trPr>
          <w:trHeight w:val="180"/>
        </w:trPr>
        <w:tc>
          <w:tcPr>
            <w:tcW w:w="320" w:type="dxa"/>
            <w:vAlign w:val="bottom"/>
          </w:tcPr>
          <w:p>
            <w:pPr>
              <w:spacing w:after="0"/>
              <w:rPr>
                <w:sz w:val="15"/>
                <w:szCs w:val="15"/>
                <w:color w:val="auto"/>
              </w:rPr>
            </w:pPr>
          </w:p>
        </w:tc>
        <w:tc>
          <w:tcPr>
            <w:tcW w:w="8000" w:type="dxa"/>
            <w:vAlign w:val="bottom"/>
          </w:tcPr>
          <w:p>
            <w:pPr>
              <w:ind w:left="100"/>
              <w:spacing w:after="0" w:line="180" w:lineRule="exact"/>
              <w:rPr>
                <w:sz w:val="20"/>
                <w:szCs w:val="20"/>
                <w:color w:val="auto"/>
              </w:rPr>
            </w:pPr>
            <w:r>
              <w:rPr>
                <w:rFonts w:ascii="Arial" w:cs="Arial" w:eastAsia="Arial" w:hAnsi="Arial"/>
                <w:sz w:val="16"/>
                <w:szCs w:val="16"/>
                <w:color w:val="auto"/>
              </w:rPr>
              <w:t>Year</w:t>
            </w:r>
          </w:p>
        </w:tc>
        <w:tc>
          <w:tcPr>
            <w:tcW w:w="1020" w:type="dxa"/>
            <w:vAlign w:val="bottom"/>
          </w:tcPr>
          <w:p>
            <w:pPr>
              <w:jc w:val="right"/>
              <w:ind w:right="2"/>
              <w:spacing w:after="0" w:line="180" w:lineRule="exact"/>
              <w:rPr>
                <w:sz w:val="20"/>
                <w:szCs w:val="20"/>
                <w:color w:val="auto"/>
              </w:rPr>
            </w:pPr>
            <w:r>
              <w:rPr>
                <w:rFonts w:ascii="Arial" w:cs="Arial" w:eastAsia="Arial" w:hAnsi="Arial"/>
                <w:sz w:val="16"/>
                <w:szCs w:val="16"/>
                <w:color w:val="auto"/>
              </w:rPr>
              <w:t>$2,295,047</w:t>
            </w:r>
          </w:p>
        </w:tc>
      </w:tr>
      <w:tr>
        <w:trPr>
          <w:trHeight w:val="170"/>
        </w:trPr>
        <w:tc>
          <w:tcPr>
            <w:tcW w:w="320" w:type="dxa"/>
            <w:vAlign w:val="bottom"/>
            <w:shd w:val="clear" w:color="auto" w:fill="9DBDE4"/>
          </w:tcPr>
          <w:p>
            <w:pPr>
              <w:jc w:val="center"/>
              <w:spacing w:after="0" w:line="170" w:lineRule="exact"/>
              <w:rPr>
                <w:sz w:val="20"/>
                <w:szCs w:val="20"/>
                <w:color w:val="auto"/>
              </w:rPr>
            </w:pPr>
            <w:r>
              <w:rPr>
                <w:rFonts w:ascii="Arial" w:cs="Arial" w:eastAsia="Arial" w:hAnsi="Arial"/>
                <w:sz w:val="16"/>
                <w:szCs w:val="16"/>
                <w:color w:val="auto"/>
                <w:w w:val="93"/>
              </w:rPr>
              <w:t>+/-</w:t>
            </w:r>
          </w:p>
        </w:tc>
        <w:tc>
          <w:tcPr>
            <w:tcW w:w="8000" w:type="dxa"/>
            <w:vAlign w:val="bottom"/>
            <w:shd w:val="clear" w:color="auto" w:fill="9DBDE4"/>
          </w:tcPr>
          <w:p>
            <w:pPr>
              <w:ind w:left="100"/>
              <w:spacing w:after="0" w:line="170" w:lineRule="exact"/>
              <w:rPr>
                <w:sz w:val="20"/>
                <w:szCs w:val="20"/>
                <w:color w:val="auto"/>
              </w:rPr>
            </w:pPr>
            <w:r>
              <w:rPr>
                <w:rFonts w:ascii="Arial" w:cs="Arial" w:eastAsia="Arial" w:hAnsi="Arial"/>
                <w:sz w:val="16"/>
                <w:szCs w:val="16"/>
                <w:color w:val="auto"/>
                <w:w w:val="99"/>
              </w:rPr>
              <w:t>Change in Fair Value (from Prior Year-End to Year-End) of Outstanding and Unvested Stock Awards and Option</w:t>
            </w:r>
          </w:p>
        </w:tc>
        <w:tc>
          <w:tcPr>
            <w:tcW w:w="1020" w:type="dxa"/>
            <w:vAlign w:val="bottom"/>
            <w:shd w:val="clear" w:color="auto" w:fill="9DBDE4"/>
          </w:tcPr>
          <w:p>
            <w:pPr>
              <w:spacing w:after="0"/>
              <w:rPr>
                <w:sz w:val="14"/>
                <w:szCs w:val="14"/>
                <w:color w:val="auto"/>
              </w:rPr>
            </w:pPr>
          </w:p>
        </w:tc>
      </w:tr>
      <w:tr>
        <w:trPr>
          <w:trHeight w:val="194"/>
        </w:trPr>
        <w:tc>
          <w:tcPr>
            <w:tcW w:w="320" w:type="dxa"/>
            <w:vAlign w:val="bottom"/>
            <w:shd w:val="clear" w:color="auto" w:fill="9DBDE4"/>
          </w:tcPr>
          <w:p>
            <w:pPr>
              <w:spacing w:after="0"/>
              <w:rPr>
                <w:sz w:val="16"/>
                <w:szCs w:val="16"/>
                <w:color w:val="auto"/>
              </w:rPr>
            </w:pPr>
          </w:p>
        </w:tc>
        <w:tc>
          <w:tcPr>
            <w:tcW w:w="8000" w:type="dxa"/>
            <w:vAlign w:val="bottom"/>
            <w:shd w:val="clear" w:color="auto" w:fill="9DBDE4"/>
          </w:tcPr>
          <w:p>
            <w:pPr>
              <w:ind w:left="100"/>
              <w:spacing w:after="0"/>
              <w:rPr>
                <w:sz w:val="20"/>
                <w:szCs w:val="20"/>
                <w:color w:val="auto"/>
              </w:rPr>
            </w:pPr>
            <w:r>
              <w:rPr>
                <w:rFonts w:ascii="Arial" w:cs="Arial" w:eastAsia="Arial" w:hAnsi="Arial"/>
                <w:sz w:val="16"/>
                <w:szCs w:val="16"/>
                <w:color w:val="auto"/>
              </w:rPr>
              <w:t>Awards Granted in Prior Fiscal Years</w:t>
            </w:r>
          </w:p>
        </w:tc>
        <w:tc>
          <w:tcPr>
            <w:tcW w:w="1020" w:type="dxa"/>
            <w:vAlign w:val="bottom"/>
            <w:shd w:val="clear" w:color="auto" w:fill="9DBDE4"/>
          </w:tcPr>
          <w:p>
            <w:pPr>
              <w:jc w:val="right"/>
              <w:ind w:right="2"/>
              <w:spacing w:after="0"/>
              <w:rPr>
                <w:sz w:val="20"/>
                <w:szCs w:val="20"/>
                <w:color w:val="auto"/>
              </w:rPr>
            </w:pPr>
            <w:r>
              <w:rPr>
                <w:rFonts w:ascii="Arial" w:cs="Arial" w:eastAsia="Arial" w:hAnsi="Arial"/>
                <w:sz w:val="16"/>
                <w:szCs w:val="16"/>
                <w:color w:val="auto"/>
              </w:rPr>
              <w:t>$285,263</w:t>
            </w:r>
          </w:p>
        </w:tc>
      </w:tr>
      <w:tr>
        <w:trPr>
          <w:trHeight w:val="182"/>
        </w:trPr>
        <w:tc>
          <w:tcPr>
            <w:tcW w:w="320" w:type="dxa"/>
            <w:vAlign w:val="bottom"/>
          </w:tcPr>
          <w:p>
            <w:pPr>
              <w:jc w:val="center"/>
              <w:spacing w:after="0" w:line="182" w:lineRule="exact"/>
              <w:rPr>
                <w:sz w:val="20"/>
                <w:szCs w:val="20"/>
                <w:color w:val="auto"/>
              </w:rPr>
            </w:pPr>
            <w:r>
              <w:rPr>
                <w:rFonts w:ascii="Arial" w:cs="Arial" w:eastAsia="Arial" w:hAnsi="Arial"/>
                <w:sz w:val="16"/>
                <w:szCs w:val="16"/>
                <w:color w:val="auto"/>
              </w:rPr>
              <w:t>+</w:t>
            </w:r>
          </w:p>
        </w:tc>
        <w:tc>
          <w:tcPr>
            <w:tcW w:w="8000" w:type="dxa"/>
            <w:vAlign w:val="bottom"/>
          </w:tcPr>
          <w:p>
            <w:pPr>
              <w:ind w:left="100"/>
              <w:spacing w:after="0" w:line="182" w:lineRule="exact"/>
              <w:rPr>
                <w:sz w:val="20"/>
                <w:szCs w:val="20"/>
                <w:color w:val="auto"/>
              </w:rPr>
            </w:pPr>
            <w:r>
              <w:rPr>
                <w:rFonts w:ascii="Arial" w:cs="Arial" w:eastAsia="Arial" w:hAnsi="Arial"/>
                <w:sz w:val="16"/>
                <w:szCs w:val="16"/>
                <w:color w:val="auto"/>
                <w:w w:val="98"/>
              </w:rPr>
              <w:t>Fair Value at Vesting of Stock Awards and Option Awards Granted in Fiscal Year That Vested During Fiscal Year</w:t>
            </w:r>
          </w:p>
        </w:tc>
        <w:tc>
          <w:tcPr>
            <w:tcW w:w="1020" w:type="dxa"/>
            <w:vAlign w:val="bottom"/>
          </w:tcPr>
          <w:p>
            <w:pPr>
              <w:jc w:val="right"/>
              <w:ind w:right="2"/>
              <w:spacing w:after="0" w:line="182" w:lineRule="exact"/>
              <w:rPr>
                <w:sz w:val="20"/>
                <w:szCs w:val="20"/>
                <w:color w:val="auto"/>
              </w:rPr>
            </w:pPr>
            <w:r>
              <w:rPr>
                <w:rFonts w:ascii="Arial" w:cs="Arial" w:eastAsia="Arial" w:hAnsi="Arial"/>
                <w:sz w:val="16"/>
                <w:szCs w:val="16"/>
                <w:color w:val="auto"/>
              </w:rPr>
              <w:t>$0</w:t>
            </w:r>
          </w:p>
        </w:tc>
      </w:tr>
      <w:tr>
        <w:trPr>
          <w:trHeight w:val="170"/>
        </w:trPr>
        <w:tc>
          <w:tcPr>
            <w:tcW w:w="320" w:type="dxa"/>
            <w:vAlign w:val="bottom"/>
            <w:shd w:val="clear" w:color="auto" w:fill="9DBDE4"/>
          </w:tcPr>
          <w:p>
            <w:pPr>
              <w:jc w:val="center"/>
              <w:spacing w:after="0" w:line="170" w:lineRule="exact"/>
              <w:rPr>
                <w:sz w:val="20"/>
                <w:szCs w:val="20"/>
                <w:color w:val="auto"/>
              </w:rPr>
            </w:pPr>
            <w:r>
              <w:rPr>
                <w:rFonts w:ascii="Arial" w:cs="Arial" w:eastAsia="Arial" w:hAnsi="Arial"/>
                <w:sz w:val="16"/>
                <w:szCs w:val="16"/>
                <w:color w:val="auto"/>
                <w:w w:val="93"/>
              </w:rPr>
              <w:t>+/-</w:t>
            </w:r>
          </w:p>
        </w:tc>
        <w:tc>
          <w:tcPr>
            <w:tcW w:w="8000" w:type="dxa"/>
            <w:vAlign w:val="bottom"/>
            <w:shd w:val="clear" w:color="auto" w:fill="9DBDE4"/>
          </w:tcPr>
          <w:p>
            <w:pPr>
              <w:ind w:left="100"/>
              <w:spacing w:after="0" w:line="170" w:lineRule="exact"/>
              <w:rPr>
                <w:sz w:val="20"/>
                <w:szCs w:val="20"/>
                <w:color w:val="auto"/>
              </w:rPr>
            </w:pPr>
            <w:r>
              <w:rPr>
                <w:rFonts w:ascii="Arial" w:cs="Arial" w:eastAsia="Arial" w:hAnsi="Arial"/>
                <w:sz w:val="16"/>
                <w:szCs w:val="16"/>
                <w:color w:val="auto"/>
                <w:w w:val="98"/>
              </w:rPr>
              <w:t>Change in Fair Value (from Prior Year-End to Vesting Date) of Stock Awards and Option Awards Granted in Prior</w:t>
            </w:r>
          </w:p>
        </w:tc>
        <w:tc>
          <w:tcPr>
            <w:tcW w:w="1020" w:type="dxa"/>
            <w:vAlign w:val="bottom"/>
            <w:shd w:val="clear" w:color="auto" w:fill="9DBDE4"/>
          </w:tcPr>
          <w:p>
            <w:pPr>
              <w:spacing w:after="0"/>
              <w:rPr>
                <w:sz w:val="14"/>
                <w:szCs w:val="14"/>
                <w:color w:val="auto"/>
              </w:rPr>
            </w:pPr>
          </w:p>
        </w:tc>
      </w:tr>
      <w:tr>
        <w:trPr>
          <w:trHeight w:val="194"/>
        </w:trPr>
        <w:tc>
          <w:tcPr>
            <w:tcW w:w="320" w:type="dxa"/>
            <w:vAlign w:val="bottom"/>
            <w:shd w:val="clear" w:color="auto" w:fill="9DBDE4"/>
          </w:tcPr>
          <w:p>
            <w:pPr>
              <w:spacing w:after="0"/>
              <w:rPr>
                <w:sz w:val="16"/>
                <w:szCs w:val="16"/>
                <w:color w:val="auto"/>
              </w:rPr>
            </w:pPr>
          </w:p>
        </w:tc>
        <w:tc>
          <w:tcPr>
            <w:tcW w:w="8000" w:type="dxa"/>
            <w:vAlign w:val="bottom"/>
            <w:shd w:val="clear" w:color="auto" w:fill="9DBDE4"/>
          </w:tcPr>
          <w:p>
            <w:pPr>
              <w:ind w:left="100"/>
              <w:spacing w:after="0"/>
              <w:rPr>
                <w:sz w:val="20"/>
                <w:szCs w:val="20"/>
                <w:color w:val="auto"/>
              </w:rPr>
            </w:pPr>
            <w:r>
              <w:rPr>
                <w:rFonts w:ascii="Arial" w:cs="Arial" w:eastAsia="Arial" w:hAnsi="Arial"/>
                <w:sz w:val="16"/>
                <w:szCs w:val="16"/>
                <w:color w:val="auto"/>
              </w:rPr>
              <w:t>Fiscal Years For Which Applicable Vesting Conditions Were Satisfied During Fiscal Year.</w:t>
            </w:r>
          </w:p>
        </w:tc>
        <w:tc>
          <w:tcPr>
            <w:tcW w:w="1020" w:type="dxa"/>
            <w:vAlign w:val="bottom"/>
            <w:shd w:val="clear" w:color="auto" w:fill="9DBDE4"/>
          </w:tcPr>
          <w:p>
            <w:pPr>
              <w:jc w:val="right"/>
              <w:ind w:right="2"/>
              <w:spacing w:after="0"/>
              <w:rPr>
                <w:sz w:val="20"/>
                <w:szCs w:val="20"/>
                <w:color w:val="auto"/>
              </w:rPr>
            </w:pPr>
            <w:r>
              <w:rPr>
                <w:rFonts w:ascii="Arial" w:cs="Arial" w:eastAsia="Arial" w:hAnsi="Arial"/>
                <w:sz w:val="16"/>
                <w:szCs w:val="16"/>
                <w:color w:val="auto"/>
              </w:rPr>
              <w:t>$48,174</w:t>
            </w:r>
          </w:p>
        </w:tc>
      </w:tr>
    </w:tbl>
    <w:p>
      <w:pPr>
        <w:ind w:left="1380" w:hanging="296"/>
        <w:spacing w:after="0"/>
        <w:tabs>
          <w:tab w:leader="none" w:pos="13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Fair Value as of Prior Fiscal Year End of Stock Awards and Option Awards Granted in Prior Fiscal Years That</w:t>
      </w:r>
    </w:p>
    <w:tbl>
      <w:tblPr>
        <w:tblLayout w:type="fixed"/>
        <w:tblInd w:w="960" w:type="dxa"/>
        <w:tblCellMar>
          <w:top w:w="0" w:type="dxa"/>
          <w:left w:w="0" w:type="dxa"/>
          <w:bottom w:w="0" w:type="dxa"/>
          <w:right w:w="0" w:type="dxa"/>
        </w:tblCellMar>
      </w:tblPr>
      <w:tr>
        <w:trPr>
          <w:trHeight w:val="180"/>
        </w:trPr>
        <w:tc>
          <w:tcPr>
            <w:tcW w:w="6640" w:type="dxa"/>
            <w:vAlign w:val="bottom"/>
          </w:tcPr>
          <w:p>
            <w:pPr>
              <w:ind w:left="420"/>
              <w:spacing w:after="0" w:line="180" w:lineRule="exact"/>
              <w:rPr>
                <w:sz w:val="20"/>
                <w:szCs w:val="20"/>
                <w:color w:val="auto"/>
              </w:rPr>
            </w:pPr>
            <w:r>
              <w:rPr>
                <w:rFonts w:ascii="Arial" w:cs="Arial" w:eastAsia="Arial" w:hAnsi="Arial"/>
                <w:sz w:val="16"/>
                <w:szCs w:val="16"/>
                <w:color w:val="auto"/>
              </w:rPr>
              <w:t>Failed to Meet Applicable Vesting Conditions During Fiscal Year</w:t>
            </w:r>
          </w:p>
        </w:tc>
        <w:tc>
          <w:tcPr>
            <w:tcW w:w="2700" w:type="dxa"/>
            <w:vAlign w:val="bottom"/>
          </w:tcPr>
          <w:p>
            <w:pPr>
              <w:jc w:val="right"/>
              <w:ind w:right="2"/>
              <w:spacing w:after="0" w:line="180" w:lineRule="exact"/>
              <w:rPr>
                <w:sz w:val="20"/>
                <w:szCs w:val="20"/>
                <w:color w:val="auto"/>
              </w:rPr>
            </w:pPr>
            <w:r>
              <w:rPr>
                <w:rFonts w:ascii="Arial" w:cs="Arial" w:eastAsia="Arial" w:hAnsi="Arial"/>
                <w:sz w:val="16"/>
                <w:szCs w:val="16"/>
                <w:color w:val="auto"/>
              </w:rPr>
              <w:t>($41,366)</w:t>
            </w:r>
          </w:p>
        </w:tc>
      </w:tr>
      <w:tr>
        <w:trPr>
          <w:trHeight w:val="182"/>
        </w:trPr>
        <w:tc>
          <w:tcPr>
            <w:tcW w:w="6640" w:type="dxa"/>
            <w:vAlign w:val="bottom"/>
            <w:tcBorders>
              <w:bottom w:val="single" w:sz="8" w:color="284993"/>
            </w:tcBorders>
            <w:shd w:val="clear" w:color="auto" w:fill="9DBDE4"/>
          </w:tcPr>
          <w:p>
            <w:pPr>
              <w:ind w:left="100"/>
              <w:spacing w:after="0" w:line="182" w:lineRule="exact"/>
              <w:rPr>
                <w:sz w:val="20"/>
                <w:szCs w:val="20"/>
                <w:color w:val="auto"/>
              </w:rPr>
            </w:pPr>
            <w:r>
              <w:rPr>
                <w:rFonts w:ascii="Arial" w:cs="Arial" w:eastAsia="Arial" w:hAnsi="Arial"/>
                <w:sz w:val="16"/>
                <w:szCs w:val="16"/>
                <w:color w:val="auto"/>
              </w:rPr>
              <w:t>=   Compensation Actually Paid</w:t>
            </w:r>
          </w:p>
        </w:tc>
        <w:tc>
          <w:tcPr>
            <w:tcW w:w="2700" w:type="dxa"/>
            <w:vAlign w:val="bottom"/>
            <w:tcBorders>
              <w:bottom w:val="single" w:sz="8" w:color="284993"/>
            </w:tcBorders>
            <w:shd w:val="clear" w:color="auto" w:fill="9DBDE4"/>
          </w:tcPr>
          <w:p>
            <w:pPr>
              <w:jc w:val="right"/>
              <w:ind w:right="2"/>
              <w:spacing w:after="0" w:line="182" w:lineRule="exact"/>
              <w:rPr>
                <w:sz w:val="20"/>
                <w:szCs w:val="20"/>
                <w:color w:val="auto"/>
              </w:rPr>
            </w:pPr>
            <w:r>
              <w:rPr>
                <w:rFonts w:ascii="Arial" w:cs="Arial" w:eastAsia="Arial" w:hAnsi="Arial"/>
                <w:sz w:val="16"/>
                <w:szCs w:val="16"/>
                <w:color w:val="auto"/>
              </w:rPr>
              <w:t>$3,352,988</w:t>
            </w:r>
          </w:p>
        </w:tc>
      </w:tr>
    </w:tbl>
    <w:p>
      <w:pPr>
        <w:spacing w:after="0" w:line="190" w:lineRule="exact"/>
        <w:rPr>
          <w:sz w:val="20"/>
          <w:szCs w:val="20"/>
          <w:color w:val="auto"/>
        </w:rPr>
      </w:pPr>
    </w:p>
    <w:p>
      <w:pPr>
        <w:jc w:val="both"/>
        <w:ind w:left="940" w:right="100"/>
        <w:spacing w:after="0" w:line="263" w:lineRule="auto"/>
        <w:rPr>
          <w:sz w:val="20"/>
          <w:szCs w:val="20"/>
          <w:color w:val="auto"/>
        </w:rPr>
      </w:pPr>
      <w:r>
        <w:rPr>
          <w:rFonts w:ascii="Arial" w:cs="Arial" w:eastAsia="Arial" w:hAnsi="Arial"/>
          <w:sz w:val="12"/>
          <w:szCs w:val="12"/>
          <w:u w:val="single" w:color="auto"/>
          <w:color w:val="auto"/>
        </w:rPr>
        <w:t>Equity Award Valuations</w:t>
      </w:r>
      <w:r>
        <w:rPr>
          <w:rFonts w:ascii="Arial" w:cs="Arial" w:eastAsia="Arial" w:hAnsi="Arial"/>
          <w:sz w:val="12"/>
          <w:szCs w:val="12"/>
          <w:color w:val="auto"/>
        </w:rPr>
        <w:t>: Equity values are computed in accordance with FASB ASC 718, and the valuation assumptions used to calculate fair values did not materially differ from those disclosed at the time of grant.</w:t>
      </w:r>
    </w:p>
    <w:p>
      <w:pPr>
        <w:spacing w:after="0" w:line="35" w:lineRule="exact"/>
        <w:rPr>
          <w:sz w:val="20"/>
          <w:szCs w:val="20"/>
          <w:color w:val="auto"/>
        </w:rPr>
      </w:pPr>
    </w:p>
    <w:p>
      <w:pPr>
        <w:ind w:left="1220" w:right="220" w:hanging="274"/>
        <w:spacing w:after="0" w:line="236" w:lineRule="auto"/>
        <w:tabs>
          <w:tab w:leader="none" w:pos="12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Pursuant to rules of the SEC, the comparison assumes $100 was invested on December 31, 2019 in our common stock and the stock of the stock of the S&amp;P Midcap 400 Index. Historic stock price performance is not necessarily indicative of future stock price performance.</w:t>
      </w:r>
    </w:p>
    <w:p>
      <w:pPr>
        <w:ind w:left="1220" w:hanging="274"/>
        <w:spacing w:after="0" w:line="226" w:lineRule="auto"/>
        <w:tabs>
          <w:tab w:leader="none" w:pos="12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TSR Peer Group consists of the S&amp;P Midcap 400 Index, an independently prepared index.</w:t>
      </w:r>
    </w:p>
    <w:p>
      <w:pPr>
        <w:ind w:left="1220" w:right="80" w:hanging="274"/>
        <w:spacing w:after="0" w:line="232" w:lineRule="auto"/>
        <w:tabs>
          <w:tab w:leader="none" w:pos="12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As noted in the CD&amp;A, for 2023, the Compensation Committee determined that Revenue Net of Interchange was viewed as a core driver of the Company’s performance and stockholder value creation and, accordingly, was utilized as a component in our short-term cash incentive program and PSUs in fiscal year 2023. Revenue Net of Interchange, as used in this disclosure, is defined as revenue net of pass-through interchange revenue. For purposes of calculations of 2023, Revenue Net of Interchange is based on our 2023 budgeted foreign exchange rate, while the other years presented are based on our actual foreign exchange rates. See Appendix A for full reconciliation for Revenue Net of Interchange.</w:t>
      </w:r>
    </w:p>
    <w:p>
      <w:pPr>
        <w:spacing w:after="0" w:line="174" w:lineRule="exact"/>
        <w:rPr>
          <w:sz w:val="20"/>
          <w:szCs w:val="20"/>
          <w:color w:val="auto"/>
        </w:rPr>
      </w:pPr>
    </w:p>
    <w:p>
      <w:pPr>
        <w:ind w:left="940"/>
        <w:spacing w:after="0"/>
        <w:rPr>
          <w:sz w:val="20"/>
          <w:szCs w:val="20"/>
          <w:color w:val="auto"/>
        </w:rPr>
      </w:pPr>
      <w:r>
        <w:rPr>
          <w:rFonts w:ascii="Arial" w:cs="Arial" w:eastAsia="Arial" w:hAnsi="Arial"/>
          <w:sz w:val="24"/>
          <w:szCs w:val="24"/>
          <w:b w:val="1"/>
          <w:bCs w:val="1"/>
          <w:color w:val="284993"/>
        </w:rPr>
        <w:t>Tabular List of Financial Performance Measures</w:t>
      </w:r>
    </w:p>
    <w:p>
      <w:pPr>
        <w:spacing w:after="0" w:line="124" w:lineRule="exact"/>
        <w:rPr>
          <w:sz w:val="20"/>
          <w:szCs w:val="20"/>
          <w:color w:val="auto"/>
        </w:rPr>
      </w:pPr>
    </w:p>
    <w:p>
      <w:pPr>
        <w:ind w:left="940" w:right="220"/>
        <w:spacing w:after="0" w:line="336" w:lineRule="auto"/>
        <w:rPr>
          <w:sz w:val="20"/>
          <w:szCs w:val="20"/>
          <w:color w:val="auto"/>
        </w:rPr>
      </w:pPr>
      <w:r>
        <w:rPr>
          <w:rFonts w:ascii="Arial" w:cs="Arial" w:eastAsia="Arial" w:hAnsi="Arial"/>
          <w:sz w:val="14"/>
          <w:szCs w:val="14"/>
          <w:color w:val="auto"/>
        </w:rPr>
        <w:t>The following is a list of financial performance measures, which in the Company’s assessment represent the most important financial performance measures used by the Company to link compensation actually paid to the NEOs for 2023 to company performance:</w:t>
      </w:r>
    </w:p>
    <w:p>
      <w:pPr>
        <w:spacing w:after="0" w:line="30" w:lineRule="exact"/>
        <w:rPr>
          <w:sz w:val="20"/>
          <w:szCs w:val="20"/>
          <w:color w:val="auto"/>
        </w:rPr>
      </w:pPr>
    </w:p>
    <w:p>
      <w:pPr>
        <w:ind w:left="1300" w:hanging="263"/>
        <w:spacing w:after="0"/>
        <w:tabs>
          <w:tab w:leader="none" w:pos="1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Adjusted EBITDA</w:t>
      </w:r>
    </w:p>
    <w:p>
      <w:pPr>
        <w:spacing w:after="0" w:line="114" w:lineRule="exact"/>
        <w:rPr>
          <w:rFonts w:ascii="Arial" w:cs="Arial" w:eastAsia="Arial" w:hAnsi="Arial"/>
          <w:sz w:val="16"/>
          <w:szCs w:val="16"/>
          <w:color w:val="auto"/>
        </w:rPr>
      </w:pPr>
    </w:p>
    <w:p>
      <w:pPr>
        <w:ind w:left="1300" w:hanging="263"/>
        <w:spacing w:after="0"/>
        <w:tabs>
          <w:tab w:leader="none" w:pos="1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Revenue Net of Interchange Growth</w:t>
      </w:r>
    </w:p>
    <w:p>
      <w:pPr>
        <w:spacing w:after="0" w:line="114" w:lineRule="exact"/>
        <w:rPr>
          <w:rFonts w:ascii="Arial" w:cs="Arial" w:eastAsia="Arial" w:hAnsi="Arial"/>
          <w:sz w:val="16"/>
          <w:szCs w:val="16"/>
          <w:color w:val="auto"/>
        </w:rPr>
      </w:pPr>
    </w:p>
    <w:p>
      <w:pPr>
        <w:ind w:left="1300" w:hanging="263"/>
        <w:spacing w:after="0"/>
        <w:tabs>
          <w:tab w:leader="none" w:pos="1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Net Adjusted EBITDA Margin</w:t>
      </w:r>
    </w:p>
    <w:p>
      <w:pPr>
        <w:spacing w:after="0" w:line="114" w:lineRule="exact"/>
        <w:rPr>
          <w:rFonts w:ascii="Arial" w:cs="Arial" w:eastAsia="Arial" w:hAnsi="Arial"/>
          <w:sz w:val="16"/>
          <w:szCs w:val="16"/>
          <w:color w:val="auto"/>
        </w:rPr>
      </w:pPr>
    </w:p>
    <w:p>
      <w:pPr>
        <w:ind w:left="1300" w:hanging="263"/>
        <w:spacing w:after="0"/>
        <w:tabs>
          <w:tab w:leader="none" w:pos="1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Relative Total Shareholder Return</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69</w:t>
      </w:r>
    </w:p>
    <w:p>
      <w:pPr>
        <w:sectPr>
          <w:pgSz w:w="11900" w:h="16838" w:orient="portrait"/>
          <w:cols w:equalWidth="0" w:num="1">
            <w:col w:w="10300"/>
          </w:cols>
          <w:pgMar w:left="320" w:top="471" w:right="12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96" w:lineRule="exact"/>
        <w:rPr>
          <w:sz w:val="20"/>
          <w:szCs w:val="20"/>
          <w:color w:val="auto"/>
        </w:rPr>
      </w:pPr>
    </w:p>
    <w:p>
      <w:pPr>
        <w:ind w:left="940"/>
        <w:spacing w:after="0"/>
        <w:rPr>
          <w:sz w:val="20"/>
          <w:szCs w:val="20"/>
          <w:color w:val="auto"/>
        </w:rPr>
      </w:pPr>
      <w:r>
        <w:rPr>
          <w:rFonts w:ascii="Arial" w:cs="Arial" w:eastAsia="Arial" w:hAnsi="Arial"/>
          <w:sz w:val="24"/>
          <w:szCs w:val="24"/>
          <w:b w:val="1"/>
          <w:bCs w:val="1"/>
          <w:color w:val="284993"/>
        </w:rPr>
        <w:t>Relationship Between Pay and Performance</w:t>
      </w:r>
    </w:p>
    <w:p>
      <w:pPr>
        <w:spacing w:after="0" w:line="124" w:lineRule="exact"/>
        <w:rPr>
          <w:sz w:val="20"/>
          <w:szCs w:val="20"/>
          <w:color w:val="auto"/>
        </w:rPr>
      </w:pPr>
    </w:p>
    <w:p>
      <w:pPr>
        <w:ind w:left="940"/>
        <w:spacing w:after="0" w:line="241" w:lineRule="auto"/>
        <w:rPr>
          <w:sz w:val="20"/>
          <w:szCs w:val="20"/>
          <w:color w:val="auto"/>
        </w:rPr>
      </w:pPr>
      <w:r>
        <w:rPr>
          <w:rFonts w:ascii="Arial" w:cs="Arial" w:eastAsia="Arial" w:hAnsi="Arial"/>
          <w:sz w:val="16"/>
          <w:szCs w:val="16"/>
          <w:color w:val="auto"/>
        </w:rPr>
        <w:t>“Compensation actually paid” (“CAP”), as required under SEC rules, reflects adjusted values to unvested and vested equity awards during the years shown in the table based on year-end stock prices, various accounting valuation assumptions, and projected performance modifiers but does not necessarily reflect actual amounts paid out for those awards. CAP generally fluctuates due to stock price achievement and varying levels of projected and actual achievement of performance goals. For a discussion of how our Compensation Committee assessed “pay-for-performance” and how our executive compensation program is designed to link executive compensation with the achievement of our financial and strategic objectives as well as stockholder value creation each year, see “Compensation Discussion and Analysis” in this Proxy Statement and in the proxy statements for 2020, 2021, and 2022.</w:t>
      </w:r>
    </w:p>
    <w:p>
      <w:pPr>
        <w:spacing w:after="0" w:line="188" w:lineRule="exact"/>
        <w:rPr>
          <w:sz w:val="20"/>
          <w:szCs w:val="20"/>
          <w:color w:val="auto"/>
        </w:rPr>
      </w:pPr>
    </w:p>
    <w:p>
      <w:pPr>
        <w:ind w:left="940" w:right="380"/>
        <w:spacing w:after="0" w:line="281" w:lineRule="auto"/>
        <w:rPr>
          <w:sz w:val="20"/>
          <w:szCs w:val="20"/>
          <w:color w:val="auto"/>
        </w:rPr>
      </w:pPr>
      <w:r>
        <w:rPr>
          <w:rFonts w:ascii="Arial" w:cs="Arial" w:eastAsia="Arial" w:hAnsi="Arial"/>
          <w:sz w:val="14"/>
          <w:szCs w:val="14"/>
          <w:color w:val="auto"/>
        </w:rPr>
        <w:t>Below are graphs showing the relationship of “Compensation Actually Paid” to our CEO and other NEOs (on average) in our fiscal years 2020, 2021, 2022, and 2023 to (1) TSR of both our common stock and the S&amp;P 400 Midcap Index, (2) our net income, and</w:t>
      </w:r>
    </w:p>
    <w:p>
      <w:pPr>
        <w:spacing w:after="0" w:line="1" w:lineRule="exact"/>
        <w:rPr>
          <w:sz w:val="20"/>
          <w:szCs w:val="20"/>
          <w:color w:val="auto"/>
        </w:rPr>
      </w:pPr>
    </w:p>
    <w:p>
      <w:pPr>
        <w:ind w:left="940" w:right="140" w:firstLine="6"/>
        <w:spacing w:after="0" w:line="246" w:lineRule="auto"/>
        <w:tabs>
          <w:tab w:leader="none" w:pos="1174" w:val="left"/>
        </w:tabs>
        <w:numPr>
          <w:ilvl w:val="0"/>
          <w:numId w:val="62"/>
        </w:numPr>
        <w:rPr>
          <w:rFonts w:ascii="Arial" w:cs="Arial" w:eastAsia="Arial" w:hAnsi="Arial"/>
          <w:sz w:val="16"/>
          <w:szCs w:val="16"/>
          <w:color w:val="auto"/>
        </w:rPr>
      </w:pPr>
      <w:r>
        <w:rPr>
          <w:rFonts w:ascii="Arial" w:cs="Arial" w:eastAsia="Arial" w:hAnsi="Arial"/>
          <w:sz w:val="16"/>
          <w:szCs w:val="16"/>
          <w:color w:val="auto"/>
        </w:rPr>
        <w:t>our Revenue Net of Interchange. The first graph also shows a comparison between our TSR of our common stock and of the S&amp;P Midcap 400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139065</wp:posOffset>
            </wp:positionV>
            <wp:extent cx="4521835" cy="3308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521835"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284993"/>
        </w:rPr>
        <w:t>70</w:t>
      </w:r>
    </w:p>
    <w:p>
      <w:pPr>
        <w:sectPr>
          <w:pgSz w:w="11900" w:h="16838" w:orient="portrait"/>
          <w:cols w:equalWidth="0" w:num="1">
            <w:col w:w="10260"/>
          </w:cols>
          <w:pgMar w:left="320" w:top="471" w:right="1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1834515</wp:posOffset>
            </wp:positionH>
            <wp:positionV relativeFrom="paragraph">
              <wp:posOffset>201930</wp:posOffset>
            </wp:positionV>
            <wp:extent cx="3474085" cy="62052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74085" cy="6205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71</w:t>
      </w:r>
    </w:p>
    <w:p>
      <w:pPr>
        <w:sectPr>
          <w:pgSz w:w="11900" w:h="16838" w:orient="portrait"/>
          <w:cols w:equalWidth="0" w:num="1">
            <w:col w:w="10300"/>
          </w:cols>
          <w:pgMar w:left="320" w:top="470" w:right="1279" w:bottom="1440" w:gutter="0" w:footer="0" w:header="0"/>
        </w:sectPr>
      </w:pPr>
    </w:p>
    <w:bookmarkStart w:id="77" w:name="page78"/>
    <w:bookmarkEnd w:id="77"/>
    <w:p>
      <w:pPr>
        <w:jc w:val="center"/>
        <w:ind w:left="1300" w:right="700"/>
        <w:spacing w:after="0" w:line="271" w:lineRule="auto"/>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150495</wp:posOffset>
            </wp:positionV>
            <wp:extent cx="59410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Review and Approval of Related Person Transactions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Audit Committee charter, any proposed related person transaction is to be submitted to the Audit Committee for review</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and approval, and no such transaction may be entered into without the Audit Committee’s prior approval. A “related person transaction”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is a transaction between us and a related person in which the aggregate amount involved exceeds or may be expected to exceed</w:t>
      </w:r>
    </w:p>
    <w:p>
      <w:pPr>
        <w:spacing w:after="0"/>
        <w:rPr>
          <w:sz w:val="20"/>
          <w:szCs w:val="20"/>
          <w:color w:val="auto"/>
        </w:rPr>
      </w:pPr>
      <w:r>
        <w:rPr>
          <w:rFonts w:ascii="Arial" w:cs="Arial" w:eastAsia="Arial" w:hAnsi="Arial"/>
          <w:sz w:val="14"/>
          <w:szCs w:val="14"/>
          <w:color w:val="auto"/>
        </w:rPr>
        <w:t>$120,000 and in which the related person has or will have a direct or indirect material interest. Related persons include our directors,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executive officers, their respective immediate family members and 5% beneficial owners of our common stock. The Audit Committee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reviews and considers each transaction in light of the specific facts and circumstances presented.</w:t>
      </w:r>
    </w:p>
    <w:p>
      <w:pPr>
        <w:spacing w:after="0" w:line="253" w:lineRule="exact"/>
        <w:rPr>
          <w:sz w:val="20"/>
          <w:szCs w:val="20"/>
          <w:color w:val="auto"/>
        </w:rPr>
      </w:pPr>
    </w:p>
    <w:p>
      <w:pPr>
        <w:jc w:val="center"/>
        <w:ind w:left="1320" w:right="440"/>
        <w:spacing w:after="0" w:line="271" w:lineRule="auto"/>
        <w:rPr>
          <w:sz w:val="20"/>
          <w:szCs w:val="20"/>
          <w:color w:val="auto"/>
        </w:rPr>
      </w:pPr>
      <w:r>
        <w:rPr>
          <w:rFonts w:ascii="Arial" w:cs="Arial" w:eastAsia="Arial" w:hAnsi="Arial"/>
          <w:sz w:val="52"/>
          <w:szCs w:val="52"/>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158750</wp:posOffset>
            </wp:positionV>
            <wp:extent cx="59410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During 2023, James C. Hale, Mary P. Harman, and Samir Zabaneh served on the Compensation Committee. No member of the Compensation Committee was at any time during 2023, or at any other time, an officer or employee of ACI. None of our executive officers currently serves, or in 2023 has served, as a member of the board of directors or compensation committee (or other board committee performing equivalent functions) of any other company that has one or more of its executive officers serving on our Board or Compensation Committee.</w:t>
      </w:r>
    </w:p>
    <w:p>
      <w:pPr>
        <w:spacing w:after="0" w:line="244" w:lineRule="exact"/>
        <w:rPr>
          <w:sz w:val="20"/>
          <w:szCs w:val="20"/>
          <w:color w:val="auto"/>
        </w:rPr>
      </w:pPr>
    </w:p>
    <w:p>
      <w:pPr>
        <w:jc w:val="center"/>
        <w:ind w:left="1300" w:right="160"/>
        <w:spacing w:after="0" w:line="271" w:lineRule="auto"/>
        <w:rPr>
          <w:sz w:val="20"/>
          <w:szCs w:val="20"/>
          <w:color w:val="auto"/>
        </w:rPr>
      </w:pPr>
      <w:r>
        <w:rPr>
          <w:rFonts w:ascii="Arial" w:cs="Arial" w:eastAsia="Arial" w:hAnsi="Arial"/>
          <w:sz w:val="52"/>
          <w:szCs w:val="52"/>
          <w:color w:val="auto"/>
        </w:rPr>
        <w:t>Delivery of Documents to Stockholders Sharing an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150495</wp:posOffset>
            </wp:positionV>
            <wp:extent cx="59410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A number of brokers with account holders who are ACI stockholders will be “householding” our proxy materials. A single Internet Availability Notice, set of proxy materials or annual report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Internet Availability Notice and/or separate proxy statement and annual report, please notify your broker and direct your written request to ACI’s office located at 6060 Coventry Drive, Elkhorn, NE 68022 or call (402) 390-7600. ACI undertakes to deliver promptly to a stockholder upon such written or oral request a separate Internet Availability Notice, set of proxy materials or annual report.</w:t>
      </w:r>
    </w:p>
    <w:p>
      <w:pPr>
        <w:spacing w:after="0" w:line="344"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Stockholders who currently receive multiple copies of the proxy materials at their address and would like to request “householding” of their communications should contact their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72390</wp:posOffset>
            </wp:positionV>
            <wp:extent cx="693420" cy="1320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3420" cy="13208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72</w:t>
      </w:r>
    </w:p>
    <w:p>
      <w:pPr>
        <w:sectPr>
          <w:pgSz w:w="11900" w:h="16838" w:orient="portrait"/>
          <w:cols w:equalWidth="0" w:num="1">
            <w:col w:w="9320"/>
          </w:cols>
          <w:pgMar w:left="1260" w:top="254" w:right="1319" w:bottom="1440" w:gutter="0" w:footer="0" w:header="0"/>
        </w:sectPr>
      </w:pPr>
    </w:p>
    <w:bookmarkStart w:id="78" w:name="page79"/>
    <w:bookmarkEnd w:id="78"/>
    <w:p>
      <w:pPr>
        <w:jc w:val="center"/>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257175</wp:posOffset>
            </wp:positionV>
            <wp:extent cx="59410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260"/>
        <w:spacing w:after="0" w:line="244" w:lineRule="auto"/>
        <w:rPr>
          <w:sz w:val="20"/>
          <w:szCs w:val="20"/>
          <w:color w:val="auto"/>
        </w:rPr>
      </w:pPr>
      <w:r>
        <w:rPr>
          <w:rFonts w:ascii="Arial" w:cs="Arial" w:eastAsia="Arial" w:hAnsi="Arial"/>
          <w:sz w:val="16"/>
          <w:szCs w:val="16"/>
          <w:color w:val="auto"/>
        </w:rPr>
        <w:t>Stockholders may obtain a copy of our Annual Report and a list of the exhibits thereto without charge by written request delivered to ACI, Attn: Investor Relations, 6060 Coventry Drive, Elkhorn, NE 68022. Our annual reports on Form 10-K, quarterly reports on Form 10-Q, current reports on Form 8-K, and amendments to those reports filed or furnished pursuant to Section 13(a) or 15(d) of the Securities Exchange Act of 1934, as amended, are available on our website at aciworldwide.com as soon as reasonably practicable after we file such information electronically with the SEC.</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Stockholder Communications with our Board</w:t>
      </w:r>
    </w:p>
    <w:p>
      <w:pPr>
        <w:spacing w:after="0" w:line="124" w:lineRule="exact"/>
        <w:rPr>
          <w:sz w:val="20"/>
          <w:szCs w:val="20"/>
          <w:color w:val="auto"/>
        </w:rPr>
      </w:pPr>
    </w:p>
    <w:p>
      <w:pPr>
        <w:ind w:right="240"/>
        <w:spacing w:after="0" w:line="246" w:lineRule="auto"/>
        <w:rPr>
          <w:sz w:val="20"/>
          <w:szCs w:val="20"/>
          <w:color w:val="auto"/>
        </w:rPr>
      </w:pPr>
      <w:r>
        <w:rPr>
          <w:rFonts w:ascii="Arial" w:cs="Arial" w:eastAsia="Arial" w:hAnsi="Arial"/>
          <w:sz w:val="16"/>
          <w:szCs w:val="16"/>
          <w:color w:val="auto"/>
        </w:rPr>
        <w:t>Communications from stockholders to our Board, including stockholder director recommendations as well as stockholder proposals submitted in accordance with the procedures described in this Proxy Statement, may be delivered to our Secretary at 6060 Coventry Drive, Elkhorn, NE 68022; or via telephone to (402) 390-7600. These communications will be received by our Secretary, who will forward them to the appropriate members of our Board.</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73</w:t>
      </w:r>
    </w:p>
    <w:p>
      <w:pPr>
        <w:sectPr>
          <w:pgSz w:w="11900" w:h="16838" w:orient="portrait"/>
          <w:cols w:equalWidth="0" w:num="1">
            <w:col w:w="9360"/>
          </w:cols>
          <w:pgMar w:left="1260" w:top="254" w:right="1279" w:bottom="1440" w:gutter="0" w:footer="0" w:header="0"/>
        </w:sectPr>
      </w:pPr>
    </w:p>
    <w:bookmarkStart w:id="79" w:name="page80"/>
    <w:bookmarkEnd w:id="79"/>
    <w:p>
      <w:pPr>
        <w:jc w:val="center"/>
        <w:ind w:right="-59"/>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257175</wp:posOffset>
            </wp:positionV>
            <wp:extent cx="59410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Board does not know of any matters that are to be presented at the Annual Meeting other than those stated in the Notice of Annual Meeting and referred to in this Proxy Statement. If any other matters should properly come before the Annual Meeting, it is intended that the proxies in the accompanying form will be voted as the persons named therein may determine in their discretion.</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98425</wp:posOffset>
            </wp:positionV>
            <wp:extent cx="693420" cy="1320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3420" cy="13208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74</w:t>
      </w:r>
    </w:p>
    <w:p>
      <w:pPr>
        <w:sectPr>
          <w:pgSz w:w="11900" w:h="16838" w:orient="portrait"/>
          <w:cols w:equalWidth="0" w:num="1">
            <w:col w:w="9320"/>
          </w:cols>
          <w:pgMar w:left="1260" w:top="254" w:right="1319" w:bottom="1440" w:gutter="0" w:footer="0" w:header="0"/>
        </w:sectPr>
      </w:pPr>
    </w:p>
    <w:bookmarkStart w:id="80" w:name="page81"/>
    <w:bookmarkEnd w:id="80"/>
    <w:p>
      <w:pPr>
        <w:jc w:val="center"/>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257175</wp:posOffset>
            </wp:positionV>
            <wp:extent cx="59410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80"/>
        <w:spacing w:after="0"/>
        <w:rPr>
          <w:sz w:val="20"/>
          <w:szCs w:val="20"/>
          <w:color w:val="auto"/>
        </w:rPr>
      </w:pPr>
      <w:r>
        <w:rPr>
          <w:rFonts w:ascii="Arial" w:cs="Arial" w:eastAsia="Arial" w:hAnsi="Arial"/>
          <w:sz w:val="16"/>
          <w:szCs w:val="16"/>
          <w:color w:val="auto"/>
        </w:rPr>
        <w:t>We provide the information below to reconcile to GAAP those non-GAAP financial metrics used by management to measure performance and those financial metrics used that are either non-GAAP financial metrics or reflect approved adjustments. The non-GAAP measures exclude significant transaction-related expenses, as well as other significant non-cash expenses such as depreciation, amortization, and stock-based compensation, that we believe are helpful in understanding our past financial performance and our future results. The presentation of these non-GAAP financial measures should be considered in addition to our GAAP results and are not intended to be considered in isolation or as a substitute for the financial information prepared and presented in accordance with GAAP. Management generally compensates for limitations in the use of non-GAAP financial measures by relying on comparable GAAP financial measures and providing investors with a reconciliation of non-GAAP financial measures only in addition to and in conjunction with results presented in accordance with GAAP. We believe that these non-GAAP financial measures reflect an additional way to view aspects of our operations that, when viewed with our GAAP results, provide a more complete understanding of factors and trends affecting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Revenue Net of Interchange</w:t>
      </w:r>
    </w:p>
    <w:p>
      <w:pPr>
        <w:spacing w:after="0" w:line="102" w:lineRule="exact"/>
        <w:rPr>
          <w:sz w:val="20"/>
          <w:szCs w:val="20"/>
          <w:color w:val="auto"/>
        </w:rPr>
      </w:pPr>
    </w:p>
    <w:p>
      <w:pPr>
        <w:ind w:right="120"/>
        <w:spacing w:after="0" w:line="242" w:lineRule="auto"/>
        <w:rPr>
          <w:sz w:val="20"/>
          <w:szCs w:val="20"/>
          <w:color w:val="auto"/>
        </w:rPr>
      </w:pPr>
      <w:r>
        <w:rPr>
          <w:rFonts w:ascii="Arial" w:cs="Arial" w:eastAsia="Arial" w:hAnsi="Arial"/>
          <w:sz w:val="16"/>
          <w:szCs w:val="16"/>
          <w:color w:val="auto"/>
        </w:rPr>
        <w:t>Revenue Net of Interchange is a non-GAAP financial measure defined as revenue net of pass-through interchange revenue. Revenue Net of Interchange should be considered in addition to, rather than as a substitute for, revenue. For purposes of calculations under our 2023 short-term incentive program awards and our 2023 PSU awards, we further adjusted Revenue Net of Interchange (including for purposes of calculating Net Adjusted EBITDA Margin) to be based on our 2023 budgeted foreign exchange rate rather than our actual foreign exchange rates. The following is a reconciliation of Revenue Net of Interchange to revenue for the years ended December 31, 2023 and 2022:</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96"/>
        </w:trPr>
        <w:tc>
          <w:tcPr>
            <w:tcW w:w="3880" w:type="dxa"/>
            <w:vAlign w:val="bottom"/>
            <w:gridSpan w:val="2"/>
          </w:tcPr>
          <w:p>
            <w:pPr>
              <w:spacing w:after="0"/>
              <w:rPr>
                <w:sz w:val="20"/>
                <w:szCs w:val="20"/>
                <w:color w:val="auto"/>
              </w:rPr>
            </w:pPr>
            <w:r>
              <w:rPr>
                <w:rFonts w:ascii="Arial" w:cs="Arial" w:eastAsia="Arial" w:hAnsi="Arial"/>
                <w:sz w:val="16"/>
                <w:szCs w:val="16"/>
                <w:color w:val="auto"/>
              </w:rPr>
              <w:t>Revenue Net of Interchange (millions)</w:t>
            </w:r>
          </w:p>
        </w:tc>
        <w:tc>
          <w:tcPr>
            <w:tcW w:w="120" w:type="dxa"/>
            <w:vAlign w:val="bottom"/>
          </w:tcPr>
          <w:p>
            <w:pPr>
              <w:spacing w:after="0"/>
              <w:rPr>
                <w:sz w:val="17"/>
                <w:szCs w:val="17"/>
                <w:color w:val="auto"/>
              </w:rPr>
            </w:pPr>
          </w:p>
        </w:tc>
        <w:tc>
          <w:tcPr>
            <w:tcW w:w="3100" w:type="dxa"/>
            <w:vAlign w:val="bottom"/>
            <w:gridSpan w:val="8"/>
          </w:tcPr>
          <w:p>
            <w:pPr>
              <w:ind w:left="260"/>
              <w:spacing w:after="0"/>
              <w:rPr>
                <w:sz w:val="20"/>
                <w:szCs w:val="20"/>
                <w:color w:val="auto"/>
              </w:rPr>
            </w:pPr>
            <w:r>
              <w:rPr>
                <w:rFonts w:ascii="Arial" w:cs="Arial" w:eastAsia="Arial" w:hAnsi="Arial"/>
                <w:sz w:val="16"/>
                <w:szCs w:val="16"/>
                <w:b w:val="1"/>
                <w:bCs w:val="1"/>
                <w:color w:val="auto"/>
              </w:rPr>
              <w:t>Years Ended December 31,</w:t>
            </w:r>
          </w:p>
        </w:tc>
      </w:tr>
      <w:tr>
        <w:trPr>
          <w:trHeight w:val="175"/>
        </w:trPr>
        <w:tc>
          <w:tcPr>
            <w:tcW w:w="3400" w:type="dxa"/>
            <w:vAlign w:val="bottom"/>
          </w:tcPr>
          <w:p>
            <w:pPr>
              <w:spacing w:after="0"/>
              <w:rPr>
                <w:sz w:val="15"/>
                <w:szCs w:val="15"/>
                <w:color w:val="auto"/>
              </w:rPr>
            </w:pPr>
          </w:p>
        </w:tc>
        <w:tc>
          <w:tcPr>
            <w:tcW w:w="480" w:type="dxa"/>
            <w:vAlign w:val="bottom"/>
            <w:tcBorders>
              <w:top w:val="single" w:sz="8" w:color="auto"/>
            </w:tcBorders>
          </w:tcPr>
          <w:p>
            <w:pPr>
              <w:ind w:left="340"/>
              <w:spacing w:after="0" w:line="175" w:lineRule="exact"/>
              <w:rPr>
                <w:sz w:val="20"/>
                <w:szCs w:val="20"/>
                <w:color w:val="auto"/>
              </w:rPr>
            </w:pPr>
            <w:r>
              <w:rPr>
                <w:rFonts w:ascii="Arial" w:cs="Arial" w:eastAsia="Arial" w:hAnsi="Arial"/>
                <w:sz w:val="16"/>
                <w:szCs w:val="16"/>
                <w:b w:val="1"/>
                <w:bCs w:val="1"/>
                <w:color w:val="auto"/>
                <w:w w:val="74"/>
              </w:rPr>
              <w:t> </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w w:val="72"/>
              </w:rPr>
              <w:t> </w:t>
            </w:r>
          </w:p>
        </w:tc>
        <w:tc>
          <w:tcPr>
            <w:tcW w:w="1440" w:type="dxa"/>
            <w:vAlign w:val="bottom"/>
            <w:tcBorders>
              <w:top w:val="single" w:sz="8" w:color="auto"/>
            </w:tcBorders>
            <w:gridSpan w:val="4"/>
          </w:tcPr>
          <w:p>
            <w:pPr>
              <w:ind w:left="60"/>
              <w:spacing w:after="0" w:line="175" w:lineRule="exact"/>
              <w:rPr>
                <w:sz w:val="20"/>
                <w:szCs w:val="20"/>
                <w:color w:val="auto"/>
              </w:rPr>
            </w:pPr>
            <w:r>
              <w:rPr>
                <w:rFonts w:ascii="Arial" w:cs="Arial" w:eastAsia="Arial" w:hAnsi="Arial"/>
                <w:sz w:val="16"/>
                <w:szCs w:val="16"/>
                <w:b w:val="1"/>
                <w:bCs w:val="1"/>
                <w:color w:val="auto"/>
              </w:rPr>
              <w:t xml:space="preserve">2023    </w:t>
            </w:r>
          </w:p>
        </w:tc>
        <w:tc>
          <w:tcPr>
            <w:tcW w:w="600" w:type="dxa"/>
            <w:vAlign w:val="bottom"/>
            <w:tcBorders>
              <w:top w:val="single" w:sz="8" w:color="auto"/>
            </w:tcBorders>
            <w:gridSpan w:val="2"/>
          </w:tcPr>
          <w:p>
            <w:pPr>
              <w:ind w:left="340"/>
              <w:spacing w:after="0" w:line="175" w:lineRule="exact"/>
              <w:rPr>
                <w:sz w:val="20"/>
                <w:szCs w:val="20"/>
                <w:color w:val="auto"/>
              </w:rPr>
            </w:pPr>
            <w:r>
              <w:rPr>
                <w:rFonts w:ascii="Arial" w:cs="Arial" w:eastAsia="Arial" w:hAnsi="Arial"/>
                <w:sz w:val="16"/>
                <w:szCs w:val="16"/>
                <w:b w:val="1"/>
                <w:bCs w:val="1"/>
                <w:color w:val="auto"/>
              </w:rPr>
              <w:t xml:space="preserve">    </w:t>
            </w:r>
          </w:p>
        </w:tc>
        <w:tc>
          <w:tcPr>
            <w:tcW w:w="1060" w:type="dxa"/>
            <w:vAlign w:val="bottom"/>
            <w:tcBorders>
              <w:top w:val="single" w:sz="8" w:color="auto"/>
            </w:tcBorders>
            <w:gridSpan w:val="2"/>
          </w:tcPr>
          <w:p>
            <w:pPr>
              <w:ind w:left="60"/>
              <w:spacing w:after="0" w:line="175" w:lineRule="exact"/>
              <w:rPr>
                <w:sz w:val="20"/>
                <w:szCs w:val="20"/>
                <w:color w:val="auto"/>
              </w:rPr>
            </w:pPr>
            <w:r>
              <w:rPr>
                <w:rFonts w:ascii="Arial" w:cs="Arial" w:eastAsia="Arial" w:hAnsi="Arial"/>
                <w:sz w:val="16"/>
                <w:szCs w:val="16"/>
                <w:b w:val="1"/>
                <w:bCs w:val="1"/>
                <w:color w:val="auto"/>
              </w:rPr>
              <w:t xml:space="preserve">2022    </w:t>
            </w:r>
          </w:p>
        </w:tc>
      </w:tr>
      <w:tr>
        <w:trPr>
          <w:trHeight w:val="175"/>
        </w:trPr>
        <w:tc>
          <w:tcPr>
            <w:tcW w:w="3400" w:type="dxa"/>
            <w:vAlign w:val="bottom"/>
            <w:tcBorders>
              <w:top w:val="single" w:sz="8" w:color="9DBDE4"/>
            </w:tcBorders>
            <w:shd w:val="clear" w:color="auto" w:fill="9DBDE4"/>
          </w:tcPr>
          <w:p>
            <w:pPr>
              <w:ind w:left="100"/>
              <w:spacing w:after="0" w:line="175" w:lineRule="exact"/>
              <w:rPr>
                <w:sz w:val="20"/>
                <w:szCs w:val="20"/>
                <w:color w:val="auto"/>
              </w:rPr>
            </w:pPr>
            <w:r>
              <w:rPr>
                <w:rFonts w:ascii="Arial" w:cs="Arial" w:eastAsia="Arial" w:hAnsi="Arial"/>
                <w:sz w:val="16"/>
                <w:szCs w:val="16"/>
                <w:b w:val="1"/>
                <w:bCs w:val="1"/>
                <w:color w:val="auto"/>
              </w:rPr>
              <w:t>Revenue</w:t>
            </w:r>
          </w:p>
        </w:tc>
        <w:tc>
          <w:tcPr>
            <w:tcW w:w="480" w:type="dxa"/>
            <w:vAlign w:val="bottom"/>
            <w:tcBorders>
              <w:top w:val="single" w:sz="8" w:color="auto"/>
            </w:tcBorders>
            <w:shd w:val="clear" w:color="auto" w:fill="9DBDE4"/>
          </w:tcPr>
          <w:p>
            <w:pPr>
              <w:spacing w:after="0"/>
              <w:rPr>
                <w:sz w:val="15"/>
                <w:szCs w:val="15"/>
                <w:color w:val="auto"/>
              </w:rPr>
            </w:pPr>
          </w:p>
        </w:tc>
        <w:tc>
          <w:tcPr>
            <w:tcW w:w="120" w:type="dxa"/>
            <w:vAlign w:val="bottom"/>
            <w:tcBorders>
              <w:top w:val="single" w:sz="8" w:color="auto"/>
            </w:tcBorders>
            <w:shd w:val="clear" w:color="auto" w:fill="9DBDE4"/>
          </w:tcPr>
          <w:p>
            <w:pPr>
              <w:spacing w:after="0" w:line="175" w:lineRule="exact"/>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9DBDE4"/>
          </w:tcPr>
          <w:p>
            <w:pPr>
              <w:jc w:val="right"/>
              <w:spacing w:after="0" w:line="175" w:lineRule="exact"/>
              <w:rPr>
                <w:sz w:val="20"/>
                <w:szCs w:val="20"/>
                <w:color w:val="auto"/>
              </w:rPr>
            </w:pPr>
            <w:r>
              <w:rPr>
                <w:rFonts w:ascii="Arial" w:cs="Arial" w:eastAsia="Arial" w:hAnsi="Arial"/>
                <w:sz w:val="16"/>
                <w:szCs w:val="16"/>
                <w:color w:val="auto"/>
              </w:rPr>
              <w:t>1,452.6</w:t>
            </w:r>
          </w:p>
        </w:tc>
        <w:tc>
          <w:tcPr>
            <w:tcW w:w="20" w:type="dxa"/>
            <w:vAlign w:val="bottom"/>
            <w:tcBorders>
              <w:top w:val="single" w:sz="8" w:color="auto"/>
            </w:tcBorders>
            <w:shd w:val="clear" w:color="auto" w:fill="9DBDE4"/>
          </w:tcPr>
          <w:p>
            <w:pPr>
              <w:spacing w:after="0"/>
              <w:rPr>
                <w:sz w:val="15"/>
                <w:szCs w:val="15"/>
                <w:color w:val="auto"/>
              </w:rPr>
            </w:pPr>
          </w:p>
        </w:tc>
        <w:tc>
          <w:tcPr>
            <w:tcW w:w="460" w:type="dxa"/>
            <w:vAlign w:val="bottom"/>
            <w:tcBorders>
              <w:top w:val="single" w:sz="8" w:color="auto"/>
            </w:tcBorders>
            <w:shd w:val="clear" w:color="auto" w:fill="9DBDE4"/>
          </w:tcPr>
          <w:p>
            <w:pPr>
              <w:spacing w:after="0"/>
              <w:rPr>
                <w:sz w:val="15"/>
                <w:szCs w:val="15"/>
                <w:color w:val="auto"/>
              </w:rPr>
            </w:pPr>
          </w:p>
        </w:tc>
        <w:tc>
          <w:tcPr>
            <w:tcW w:w="380" w:type="dxa"/>
            <w:vAlign w:val="bottom"/>
            <w:tcBorders>
              <w:top w:val="single" w:sz="8" w:color="9DBDE4"/>
            </w:tcBorders>
            <w:shd w:val="clear" w:color="auto" w:fill="9DBDE4"/>
          </w:tcPr>
          <w:p>
            <w:pPr>
              <w:spacing w:after="0"/>
              <w:rPr>
                <w:sz w:val="15"/>
                <w:szCs w:val="15"/>
                <w:color w:val="auto"/>
              </w:rPr>
            </w:pPr>
          </w:p>
        </w:tc>
        <w:tc>
          <w:tcPr>
            <w:tcW w:w="600" w:type="dxa"/>
            <w:vAlign w:val="bottom"/>
            <w:tcBorders>
              <w:top w:val="single" w:sz="8" w:color="auto"/>
            </w:tcBorders>
            <w:gridSpan w:val="2"/>
            <w:shd w:val="clear" w:color="auto" w:fill="9DBDE4"/>
          </w:tcPr>
          <w:p>
            <w:pPr>
              <w:ind w:left="480"/>
              <w:spacing w:after="0" w:line="175" w:lineRule="exact"/>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gridSpan w:val="2"/>
            <w:shd w:val="clear" w:color="auto" w:fill="9DBDE4"/>
          </w:tcPr>
          <w:p>
            <w:pPr>
              <w:jc w:val="right"/>
              <w:ind w:right="480"/>
              <w:spacing w:after="0" w:line="175" w:lineRule="exact"/>
              <w:rPr>
                <w:sz w:val="20"/>
                <w:szCs w:val="20"/>
                <w:color w:val="auto"/>
              </w:rPr>
            </w:pPr>
            <w:r>
              <w:rPr>
                <w:rFonts w:ascii="Arial" w:cs="Arial" w:eastAsia="Arial" w:hAnsi="Arial"/>
                <w:sz w:val="16"/>
                <w:szCs w:val="16"/>
                <w:color w:val="auto"/>
              </w:rPr>
              <w:t>1,421.9</w:t>
            </w:r>
          </w:p>
        </w:tc>
      </w:tr>
      <w:tr>
        <w:trPr>
          <w:trHeight w:val="182"/>
        </w:trPr>
        <w:tc>
          <w:tcPr>
            <w:tcW w:w="3880" w:type="dxa"/>
            <w:vAlign w:val="bottom"/>
            <w:gridSpan w:val="2"/>
          </w:tcPr>
          <w:p>
            <w:pPr>
              <w:ind w:left="100"/>
              <w:spacing w:after="0" w:line="182" w:lineRule="exact"/>
              <w:rPr>
                <w:sz w:val="20"/>
                <w:szCs w:val="20"/>
                <w:color w:val="auto"/>
              </w:rPr>
            </w:pPr>
            <w:r>
              <w:rPr>
                <w:rFonts w:ascii="Arial" w:cs="Arial" w:eastAsia="Arial" w:hAnsi="Arial"/>
                <w:sz w:val="16"/>
                <w:szCs w:val="16"/>
                <w:color w:val="auto"/>
              </w:rPr>
              <w:t>Minus:</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3880" w:type="dxa"/>
            <w:vAlign w:val="bottom"/>
            <w:gridSpan w:val="2"/>
            <w:shd w:val="clear" w:color="auto" w:fill="9DBDE4"/>
          </w:tcPr>
          <w:p>
            <w:pPr>
              <w:ind w:left="100"/>
              <w:spacing w:after="0" w:line="182" w:lineRule="exact"/>
              <w:rPr>
                <w:sz w:val="20"/>
                <w:szCs w:val="20"/>
                <w:color w:val="auto"/>
              </w:rPr>
            </w:pPr>
            <w:r>
              <w:rPr>
                <w:rFonts w:ascii="Arial" w:cs="Arial" w:eastAsia="Arial" w:hAnsi="Arial"/>
                <w:sz w:val="16"/>
                <w:szCs w:val="16"/>
                <w:color w:val="auto"/>
              </w:rPr>
              <w:t>Pass-through Interchange Revenue</w:t>
            </w:r>
          </w:p>
        </w:tc>
        <w:tc>
          <w:tcPr>
            <w:tcW w:w="120" w:type="dxa"/>
            <w:vAlign w:val="bottom"/>
            <w:shd w:val="clear" w:color="auto" w:fill="9DBDE4"/>
          </w:tcPr>
          <w:p>
            <w:pPr>
              <w:spacing w:after="0"/>
              <w:rPr>
                <w:sz w:val="15"/>
                <w:szCs w:val="15"/>
                <w:color w:val="auto"/>
              </w:rPr>
            </w:pPr>
          </w:p>
        </w:tc>
        <w:tc>
          <w:tcPr>
            <w:tcW w:w="600" w:type="dxa"/>
            <w:vAlign w:val="bottom"/>
            <w:gridSpan w:val="2"/>
            <w:shd w:val="clear" w:color="auto" w:fill="9DBDE4"/>
          </w:tcPr>
          <w:p>
            <w:pPr>
              <w:jc w:val="right"/>
              <w:ind w:right="20"/>
              <w:spacing w:after="0" w:line="182" w:lineRule="exact"/>
              <w:rPr>
                <w:sz w:val="20"/>
                <w:szCs w:val="20"/>
                <w:color w:val="auto"/>
              </w:rPr>
            </w:pPr>
            <w:r>
              <w:rPr>
                <w:rFonts w:ascii="Arial" w:cs="Arial" w:eastAsia="Arial" w:hAnsi="Arial"/>
                <w:sz w:val="16"/>
                <w:szCs w:val="16"/>
                <w:color w:val="auto"/>
              </w:rPr>
              <w:t>421.1</w:t>
            </w:r>
          </w:p>
        </w:tc>
        <w:tc>
          <w:tcPr>
            <w:tcW w:w="460" w:type="dxa"/>
            <w:vAlign w:val="bottom"/>
            <w:shd w:val="clear" w:color="auto" w:fill="9DBDE4"/>
          </w:tcPr>
          <w:p>
            <w:pPr>
              <w:spacing w:after="0"/>
              <w:rPr>
                <w:sz w:val="15"/>
                <w:szCs w:val="15"/>
                <w:color w:val="auto"/>
              </w:rPr>
            </w:pPr>
          </w:p>
        </w:tc>
        <w:tc>
          <w:tcPr>
            <w:tcW w:w="380" w:type="dxa"/>
            <w:vAlign w:val="bottom"/>
            <w:shd w:val="clear" w:color="auto" w:fill="9DBDE4"/>
          </w:tcPr>
          <w:p>
            <w:pPr>
              <w:spacing w:after="0"/>
              <w:rPr>
                <w:sz w:val="15"/>
                <w:szCs w:val="15"/>
                <w:color w:val="auto"/>
              </w:rPr>
            </w:pPr>
          </w:p>
        </w:tc>
        <w:tc>
          <w:tcPr>
            <w:tcW w:w="480" w:type="dxa"/>
            <w:vAlign w:val="bottom"/>
            <w:shd w:val="clear" w:color="auto" w:fill="9DBDE4"/>
          </w:tcPr>
          <w:p>
            <w:pPr>
              <w:spacing w:after="0"/>
              <w:rPr>
                <w:sz w:val="15"/>
                <w:szCs w:val="15"/>
                <w:color w:val="auto"/>
              </w:rPr>
            </w:pPr>
          </w:p>
        </w:tc>
        <w:tc>
          <w:tcPr>
            <w:tcW w:w="120" w:type="dxa"/>
            <w:vAlign w:val="bottom"/>
            <w:shd w:val="clear" w:color="auto" w:fill="9DBDE4"/>
          </w:tcPr>
          <w:p>
            <w:pPr>
              <w:spacing w:after="0"/>
              <w:rPr>
                <w:sz w:val="15"/>
                <w:szCs w:val="15"/>
                <w:color w:val="auto"/>
              </w:rPr>
            </w:pPr>
          </w:p>
        </w:tc>
        <w:tc>
          <w:tcPr>
            <w:tcW w:w="1060" w:type="dxa"/>
            <w:vAlign w:val="bottom"/>
            <w:gridSpan w:val="2"/>
            <w:shd w:val="clear" w:color="auto" w:fill="9DBDE4"/>
          </w:tcPr>
          <w:p>
            <w:pPr>
              <w:jc w:val="right"/>
              <w:ind w:right="480"/>
              <w:spacing w:after="0" w:line="182" w:lineRule="exact"/>
              <w:rPr>
                <w:sz w:val="20"/>
                <w:szCs w:val="20"/>
                <w:color w:val="auto"/>
              </w:rPr>
            </w:pPr>
            <w:r>
              <w:rPr>
                <w:rFonts w:ascii="Arial" w:cs="Arial" w:eastAsia="Arial" w:hAnsi="Arial"/>
                <w:sz w:val="16"/>
                <w:szCs w:val="16"/>
                <w:color w:val="auto"/>
              </w:rPr>
              <w:t>406.6</w:t>
            </w:r>
          </w:p>
        </w:tc>
      </w:tr>
      <w:tr>
        <w:trPr>
          <w:trHeight w:val="201"/>
        </w:trPr>
        <w:tc>
          <w:tcPr>
            <w:tcW w:w="3880" w:type="dxa"/>
            <w:vAlign w:val="bottom"/>
            <w:gridSpan w:val="2"/>
          </w:tcPr>
          <w:p>
            <w:pPr>
              <w:ind w:left="100"/>
              <w:spacing w:after="0"/>
              <w:rPr>
                <w:sz w:val="20"/>
                <w:szCs w:val="20"/>
                <w:color w:val="auto"/>
              </w:rPr>
            </w:pPr>
            <w:r>
              <w:rPr>
                <w:rFonts w:ascii="Arial" w:cs="Arial" w:eastAsia="Arial" w:hAnsi="Arial"/>
                <w:sz w:val="16"/>
                <w:szCs w:val="16"/>
                <w:b w:val="1"/>
                <w:bCs w:val="1"/>
                <w:color w:val="auto"/>
              </w:rPr>
              <w:t>Revenue Net of Interchange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u w:val="single" w:color="auto"/>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1,031.5</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u w:val="single" w:color="auto"/>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1,015.3</w:t>
            </w:r>
          </w:p>
        </w:tc>
        <w:tc>
          <w:tcPr>
            <w:tcW w:w="480" w:type="dxa"/>
            <w:vAlign w:val="bottom"/>
          </w:tcPr>
          <w:p>
            <w:pPr>
              <w:spacing w:after="0"/>
              <w:rPr>
                <w:sz w:val="17"/>
                <w:szCs w:val="17"/>
                <w:color w:val="auto"/>
              </w:rPr>
            </w:pPr>
          </w:p>
        </w:tc>
      </w:tr>
      <w:tr>
        <w:trPr>
          <w:trHeight w:val="20"/>
        </w:trPr>
        <w:tc>
          <w:tcPr>
            <w:tcW w:w="3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62"/>
        </w:trPr>
        <w:tc>
          <w:tcPr>
            <w:tcW w:w="3880" w:type="dxa"/>
            <w:vAlign w:val="bottom"/>
            <w:gridSpan w:val="2"/>
            <w:shd w:val="clear" w:color="auto" w:fill="9DBDE4"/>
          </w:tcPr>
          <w:p>
            <w:pPr>
              <w:ind w:left="100"/>
              <w:spacing w:after="0" w:line="161" w:lineRule="exact"/>
              <w:rPr>
                <w:sz w:val="20"/>
                <w:szCs w:val="20"/>
                <w:color w:val="auto"/>
              </w:rPr>
            </w:pPr>
            <w:r>
              <w:rPr>
                <w:rFonts w:ascii="Arial" w:cs="Arial" w:eastAsia="Arial" w:hAnsi="Arial"/>
                <w:sz w:val="16"/>
                <w:szCs w:val="16"/>
                <w:color w:val="auto"/>
              </w:rPr>
              <w:t>Approved Adjustments Related to Annual</w:t>
            </w:r>
          </w:p>
        </w:tc>
        <w:tc>
          <w:tcPr>
            <w:tcW w:w="120" w:type="dxa"/>
            <w:vAlign w:val="bottom"/>
            <w:shd w:val="clear" w:color="auto" w:fill="9DBDE4"/>
          </w:tcPr>
          <w:p>
            <w:pPr>
              <w:spacing w:after="0"/>
              <w:rPr>
                <w:sz w:val="14"/>
                <w:szCs w:val="14"/>
                <w:color w:val="auto"/>
              </w:rPr>
            </w:pPr>
          </w:p>
        </w:tc>
        <w:tc>
          <w:tcPr>
            <w:tcW w:w="580" w:type="dxa"/>
            <w:vAlign w:val="bottom"/>
            <w:shd w:val="clear" w:color="auto" w:fill="9DBDE4"/>
          </w:tcPr>
          <w:p>
            <w:pPr>
              <w:spacing w:after="0"/>
              <w:rPr>
                <w:sz w:val="14"/>
                <w:szCs w:val="14"/>
                <w:color w:val="auto"/>
              </w:rPr>
            </w:pPr>
          </w:p>
        </w:tc>
        <w:tc>
          <w:tcPr>
            <w:tcW w:w="20" w:type="dxa"/>
            <w:vAlign w:val="bottom"/>
            <w:shd w:val="clear" w:color="auto" w:fill="9DBDE4"/>
          </w:tcPr>
          <w:p>
            <w:pPr>
              <w:spacing w:after="0"/>
              <w:rPr>
                <w:sz w:val="14"/>
                <w:szCs w:val="14"/>
                <w:color w:val="auto"/>
              </w:rPr>
            </w:pPr>
          </w:p>
        </w:tc>
        <w:tc>
          <w:tcPr>
            <w:tcW w:w="460" w:type="dxa"/>
            <w:vAlign w:val="bottom"/>
            <w:shd w:val="clear" w:color="auto" w:fill="9DBDE4"/>
          </w:tcPr>
          <w:p>
            <w:pPr>
              <w:spacing w:after="0"/>
              <w:rPr>
                <w:sz w:val="14"/>
                <w:szCs w:val="14"/>
                <w:color w:val="auto"/>
              </w:rPr>
            </w:pPr>
          </w:p>
        </w:tc>
        <w:tc>
          <w:tcPr>
            <w:tcW w:w="380" w:type="dxa"/>
            <w:vAlign w:val="bottom"/>
            <w:shd w:val="clear" w:color="auto" w:fill="9DBDE4"/>
          </w:tcPr>
          <w:p>
            <w:pPr>
              <w:spacing w:after="0"/>
              <w:rPr>
                <w:sz w:val="14"/>
                <w:szCs w:val="14"/>
                <w:color w:val="auto"/>
              </w:rPr>
            </w:pPr>
          </w:p>
        </w:tc>
        <w:tc>
          <w:tcPr>
            <w:tcW w:w="480" w:type="dxa"/>
            <w:vAlign w:val="bottom"/>
            <w:shd w:val="clear" w:color="auto" w:fill="9DBDE4"/>
          </w:tcPr>
          <w:p>
            <w:pPr>
              <w:spacing w:after="0"/>
              <w:rPr>
                <w:sz w:val="14"/>
                <w:szCs w:val="14"/>
                <w:color w:val="auto"/>
              </w:rPr>
            </w:pPr>
          </w:p>
        </w:tc>
        <w:tc>
          <w:tcPr>
            <w:tcW w:w="120" w:type="dxa"/>
            <w:vAlign w:val="bottom"/>
            <w:shd w:val="clear" w:color="auto" w:fill="9DBDE4"/>
          </w:tcPr>
          <w:p>
            <w:pPr>
              <w:spacing w:after="0"/>
              <w:rPr>
                <w:sz w:val="14"/>
                <w:szCs w:val="14"/>
                <w:color w:val="auto"/>
              </w:rPr>
            </w:pPr>
          </w:p>
        </w:tc>
        <w:tc>
          <w:tcPr>
            <w:tcW w:w="580" w:type="dxa"/>
            <w:vAlign w:val="bottom"/>
            <w:shd w:val="clear" w:color="auto" w:fill="9DBDE4"/>
          </w:tcPr>
          <w:p>
            <w:pPr>
              <w:spacing w:after="0"/>
              <w:rPr>
                <w:sz w:val="14"/>
                <w:szCs w:val="14"/>
                <w:color w:val="auto"/>
              </w:rPr>
            </w:pPr>
          </w:p>
        </w:tc>
        <w:tc>
          <w:tcPr>
            <w:tcW w:w="480" w:type="dxa"/>
            <w:vAlign w:val="bottom"/>
            <w:shd w:val="clear" w:color="auto" w:fill="9DBDE4"/>
          </w:tcPr>
          <w:p>
            <w:pPr>
              <w:spacing w:after="0"/>
              <w:rPr>
                <w:sz w:val="14"/>
                <w:szCs w:val="14"/>
                <w:color w:val="auto"/>
              </w:rPr>
            </w:pPr>
          </w:p>
        </w:tc>
      </w:tr>
      <w:tr>
        <w:trPr>
          <w:trHeight w:val="194"/>
        </w:trPr>
        <w:tc>
          <w:tcPr>
            <w:tcW w:w="3880" w:type="dxa"/>
            <w:vAlign w:val="bottom"/>
            <w:gridSpan w:val="2"/>
            <w:shd w:val="clear" w:color="auto" w:fill="9DBDE4"/>
          </w:tcPr>
          <w:p>
            <w:pPr>
              <w:ind w:left="100"/>
              <w:spacing w:after="0" w:line="194" w:lineRule="exact"/>
              <w:rPr>
                <w:sz w:val="20"/>
                <w:szCs w:val="20"/>
                <w:color w:val="auto"/>
              </w:rPr>
            </w:pPr>
            <w:r>
              <w:rPr>
                <w:rFonts w:ascii="Arial" w:cs="Arial" w:eastAsia="Arial" w:hAnsi="Arial"/>
                <w:sz w:val="15"/>
                <w:szCs w:val="15"/>
                <w:color w:val="auto"/>
              </w:rPr>
              <w:t>Cash Incentive Plan Metrics</w:t>
            </w:r>
            <w:r>
              <w:rPr>
                <w:rFonts w:ascii="Arial" w:cs="Arial" w:eastAsia="Arial" w:hAnsi="Arial"/>
                <w:sz w:val="22"/>
                <w:szCs w:val="22"/>
                <w:color w:val="auto"/>
                <w:vertAlign w:val="superscript"/>
              </w:rPr>
              <w:t>(1)</w:t>
            </w:r>
          </w:p>
        </w:tc>
        <w:tc>
          <w:tcPr>
            <w:tcW w:w="120" w:type="dxa"/>
            <w:vAlign w:val="bottom"/>
            <w:shd w:val="clear" w:color="auto" w:fill="9DBDE4"/>
          </w:tcPr>
          <w:p>
            <w:pPr>
              <w:spacing w:after="0"/>
              <w:rPr>
                <w:sz w:val="16"/>
                <w:szCs w:val="16"/>
                <w:color w:val="auto"/>
              </w:rPr>
            </w:pPr>
          </w:p>
        </w:tc>
        <w:tc>
          <w:tcPr>
            <w:tcW w:w="600" w:type="dxa"/>
            <w:vAlign w:val="bottom"/>
            <w:gridSpan w:val="2"/>
            <w:shd w:val="clear" w:color="auto" w:fill="9DBDE4"/>
          </w:tcPr>
          <w:p>
            <w:pPr>
              <w:jc w:val="right"/>
              <w:ind w:right="20"/>
              <w:spacing w:after="0"/>
              <w:rPr>
                <w:sz w:val="20"/>
                <w:szCs w:val="20"/>
                <w:color w:val="auto"/>
              </w:rPr>
            </w:pPr>
            <w:r>
              <w:rPr>
                <w:rFonts w:ascii="Arial" w:cs="Arial" w:eastAsia="Arial" w:hAnsi="Arial"/>
                <w:sz w:val="16"/>
                <w:szCs w:val="16"/>
                <w:color w:val="auto"/>
              </w:rPr>
              <w:t>0.4</w:t>
            </w:r>
          </w:p>
        </w:tc>
        <w:tc>
          <w:tcPr>
            <w:tcW w:w="460" w:type="dxa"/>
            <w:vAlign w:val="bottom"/>
            <w:shd w:val="clear" w:color="auto" w:fill="9DBDE4"/>
          </w:tcPr>
          <w:p>
            <w:pPr>
              <w:spacing w:after="0"/>
              <w:rPr>
                <w:sz w:val="16"/>
                <w:szCs w:val="16"/>
                <w:color w:val="auto"/>
              </w:rPr>
            </w:pPr>
          </w:p>
        </w:tc>
        <w:tc>
          <w:tcPr>
            <w:tcW w:w="380" w:type="dxa"/>
            <w:vAlign w:val="bottom"/>
            <w:shd w:val="clear" w:color="auto" w:fill="9DBDE4"/>
          </w:tcPr>
          <w:p>
            <w:pPr>
              <w:spacing w:after="0"/>
              <w:rPr>
                <w:sz w:val="16"/>
                <w:szCs w:val="16"/>
                <w:color w:val="auto"/>
              </w:rPr>
            </w:pPr>
          </w:p>
        </w:tc>
        <w:tc>
          <w:tcPr>
            <w:tcW w:w="480" w:type="dxa"/>
            <w:vAlign w:val="bottom"/>
            <w:shd w:val="clear" w:color="auto" w:fill="9DBDE4"/>
          </w:tcPr>
          <w:p>
            <w:pPr>
              <w:spacing w:after="0"/>
              <w:rPr>
                <w:sz w:val="16"/>
                <w:szCs w:val="16"/>
                <w:color w:val="auto"/>
              </w:rPr>
            </w:pPr>
          </w:p>
        </w:tc>
        <w:tc>
          <w:tcPr>
            <w:tcW w:w="120" w:type="dxa"/>
            <w:vAlign w:val="bottom"/>
            <w:shd w:val="clear" w:color="auto" w:fill="9DBDE4"/>
          </w:tcPr>
          <w:p>
            <w:pPr>
              <w:spacing w:after="0"/>
              <w:rPr>
                <w:sz w:val="16"/>
                <w:szCs w:val="16"/>
                <w:color w:val="auto"/>
              </w:rPr>
            </w:pPr>
          </w:p>
        </w:tc>
        <w:tc>
          <w:tcPr>
            <w:tcW w:w="580" w:type="dxa"/>
            <w:vAlign w:val="bottom"/>
            <w:shd w:val="clear" w:color="auto" w:fill="9DBDE4"/>
          </w:tcPr>
          <w:p>
            <w:pPr>
              <w:spacing w:after="0"/>
              <w:rPr>
                <w:sz w:val="16"/>
                <w:szCs w:val="16"/>
                <w:color w:val="auto"/>
              </w:rPr>
            </w:pPr>
          </w:p>
        </w:tc>
        <w:tc>
          <w:tcPr>
            <w:tcW w:w="480" w:type="dxa"/>
            <w:vAlign w:val="bottom"/>
            <w:shd w:val="clear" w:color="auto" w:fill="9DBDE4"/>
          </w:tcPr>
          <w:p>
            <w:pPr>
              <w:spacing w:after="0"/>
              <w:rPr>
                <w:sz w:val="16"/>
                <w:szCs w:val="16"/>
                <w:color w:val="auto"/>
              </w:rPr>
            </w:pPr>
          </w:p>
        </w:tc>
      </w:tr>
      <w:tr>
        <w:trPr>
          <w:trHeight w:val="201"/>
        </w:trPr>
        <w:tc>
          <w:tcPr>
            <w:tcW w:w="3880" w:type="dxa"/>
            <w:vAlign w:val="bottom"/>
            <w:gridSpan w:val="2"/>
          </w:tcPr>
          <w:p>
            <w:pPr>
              <w:ind w:left="100"/>
              <w:spacing w:after="0" w:line="201" w:lineRule="exact"/>
              <w:rPr>
                <w:sz w:val="20"/>
                <w:szCs w:val="20"/>
                <w:color w:val="auto"/>
              </w:rPr>
            </w:pPr>
            <w:r>
              <w:rPr>
                <w:rFonts w:ascii="Arial" w:cs="Arial" w:eastAsia="Arial" w:hAnsi="Arial"/>
                <w:sz w:val="16"/>
                <w:szCs w:val="16"/>
                <w:b w:val="1"/>
                <w:bCs w:val="1"/>
                <w:color w:val="auto"/>
              </w:rPr>
              <w:t>Revenue Net of Interchange</w:t>
            </w:r>
            <w:r>
              <w:rPr>
                <w:rFonts w:ascii="Arial" w:cs="Arial" w:eastAsia="Arial" w:hAnsi="Arial"/>
                <w:sz w:val="23"/>
                <w:szCs w:val="23"/>
                <w:b w:val="1"/>
                <w:bCs w:val="1"/>
                <w:color w:val="auto"/>
                <w:vertAlign w:val="superscript"/>
              </w:rPr>
              <w:t>(2)</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u w:val="single" w:color="auto"/>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1,031.1</w:t>
            </w:r>
          </w:p>
        </w:tc>
        <w:tc>
          <w:tcPr>
            <w:tcW w:w="2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
        </w:trPr>
        <w:tc>
          <w:tcPr>
            <w:tcW w:w="3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12" w:lineRule="exact"/>
        <w:rPr>
          <w:sz w:val="20"/>
          <w:szCs w:val="20"/>
          <w:color w:val="auto"/>
        </w:rPr>
      </w:pPr>
    </w:p>
    <w:p>
      <w:pPr>
        <w:ind w:left="280" w:hanging="274"/>
        <w:spacing w:after="0"/>
        <w:tabs>
          <w:tab w:leader="none" w:pos="2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Reflects adjustments for the use of 2023 budgeted foreign exchange rate rather than actual foreign exchange rates.</w:t>
      </w:r>
    </w:p>
    <w:p>
      <w:pPr>
        <w:spacing w:after="0" w:line="3" w:lineRule="exact"/>
        <w:rPr>
          <w:rFonts w:ascii="Arial" w:cs="Arial" w:eastAsia="Arial" w:hAnsi="Arial"/>
          <w:sz w:val="12"/>
          <w:szCs w:val="12"/>
          <w:color w:val="auto"/>
        </w:rPr>
      </w:pPr>
    </w:p>
    <w:p>
      <w:pPr>
        <w:ind w:left="280" w:hanging="274"/>
        <w:spacing w:after="0"/>
        <w:tabs>
          <w:tab w:leader="none" w:pos="2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Revenue Net of Interchange used for purposes of calculations under our 2023 short-term incentive program awards and our 2023 PSU awards.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 and Net Adjusted EBITDA Margin</w:t>
      </w:r>
    </w:p>
    <w:p>
      <w:pPr>
        <w:spacing w:after="0" w:line="102"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Adjusted EBITDA is a non-GAAP financial measure defined as net income plus income tax expense (benefit), net interest income (expense), net other income (expense), depreciation, amortization and stock-based compensation, as well as significant transaction-related expenses. Adjusted EBITDA should be considered in addition to, rather than as a substitute for, net income. Net Adjusted EBITDA Margin is a non-GAAP financial measure defined as Adjusted EBITDA divided by Revenue Net of Interchange. For purposes of calculations under our 2023 short-term incentive program awards and our 2023 PSU awards, we further adjusted Adjusted EBITDA (including for purposes of calculating Net Adjusted EBITDA Margin) to be based on our 2023 budgeted foreign exchange rate rather than our actual foreign exchange rates.</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284993"/>
        </w:rPr>
        <w:t xml:space="preserve">  A-1</w:t>
      </w:r>
    </w:p>
    <w:p>
      <w:pPr>
        <w:sectPr>
          <w:pgSz w:w="11900" w:h="16838" w:orient="portrait"/>
          <w:cols w:equalWidth="0" w:num="1">
            <w:col w:w="9360"/>
          </w:cols>
          <w:pgMar w:left="1260" w:top="254" w:right="1279" w:bottom="1440" w:gutter="0" w:footer="0" w:header="0"/>
        </w:sectPr>
      </w:pPr>
    </w:p>
    <w:bookmarkStart w:id="81" w:name="page82"/>
    <w:bookmarkEnd w:id="8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The following is a reconciliation of Adjusted EBITDA to net income for the years ended December 31, 2023 and 2022:</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96"/>
        </w:trPr>
        <w:tc>
          <w:tcPr>
            <w:tcW w:w="3760" w:type="dxa"/>
            <w:vAlign w:val="bottom"/>
          </w:tcPr>
          <w:p>
            <w:pPr>
              <w:spacing w:after="0"/>
              <w:rPr>
                <w:sz w:val="20"/>
                <w:szCs w:val="20"/>
                <w:color w:val="auto"/>
              </w:rPr>
            </w:pPr>
            <w:r>
              <w:rPr>
                <w:rFonts w:ascii="Arial" w:cs="Arial" w:eastAsia="Arial" w:hAnsi="Arial"/>
                <w:sz w:val="16"/>
                <w:szCs w:val="16"/>
                <w:color w:val="auto"/>
              </w:rPr>
              <w:t>Adjusted EBITDA (millions)</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80" w:type="dxa"/>
            <w:vAlign w:val="bottom"/>
            <w:gridSpan w:val="6"/>
          </w:tcPr>
          <w:p>
            <w:pPr>
              <w:ind w:left="60"/>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 xml:space="preserve">    </w:t>
            </w:r>
          </w:p>
        </w:tc>
        <w:tc>
          <w:tcPr>
            <w:tcW w:w="1400" w:type="dxa"/>
            <w:vAlign w:val="bottom"/>
            <w:tcBorders>
              <w:top w:val="single" w:sz="8" w:color="auto"/>
            </w:tcBorders>
            <w:gridSpan w:val="3"/>
          </w:tcPr>
          <w:p>
            <w:pPr>
              <w:ind w:left="60"/>
              <w:spacing w:after="0" w:line="175" w:lineRule="exact"/>
              <w:rPr>
                <w:sz w:val="20"/>
                <w:szCs w:val="20"/>
                <w:color w:val="auto"/>
              </w:rPr>
            </w:pPr>
            <w:r>
              <w:rPr>
                <w:rFonts w:ascii="Arial" w:cs="Arial" w:eastAsia="Arial" w:hAnsi="Arial"/>
                <w:sz w:val="16"/>
                <w:szCs w:val="16"/>
                <w:b w:val="1"/>
                <w:bCs w:val="1"/>
                <w:color w:val="auto"/>
              </w:rPr>
              <w:t xml:space="preserve">2023    </w:t>
            </w:r>
          </w:p>
        </w:tc>
        <w:tc>
          <w:tcPr>
            <w:tcW w:w="24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 xml:space="preserve">    </w:t>
            </w:r>
          </w:p>
        </w:tc>
        <w:tc>
          <w:tcPr>
            <w:tcW w:w="720" w:type="dxa"/>
            <w:vAlign w:val="bottom"/>
            <w:tcBorders>
              <w:top w:val="single" w:sz="8" w:color="auto"/>
            </w:tcBorders>
          </w:tcPr>
          <w:p>
            <w:pPr>
              <w:jc w:val="right"/>
              <w:ind w:right="22"/>
              <w:spacing w:after="0" w:line="175" w:lineRule="exact"/>
              <w:rPr>
                <w:sz w:val="20"/>
                <w:szCs w:val="20"/>
                <w:color w:val="auto"/>
              </w:rPr>
            </w:pPr>
            <w:r>
              <w:rPr>
                <w:rFonts w:ascii="Arial" w:cs="Arial" w:eastAsia="Arial" w:hAnsi="Arial"/>
                <w:sz w:val="16"/>
                <w:szCs w:val="16"/>
                <w:b w:val="1"/>
                <w:bCs w:val="1"/>
                <w:color w:val="auto"/>
              </w:rPr>
              <w:t xml:space="preserve">2022    </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Borders>
              <w:top w:val="single" w:sz="8" w:color="9DBDE4"/>
            </w:tcBorders>
            <w:shd w:val="clear" w:color="auto" w:fill="9DBDE4"/>
          </w:tcPr>
          <w:p>
            <w:pPr>
              <w:ind w:left="100"/>
              <w:spacing w:after="0" w:line="175" w:lineRule="exact"/>
              <w:rPr>
                <w:sz w:val="20"/>
                <w:szCs w:val="20"/>
                <w:color w:val="auto"/>
              </w:rPr>
            </w:pPr>
            <w:r>
              <w:rPr>
                <w:rFonts w:ascii="Arial" w:cs="Arial" w:eastAsia="Arial" w:hAnsi="Arial"/>
                <w:sz w:val="16"/>
                <w:szCs w:val="16"/>
                <w:b w:val="1"/>
                <w:bCs w:val="1"/>
                <w:color w:val="auto"/>
              </w:rPr>
              <w:t>Net income</w:t>
            </w:r>
          </w:p>
        </w:tc>
        <w:tc>
          <w:tcPr>
            <w:tcW w:w="420" w:type="dxa"/>
            <w:vAlign w:val="bottom"/>
            <w:tcBorders>
              <w:top w:val="single" w:sz="8" w:color="9DBDE4"/>
            </w:tcBorders>
            <w:shd w:val="clear" w:color="auto" w:fill="9DBDE4"/>
          </w:tcPr>
          <w:p>
            <w:pPr>
              <w:spacing w:after="0"/>
              <w:rPr>
                <w:sz w:val="15"/>
                <w:szCs w:val="15"/>
                <w:color w:val="auto"/>
              </w:rPr>
            </w:pPr>
          </w:p>
        </w:tc>
        <w:tc>
          <w:tcPr>
            <w:tcW w:w="240" w:type="dxa"/>
            <w:vAlign w:val="bottom"/>
            <w:tcBorders>
              <w:top w:val="single" w:sz="8" w:color="auto"/>
            </w:tcBorders>
            <w:shd w:val="clear" w:color="auto" w:fill="9DBDE4"/>
          </w:tcPr>
          <w:p>
            <w:pPr>
              <w:spacing w:after="0" w:line="175"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9DBDE4"/>
          </w:tcPr>
          <w:p>
            <w:pPr>
              <w:jc w:val="right"/>
              <w:spacing w:after="0" w:line="175" w:lineRule="exact"/>
              <w:rPr>
                <w:sz w:val="20"/>
                <w:szCs w:val="20"/>
                <w:color w:val="auto"/>
              </w:rPr>
            </w:pPr>
            <w:r>
              <w:rPr>
                <w:rFonts w:ascii="Arial" w:cs="Arial" w:eastAsia="Arial" w:hAnsi="Arial"/>
                <w:sz w:val="16"/>
                <w:szCs w:val="16"/>
                <w:color w:val="auto"/>
              </w:rPr>
              <w:t>121.5</w:t>
            </w:r>
          </w:p>
        </w:tc>
        <w:tc>
          <w:tcPr>
            <w:tcW w:w="20" w:type="dxa"/>
            <w:vAlign w:val="bottom"/>
            <w:tcBorders>
              <w:top w:val="single" w:sz="8" w:color="9DBDE4"/>
            </w:tcBorders>
            <w:shd w:val="clear" w:color="auto" w:fill="9DBDE4"/>
          </w:tcPr>
          <w:p>
            <w:pPr>
              <w:spacing w:after="0"/>
              <w:rPr>
                <w:sz w:val="15"/>
                <w:szCs w:val="15"/>
                <w:color w:val="auto"/>
              </w:rPr>
            </w:pPr>
          </w:p>
        </w:tc>
        <w:tc>
          <w:tcPr>
            <w:tcW w:w="660" w:type="dxa"/>
            <w:vAlign w:val="bottom"/>
            <w:tcBorders>
              <w:top w:val="single" w:sz="8" w:color="9DBDE4"/>
            </w:tcBorders>
            <w:shd w:val="clear" w:color="auto" w:fill="9DBDE4"/>
          </w:tcPr>
          <w:p>
            <w:pPr>
              <w:spacing w:after="0"/>
              <w:rPr>
                <w:sz w:val="15"/>
                <w:szCs w:val="15"/>
                <w:color w:val="auto"/>
              </w:rPr>
            </w:pPr>
          </w:p>
        </w:tc>
        <w:tc>
          <w:tcPr>
            <w:tcW w:w="240" w:type="dxa"/>
            <w:vAlign w:val="bottom"/>
            <w:tcBorders>
              <w:top w:val="single" w:sz="8" w:color="auto"/>
            </w:tcBorders>
            <w:shd w:val="clear" w:color="auto" w:fill="9DBDE4"/>
          </w:tcPr>
          <w:p>
            <w:pPr>
              <w:spacing w:after="0" w:line="175"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9DBDE4"/>
          </w:tcPr>
          <w:p>
            <w:pPr>
              <w:jc w:val="right"/>
              <w:spacing w:after="0" w:line="175" w:lineRule="exact"/>
              <w:rPr>
                <w:sz w:val="20"/>
                <w:szCs w:val="20"/>
                <w:color w:val="auto"/>
              </w:rPr>
            </w:pPr>
            <w:r>
              <w:rPr>
                <w:rFonts w:ascii="Arial" w:cs="Arial" w:eastAsia="Arial" w:hAnsi="Arial"/>
                <w:sz w:val="16"/>
                <w:szCs w:val="16"/>
                <w:color w:val="auto"/>
              </w:rPr>
              <w:t>142.2</w:t>
            </w:r>
          </w:p>
        </w:tc>
        <w:tc>
          <w:tcPr>
            <w:tcW w:w="320" w:type="dxa"/>
            <w:vAlign w:val="bottom"/>
            <w:tcBorders>
              <w:top w:val="single" w:sz="8" w:color="9DBDE4"/>
            </w:tcBorders>
            <w:shd w:val="clear" w:color="auto" w:fill="9DBDE4"/>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760" w:type="dxa"/>
            <w:vAlign w:val="bottom"/>
          </w:tcPr>
          <w:p>
            <w:pPr>
              <w:ind w:left="100"/>
              <w:spacing w:after="0" w:line="182" w:lineRule="exact"/>
              <w:rPr>
                <w:sz w:val="20"/>
                <w:szCs w:val="20"/>
                <w:color w:val="auto"/>
              </w:rPr>
            </w:pPr>
            <w:r>
              <w:rPr>
                <w:rFonts w:ascii="Arial" w:cs="Arial" w:eastAsia="Arial" w:hAnsi="Arial"/>
                <w:sz w:val="16"/>
                <w:szCs w:val="16"/>
                <w:color w:val="auto"/>
              </w:rPr>
              <w:t>Plus:</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760" w:type="dxa"/>
            <w:vAlign w:val="bottom"/>
            <w:shd w:val="clear" w:color="auto" w:fill="9DBDE4"/>
          </w:tcPr>
          <w:p>
            <w:pPr>
              <w:ind w:left="100"/>
              <w:spacing w:after="0" w:line="182" w:lineRule="exact"/>
              <w:rPr>
                <w:sz w:val="20"/>
                <w:szCs w:val="20"/>
                <w:color w:val="auto"/>
              </w:rPr>
            </w:pPr>
            <w:r>
              <w:rPr>
                <w:rFonts w:ascii="Arial" w:cs="Arial" w:eastAsia="Arial" w:hAnsi="Arial"/>
                <w:sz w:val="16"/>
                <w:szCs w:val="16"/>
                <w:color w:val="auto"/>
              </w:rPr>
              <w:t>Income tax expense</w:t>
            </w:r>
          </w:p>
        </w:tc>
        <w:tc>
          <w:tcPr>
            <w:tcW w:w="420" w:type="dxa"/>
            <w:vAlign w:val="bottom"/>
            <w:shd w:val="clear" w:color="auto" w:fill="9DBDE4"/>
          </w:tcPr>
          <w:p>
            <w:pPr>
              <w:spacing w:after="0"/>
              <w:rPr>
                <w:sz w:val="15"/>
                <w:szCs w:val="15"/>
                <w:color w:val="auto"/>
              </w:rPr>
            </w:pPr>
          </w:p>
        </w:tc>
        <w:tc>
          <w:tcPr>
            <w:tcW w:w="240" w:type="dxa"/>
            <w:vAlign w:val="bottom"/>
            <w:shd w:val="clear" w:color="auto" w:fill="9DBDE4"/>
          </w:tcPr>
          <w:p>
            <w:pPr>
              <w:spacing w:after="0"/>
              <w:rPr>
                <w:sz w:val="15"/>
                <w:szCs w:val="15"/>
                <w:color w:val="auto"/>
              </w:rPr>
            </w:pPr>
          </w:p>
        </w:tc>
        <w:tc>
          <w:tcPr>
            <w:tcW w:w="740" w:type="dxa"/>
            <w:vAlign w:val="bottom"/>
            <w:gridSpan w:val="2"/>
            <w:shd w:val="clear" w:color="auto" w:fill="9DBDE4"/>
          </w:tcPr>
          <w:p>
            <w:pPr>
              <w:jc w:val="right"/>
              <w:ind w:right="20"/>
              <w:spacing w:after="0" w:line="182" w:lineRule="exact"/>
              <w:rPr>
                <w:sz w:val="20"/>
                <w:szCs w:val="20"/>
                <w:color w:val="auto"/>
              </w:rPr>
            </w:pPr>
            <w:r>
              <w:rPr>
                <w:rFonts w:ascii="Arial" w:cs="Arial" w:eastAsia="Arial" w:hAnsi="Arial"/>
                <w:sz w:val="16"/>
                <w:szCs w:val="16"/>
                <w:color w:val="auto"/>
              </w:rPr>
              <w:t>26.1</w:t>
            </w:r>
          </w:p>
        </w:tc>
        <w:tc>
          <w:tcPr>
            <w:tcW w:w="660" w:type="dxa"/>
            <w:vAlign w:val="bottom"/>
            <w:shd w:val="clear" w:color="auto" w:fill="9DBDE4"/>
          </w:tcPr>
          <w:p>
            <w:pPr>
              <w:spacing w:after="0"/>
              <w:rPr>
                <w:sz w:val="15"/>
                <w:szCs w:val="15"/>
                <w:color w:val="auto"/>
              </w:rPr>
            </w:pPr>
          </w:p>
        </w:tc>
        <w:tc>
          <w:tcPr>
            <w:tcW w:w="240" w:type="dxa"/>
            <w:vAlign w:val="bottom"/>
            <w:shd w:val="clear" w:color="auto" w:fill="9DBDE4"/>
          </w:tcPr>
          <w:p>
            <w:pPr>
              <w:spacing w:after="0"/>
              <w:rPr>
                <w:sz w:val="15"/>
                <w:szCs w:val="15"/>
                <w:color w:val="auto"/>
              </w:rPr>
            </w:pPr>
          </w:p>
        </w:tc>
        <w:tc>
          <w:tcPr>
            <w:tcW w:w="1040" w:type="dxa"/>
            <w:vAlign w:val="bottom"/>
            <w:gridSpan w:val="2"/>
            <w:shd w:val="clear" w:color="auto" w:fill="9DBDE4"/>
          </w:tcPr>
          <w:p>
            <w:pPr>
              <w:jc w:val="right"/>
              <w:ind w:right="320"/>
              <w:spacing w:after="0" w:line="182" w:lineRule="exact"/>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182"/>
        </w:trPr>
        <w:tc>
          <w:tcPr>
            <w:tcW w:w="3760" w:type="dxa"/>
            <w:vAlign w:val="bottom"/>
          </w:tcPr>
          <w:p>
            <w:pPr>
              <w:ind w:left="100"/>
              <w:spacing w:after="0" w:line="182" w:lineRule="exact"/>
              <w:rPr>
                <w:sz w:val="20"/>
                <w:szCs w:val="20"/>
                <w:color w:val="auto"/>
              </w:rPr>
            </w:pPr>
            <w:r>
              <w:rPr>
                <w:rFonts w:ascii="Arial" w:cs="Arial" w:eastAsia="Arial" w:hAnsi="Arial"/>
                <w:sz w:val="16"/>
                <w:szCs w:val="16"/>
                <w:color w:val="auto"/>
              </w:rPr>
              <w:t>Net interest expense</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6"/>
                <w:szCs w:val="16"/>
                <w:color w:val="auto"/>
              </w:rPr>
              <w:t>64.3</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182"/>
        </w:trPr>
        <w:tc>
          <w:tcPr>
            <w:tcW w:w="3760" w:type="dxa"/>
            <w:vAlign w:val="bottom"/>
            <w:shd w:val="clear" w:color="auto" w:fill="9DBDE4"/>
          </w:tcPr>
          <w:p>
            <w:pPr>
              <w:ind w:left="100"/>
              <w:spacing w:after="0" w:line="182" w:lineRule="exact"/>
              <w:rPr>
                <w:sz w:val="20"/>
                <w:szCs w:val="20"/>
                <w:color w:val="auto"/>
              </w:rPr>
            </w:pPr>
            <w:r>
              <w:rPr>
                <w:rFonts w:ascii="Arial" w:cs="Arial" w:eastAsia="Arial" w:hAnsi="Arial"/>
                <w:sz w:val="16"/>
                <w:szCs w:val="16"/>
                <w:color w:val="auto"/>
              </w:rPr>
              <w:t>Net other (income) expense</w:t>
            </w:r>
          </w:p>
        </w:tc>
        <w:tc>
          <w:tcPr>
            <w:tcW w:w="420" w:type="dxa"/>
            <w:vAlign w:val="bottom"/>
            <w:shd w:val="clear" w:color="auto" w:fill="9DBDE4"/>
          </w:tcPr>
          <w:p>
            <w:pPr>
              <w:spacing w:after="0"/>
              <w:rPr>
                <w:sz w:val="15"/>
                <w:szCs w:val="15"/>
                <w:color w:val="auto"/>
              </w:rPr>
            </w:pPr>
          </w:p>
        </w:tc>
        <w:tc>
          <w:tcPr>
            <w:tcW w:w="240" w:type="dxa"/>
            <w:vAlign w:val="bottom"/>
            <w:shd w:val="clear" w:color="auto" w:fill="9DBDE4"/>
          </w:tcPr>
          <w:p>
            <w:pPr>
              <w:spacing w:after="0"/>
              <w:rPr>
                <w:sz w:val="15"/>
                <w:szCs w:val="15"/>
                <w:color w:val="auto"/>
              </w:rPr>
            </w:pPr>
          </w:p>
        </w:tc>
        <w:tc>
          <w:tcPr>
            <w:tcW w:w="740" w:type="dxa"/>
            <w:vAlign w:val="bottom"/>
            <w:gridSpan w:val="2"/>
            <w:shd w:val="clear" w:color="auto" w:fill="9DBDE4"/>
          </w:tcPr>
          <w:p>
            <w:pPr>
              <w:jc w:val="right"/>
              <w:ind w:right="20"/>
              <w:spacing w:after="0" w:line="182" w:lineRule="exact"/>
              <w:rPr>
                <w:sz w:val="20"/>
                <w:szCs w:val="20"/>
                <w:color w:val="auto"/>
              </w:rPr>
            </w:pPr>
            <w:r>
              <w:rPr>
                <w:rFonts w:ascii="Arial" w:cs="Arial" w:eastAsia="Arial" w:hAnsi="Arial"/>
                <w:sz w:val="16"/>
                <w:szCs w:val="16"/>
                <w:color w:val="auto"/>
              </w:rPr>
              <w:t>8.5</w:t>
            </w:r>
          </w:p>
        </w:tc>
        <w:tc>
          <w:tcPr>
            <w:tcW w:w="660" w:type="dxa"/>
            <w:vAlign w:val="bottom"/>
            <w:shd w:val="clear" w:color="auto" w:fill="9DBDE4"/>
          </w:tcPr>
          <w:p>
            <w:pPr>
              <w:spacing w:after="0"/>
              <w:rPr>
                <w:sz w:val="15"/>
                <w:szCs w:val="15"/>
                <w:color w:val="auto"/>
              </w:rPr>
            </w:pPr>
          </w:p>
        </w:tc>
        <w:tc>
          <w:tcPr>
            <w:tcW w:w="240" w:type="dxa"/>
            <w:vAlign w:val="bottom"/>
            <w:shd w:val="clear" w:color="auto" w:fill="9DBDE4"/>
          </w:tcPr>
          <w:p>
            <w:pPr>
              <w:spacing w:after="0"/>
              <w:rPr>
                <w:sz w:val="15"/>
                <w:szCs w:val="15"/>
                <w:color w:val="auto"/>
              </w:rPr>
            </w:pPr>
          </w:p>
        </w:tc>
        <w:tc>
          <w:tcPr>
            <w:tcW w:w="1040" w:type="dxa"/>
            <w:vAlign w:val="bottom"/>
            <w:gridSpan w:val="2"/>
            <w:shd w:val="clear" w:color="auto" w:fill="9DBDE4"/>
          </w:tcPr>
          <w:p>
            <w:pPr>
              <w:jc w:val="right"/>
              <w:ind w:right="260"/>
              <w:spacing w:after="0" w:line="182" w:lineRule="exact"/>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182"/>
        </w:trPr>
        <w:tc>
          <w:tcPr>
            <w:tcW w:w="3760" w:type="dxa"/>
            <w:vAlign w:val="bottom"/>
          </w:tcPr>
          <w:p>
            <w:pPr>
              <w:ind w:left="100"/>
              <w:spacing w:after="0" w:line="182" w:lineRule="exact"/>
              <w:rPr>
                <w:sz w:val="20"/>
                <w:szCs w:val="20"/>
                <w:color w:val="auto"/>
              </w:rPr>
            </w:pPr>
            <w:r>
              <w:rPr>
                <w:rFonts w:ascii="Arial" w:cs="Arial" w:eastAsia="Arial" w:hAnsi="Arial"/>
                <w:sz w:val="16"/>
                <w:szCs w:val="16"/>
                <w:color w:val="auto"/>
              </w:rPr>
              <w:t>Depreciation expense</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6"/>
                <w:szCs w:val="16"/>
                <w:color w:val="auto"/>
              </w:rPr>
              <w:t>23.7</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182"/>
        </w:trPr>
        <w:tc>
          <w:tcPr>
            <w:tcW w:w="3760" w:type="dxa"/>
            <w:vAlign w:val="bottom"/>
            <w:shd w:val="clear" w:color="auto" w:fill="9DBDE4"/>
          </w:tcPr>
          <w:p>
            <w:pPr>
              <w:ind w:left="100"/>
              <w:spacing w:after="0" w:line="182" w:lineRule="exact"/>
              <w:rPr>
                <w:sz w:val="20"/>
                <w:szCs w:val="20"/>
                <w:color w:val="auto"/>
              </w:rPr>
            </w:pPr>
            <w:r>
              <w:rPr>
                <w:rFonts w:ascii="Arial" w:cs="Arial" w:eastAsia="Arial" w:hAnsi="Arial"/>
                <w:sz w:val="16"/>
                <w:szCs w:val="16"/>
                <w:color w:val="auto"/>
              </w:rPr>
              <w:t>Amortization expense</w:t>
            </w:r>
          </w:p>
        </w:tc>
        <w:tc>
          <w:tcPr>
            <w:tcW w:w="420" w:type="dxa"/>
            <w:vAlign w:val="bottom"/>
            <w:shd w:val="clear" w:color="auto" w:fill="9DBDE4"/>
          </w:tcPr>
          <w:p>
            <w:pPr>
              <w:spacing w:after="0"/>
              <w:rPr>
                <w:sz w:val="15"/>
                <w:szCs w:val="15"/>
                <w:color w:val="auto"/>
              </w:rPr>
            </w:pPr>
          </w:p>
        </w:tc>
        <w:tc>
          <w:tcPr>
            <w:tcW w:w="240" w:type="dxa"/>
            <w:vAlign w:val="bottom"/>
            <w:shd w:val="clear" w:color="auto" w:fill="9DBDE4"/>
          </w:tcPr>
          <w:p>
            <w:pPr>
              <w:spacing w:after="0"/>
              <w:rPr>
                <w:sz w:val="15"/>
                <w:szCs w:val="15"/>
                <w:color w:val="auto"/>
              </w:rPr>
            </w:pPr>
          </w:p>
        </w:tc>
        <w:tc>
          <w:tcPr>
            <w:tcW w:w="740" w:type="dxa"/>
            <w:vAlign w:val="bottom"/>
            <w:gridSpan w:val="2"/>
            <w:shd w:val="clear" w:color="auto" w:fill="9DBDE4"/>
          </w:tcPr>
          <w:p>
            <w:pPr>
              <w:jc w:val="right"/>
              <w:ind w:right="20"/>
              <w:spacing w:after="0" w:line="182" w:lineRule="exact"/>
              <w:rPr>
                <w:sz w:val="20"/>
                <w:szCs w:val="20"/>
                <w:color w:val="auto"/>
              </w:rPr>
            </w:pPr>
            <w:r>
              <w:rPr>
                <w:rFonts w:ascii="Arial" w:cs="Arial" w:eastAsia="Arial" w:hAnsi="Arial"/>
                <w:sz w:val="16"/>
                <w:szCs w:val="16"/>
                <w:color w:val="auto"/>
              </w:rPr>
              <w:t>98.6</w:t>
            </w:r>
          </w:p>
        </w:tc>
        <w:tc>
          <w:tcPr>
            <w:tcW w:w="660" w:type="dxa"/>
            <w:vAlign w:val="bottom"/>
            <w:shd w:val="clear" w:color="auto" w:fill="9DBDE4"/>
          </w:tcPr>
          <w:p>
            <w:pPr>
              <w:spacing w:after="0"/>
              <w:rPr>
                <w:sz w:val="15"/>
                <w:szCs w:val="15"/>
                <w:color w:val="auto"/>
              </w:rPr>
            </w:pPr>
          </w:p>
        </w:tc>
        <w:tc>
          <w:tcPr>
            <w:tcW w:w="240" w:type="dxa"/>
            <w:vAlign w:val="bottom"/>
            <w:shd w:val="clear" w:color="auto" w:fill="9DBDE4"/>
          </w:tcPr>
          <w:p>
            <w:pPr>
              <w:spacing w:after="0"/>
              <w:rPr>
                <w:sz w:val="15"/>
                <w:szCs w:val="15"/>
                <w:color w:val="auto"/>
              </w:rPr>
            </w:pPr>
          </w:p>
        </w:tc>
        <w:tc>
          <w:tcPr>
            <w:tcW w:w="1040" w:type="dxa"/>
            <w:vAlign w:val="bottom"/>
            <w:gridSpan w:val="2"/>
            <w:shd w:val="clear" w:color="auto" w:fill="9DBDE4"/>
          </w:tcPr>
          <w:p>
            <w:pPr>
              <w:jc w:val="right"/>
              <w:ind w:right="320"/>
              <w:spacing w:after="0" w:line="182" w:lineRule="exact"/>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188"/>
        </w:trPr>
        <w:tc>
          <w:tcPr>
            <w:tcW w:w="3760" w:type="dxa"/>
            <w:vAlign w:val="bottom"/>
          </w:tcPr>
          <w:p>
            <w:pPr>
              <w:ind w:left="100"/>
              <w:spacing w:after="0" w:line="182" w:lineRule="exact"/>
              <w:rPr>
                <w:sz w:val="20"/>
                <w:szCs w:val="20"/>
                <w:color w:val="auto"/>
              </w:rPr>
            </w:pPr>
            <w:r>
              <w:rPr>
                <w:rFonts w:ascii="Arial" w:cs="Arial" w:eastAsia="Arial" w:hAnsi="Arial"/>
                <w:sz w:val="16"/>
                <w:szCs w:val="16"/>
                <w:color w:val="auto"/>
              </w:rPr>
              <w:t>Non-cash stock-based compensation expense</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6"/>
                <w:szCs w:val="16"/>
                <w:color w:val="auto"/>
              </w:rPr>
              <w:t>24.5</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168"/>
        </w:trPr>
        <w:tc>
          <w:tcPr>
            <w:tcW w:w="3760" w:type="dxa"/>
            <w:vAlign w:val="bottom"/>
            <w:shd w:val="clear" w:color="auto" w:fill="9DBDE4"/>
          </w:tcPr>
          <w:p>
            <w:pPr>
              <w:ind w:left="100"/>
              <w:spacing w:after="0" w:line="168" w:lineRule="exact"/>
              <w:rPr>
                <w:sz w:val="20"/>
                <w:szCs w:val="20"/>
                <w:color w:val="auto"/>
              </w:rPr>
            </w:pPr>
            <w:r>
              <w:rPr>
                <w:rFonts w:ascii="Arial" w:cs="Arial" w:eastAsia="Arial" w:hAnsi="Arial"/>
                <w:sz w:val="16"/>
                <w:szCs w:val="16"/>
                <w:b w:val="1"/>
                <w:bCs w:val="1"/>
                <w:color w:val="auto"/>
              </w:rPr>
              <w:t>Adjusted EBITDA before significant</w:t>
            </w:r>
          </w:p>
        </w:tc>
        <w:tc>
          <w:tcPr>
            <w:tcW w:w="420" w:type="dxa"/>
            <w:vAlign w:val="bottom"/>
            <w:shd w:val="clear" w:color="auto" w:fill="9DBDE4"/>
          </w:tcPr>
          <w:p>
            <w:pPr>
              <w:spacing w:after="0"/>
              <w:rPr>
                <w:sz w:val="14"/>
                <w:szCs w:val="14"/>
                <w:color w:val="auto"/>
              </w:rPr>
            </w:pPr>
          </w:p>
        </w:tc>
        <w:tc>
          <w:tcPr>
            <w:tcW w:w="240" w:type="dxa"/>
            <w:vAlign w:val="bottom"/>
            <w:tcBorders>
              <w:top w:val="single" w:sz="8" w:color="auto"/>
            </w:tcBorders>
            <w:shd w:val="clear" w:color="auto" w:fill="9DBDE4"/>
          </w:tcPr>
          <w:p>
            <w:pPr>
              <w:spacing w:after="0"/>
              <w:rPr>
                <w:sz w:val="14"/>
                <w:szCs w:val="14"/>
                <w:color w:val="auto"/>
              </w:rPr>
            </w:pPr>
          </w:p>
        </w:tc>
        <w:tc>
          <w:tcPr>
            <w:tcW w:w="720" w:type="dxa"/>
            <w:vAlign w:val="bottom"/>
            <w:tcBorders>
              <w:top w:val="single" w:sz="8" w:color="auto"/>
            </w:tcBorders>
            <w:shd w:val="clear" w:color="auto" w:fill="9DBDE4"/>
          </w:tcPr>
          <w:p>
            <w:pPr>
              <w:spacing w:after="0"/>
              <w:rPr>
                <w:sz w:val="14"/>
                <w:szCs w:val="14"/>
                <w:color w:val="auto"/>
              </w:rPr>
            </w:pPr>
          </w:p>
        </w:tc>
        <w:tc>
          <w:tcPr>
            <w:tcW w:w="20" w:type="dxa"/>
            <w:vAlign w:val="bottom"/>
            <w:shd w:val="clear" w:color="auto" w:fill="9DBDE4"/>
          </w:tcPr>
          <w:p>
            <w:pPr>
              <w:spacing w:after="0"/>
              <w:rPr>
                <w:sz w:val="14"/>
                <w:szCs w:val="14"/>
                <w:color w:val="auto"/>
              </w:rPr>
            </w:pPr>
          </w:p>
        </w:tc>
        <w:tc>
          <w:tcPr>
            <w:tcW w:w="660" w:type="dxa"/>
            <w:vAlign w:val="bottom"/>
            <w:shd w:val="clear" w:color="auto" w:fill="9DBDE4"/>
          </w:tcPr>
          <w:p>
            <w:pPr>
              <w:spacing w:after="0"/>
              <w:rPr>
                <w:sz w:val="14"/>
                <w:szCs w:val="14"/>
                <w:color w:val="auto"/>
              </w:rPr>
            </w:pPr>
          </w:p>
        </w:tc>
        <w:tc>
          <w:tcPr>
            <w:tcW w:w="240" w:type="dxa"/>
            <w:vAlign w:val="bottom"/>
            <w:tcBorders>
              <w:top w:val="single" w:sz="8" w:color="auto"/>
            </w:tcBorders>
            <w:shd w:val="clear" w:color="auto" w:fill="9DBDE4"/>
          </w:tcPr>
          <w:p>
            <w:pPr>
              <w:spacing w:after="0"/>
              <w:rPr>
                <w:sz w:val="14"/>
                <w:szCs w:val="14"/>
                <w:color w:val="auto"/>
              </w:rPr>
            </w:pPr>
          </w:p>
        </w:tc>
        <w:tc>
          <w:tcPr>
            <w:tcW w:w="720" w:type="dxa"/>
            <w:vAlign w:val="bottom"/>
            <w:tcBorders>
              <w:top w:val="single" w:sz="8" w:color="auto"/>
            </w:tcBorders>
            <w:shd w:val="clear" w:color="auto" w:fill="9DBDE4"/>
          </w:tcPr>
          <w:p>
            <w:pPr>
              <w:spacing w:after="0"/>
              <w:rPr>
                <w:sz w:val="14"/>
                <w:szCs w:val="14"/>
                <w:color w:val="auto"/>
              </w:rPr>
            </w:pPr>
          </w:p>
        </w:tc>
        <w:tc>
          <w:tcPr>
            <w:tcW w:w="320" w:type="dxa"/>
            <w:vAlign w:val="bottom"/>
            <w:shd w:val="clear" w:color="auto" w:fill="9DBDE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60" w:type="dxa"/>
            <w:vAlign w:val="bottom"/>
            <w:shd w:val="clear" w:color="auto" w:fill="9DBDE4"/>
          </w:tcPr>
          <w:p>
            <w:pPr>
              <w:ind w:left="100"/>
              <w:spacing w:after="0"/>
              <w:rPr>
                <w:sz w:val="20"/>
                <w:szCs w:val="20"/>
                <w:color w:val="auto"/>
              </w:rPr>
            </w:pPr>
            <w:r>
              <w:rPr>
                <w:rFonts w:ascii="Arial" w:cs="Arial" w:eastAsia="Arial" w:hAnsi="Arial"/>
                <w:sz w:val="16"/>
                <w:szCs w:val="16"/>
                <w:b w:val="1"/>
                <w:bCs w:val="1"/>
                <w:color w:val="auto"/>
              </w:rPr>
              <w:t>transaction-related expenses</w:t>
            </w:r>
          </w:p>
        </w:tc>
        <w:tc>
          <w:tcPr>
            <w:tcW w:w="660" w:type="dxa"/>
            <w:vAlign w:val="bottom"/>
            <w:gridSpan w:val="2"/>
            <w:shd w:val="clear" w:color="auto" w:fill="9DBDE4"/>
          </w:tcPr>
          <w:p>
            <w:pPr>
              <w:ind w:left="4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9DBDE4"/>
          </w:tcPr>
          <w:p>
            <w:pPr>
              <w:jc w:val="right"/>
              <w:ind w:right="20"/>
              <w:spacing w:after="0"/>
              <w:rPr>
                <w:sz w:val="20"/>
                <w:szCs w:val="20"/>
                <w:color w:val="auto"/>
              </w:rPr>
            </w:pPr>
            <w:r>
              <w:rPr>
                <w:rFonts w:ascii="Arial" w:cs="Arial" w:eastAsia="Arial" w:hAnsi="Arial"/>
                <w:sz w:val="16"/>
                <w:szCs w:val="16"/>
                <w:color w:val="auto"/>
              </w:rPr>
              <w:t>367.2</w:t>
            </w:r>
          </w:p>
        </w:tc>
        <w:tc>
          <w:tcPr>
            <w:tcW w:w="660" w:type="dxa"/>
            <w:vAlign w:val="bottom"/>
            <w:shd w:val="clear" w:color="auto" w:fill="9DBDE4"/>
          </w:tcPr>
          <w:p>
            <w:pPr>
              <w:spacing w:after="0"/>
              <w:rPr>
                <w:sz w:val="17"/>
                <w:szCs w:val="17"/>
                <w:color w:val="auto"/>
              </w:rPr>
            </w:pPr>
          </w:p>
        </w:tc>
        <w:tc>
          <w:tcPr>
            <w:tcW w:w="240" w:type="dxa"/>
            <w:vAlign w:val="bottom"/>
            <w:shd w:val="clear" w:color="auto" w:fill="9DBDE4"/>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9DBDE4"/>
          </w:tcPr>
          <w:p>
            <w:pPr>
              <w:jc w:val="right"/>
              <w:ind w:right="320"/>
              <w:spacing w:after="0"/>
              <w:rPr>
                <w:sz w:val="20"/>
                <w:szCs w:val="20"/>
                <w:color w:val="auto"/>
              </w:rPr>
            </w:pPr>
            <w:r>
              <w:rPr>
                <w:rFonts w:ascii="Arial" w:cs="Arial" w:eastAsia="Arial" w:hAnsi="Arial"/>
                <w:sz w:val="16"/>
                <w:szCs w:val="16"/>
                <w:color w:val="auto"/>
              </w:rPr>
              <w:t>361.0</w:t>
            </w:r>
          </w:p>
        </w:tc>
        <w:tc>
          <w:tcPr>
            <w:tcW w:w="0" w:type="dxa"/>
            <w:vAlign w:val="bottom"/>
          </w:tcPr>
          <w:p>
            <w:pPr>
              <w:spacing w:after="0"/>
              <w:rPr>
                <w:sz w:val="1"/>
                <w:szCs w:val="1"/>
                <w:color w:val="auto"/>
              </w:rPr>
            </w:pPr>
          </w:p>
        </w:tc>
      </w:tr>
      <w:tr>
        <w:trPr>
          <w:trHeight w:val="182"/>
        </w:trPr>
        <w:tc>
          <w:tcPr>
            <w:tcW w:w="3760" w:type="dxa"/>
            <w:vAlign w:val="bottom"/>
          </w:tcPr>
          <w:p>
            <w:pPr>
              <w:ind w:left="100"/>
              <w:spacing w:after="0" w:line="182" w:lineRule="exact"/>
              <w:rPr>
                <w:sz w:val="20"/>
                <w:szCs w:val="20"/>
                <w:color w:val="auto"/>
              </w:rPr>
            </w:pPr>
            <w:r>
              <w:rPr>
                <w:rFonts w:ascii="Arial" w:cs="Arial" w:eastAsia="Arial" w:hAnsi="Arial"/>
                <w:sz w:val="16"/>
                <w:szCs w:val="16"/>
                <w:color w:val="auto"/>
              </w:rPr>
              <w:t>CEO transition</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6"/>
                <w:szCs w:val="16"/>
                <w:color w:val="auto"/>
              </w:rPr>
              <w:t>-</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2"/>
        </w:trPr>
        <w:tc>
          <w:tcPr>
            <w:tcW w:w="3760" w:type="dxa"/>
            <w:vAlign w:val="bottom"/>
            <w:shd w:val="clear" w:color="auto" w:fill="9DBDE4"/>
          </w:tcPr>
          <w:p>
            <w:pPr>
              <w:ind w:left="100"/>
              <w:spacing w:after="0" w:line="182" w:lineRule="exact"/>
              <w:rPr>
                <w:sz w:val="20"/>
                <w:szCs w:val="20"/>
                <w:color w:val="auto"/>
              </w:rPr>
            </w:pPr>
            <w:r>
              <w:rPr>
                <w:rFonts w:ascii="Arial" w:cs="Arial" w:eastAsia="Arial" w:hAnsi="Arial"/>
                <w:sz w:val="16"/>
                <w:szCs w:val="16"/>
                <w:color w:val="auto"/>
              </w:rPr>
              <w:t>Employee related actions</w:t>
            </w:r>
          </w:p>
        </w:tc>
        <w:tc>
          <w:tcPr>
            <w:tcW w:w="420" w:type="dxa"/>
            <w:vAlign w:val="bottom"/>
            <w:shd w:val="clear" w:color="auto" w:fill="9DBDE4"/>
          </w:tcPr>
          <w:p>
            <w:pPr>
              <w:spacing w:after="0"/>
              <w:rPr>
                <w:sz w:val="15"/>
                <w:szCs w:val="15"/>
                <w:color w:val="auto"/>
              </w:rPr>
            </w:pPr>
          </w:p>
        </w:tc>
        <w:tc>
          <w:tcPr>
            <w:tcW w:w="240" w:type="dxa"/>
            <w:vAlign w:val="bottom"/>
            <w:shd w:val="clear" w:color="auto" w:fill="9DBDE4"/>
          </w:tcPr>
          <w:p>
            <w:pPr>
              <w:spacing w:after="0"/>
              <w:rPr>
                <w:sz w:val="15"/>
                <w:szCs w:val="15"/>
                <w:color w:val="auto"/>
              </w:rPr>
            </w:pPr>
          </w:p>
        </w:tc>
        <w:tc>
          <w:tcPr>
            <w:tcW w:w="740" w:type="dxa"/>
            <w:vAlign w:val="bottom"/>
            <w:gridSpan w:val="2"/>
            <w:shd w:val="clear" w:color="auto" w:fill="9DBDE4"/>
          </w:tcPr>
          <w:p>
            <w:pPr>
              <w:jc w:val="right"/>
              <w:ind w:right="20"/>
              <w:spacing w:after="0" w:line="182" w:lineRule="exact"/>
              <w:rPr>
                <w:sz w:val="20"/>
                <w:szCs w:val="20"/>
                <w:color w:val="auto"/>
              </w:rPr>
            </w:pPr>
            <w:r>
              <w:rPr>
                <w:rFonts w:ascii="Arial" w:cs="Arial" w:eastAsia="Arial" w:hAnsi="Arial"/>
                <w:sz w:val="16"/>
                <w:szCs w:val="16"/>
                <w:color w:val="auto"/>
              </w:rPr>
              <w:t>21.0</w:t>
            </w:r>
          </w:p>
        </w:tc>
        <w:tc>
          <w:tcPr>
            <w:tcW w:w="660" w:type="dxa"/>
            <w:vAlign w:val="bottom"/>
            <w:shd w:val="clear" w:color="auto" w:fill="9DBDE4"/>
          </w:tcPr>
          <w:p>
            <w:pPr>
              <w:spacing w:after="0"/>
              <w:rPr>
                <w:sz w:val="15"/>
                <w:szCs w:val="15"/>
                <w:color w:val="auto"/>
              </w:rPr>
            </w:pPr>
          </w:p>
        </w:tc>
        <w:tc>
          <w:tcPr>
            <w:tcW w:w="240" w:type="dxa"/>
            <w:vAlign w:val="bottom"/>
            <w:shd w:val="clear" w:color="auto" w:fill="9DBDE4"/>
          </w:tcPr>
          <w:p>
            <w:pPr>
              <w:spacing w:after="0"/>
              <w:rPr>
                <w:sz w:val="15"/>
                <w:szCs w:val="15"/>
                <w:color w:val="auto"/>
              </w:rPr>
            </w:pPr>
          </w:p>
        </w:tc>
        <w:tc>
          <w:tcPr>
            <w:tcW w:w="1040" w:type="dxa"/>
            <w:vAlign w:val="bottom"/>
            <w:gridSpan w:val="2"/>
            <w:shd w:val="clear" w:color="auto" w:fill="9DBDE4"/>
          </w:tcPr>
          <w:p>
            <w:pPr>
              <w:jc w:val="right"/>
              <w:ind w:right="32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3760" w:type="dxa"/>
            <w:vAlign w:val="bottom"/>
          </w:tcPr>
          <w:p>
            <w:pPr>
              <w:ind w:left="100"/>
              <w:spacing w:after="0" w:line="182" w:lineRule="exact"/>
              <w:rPr>
                <w:sz w:val="20"/>
                <w:szCs w:val="20"/>
                <w:color w:val="auto"/>
              </w:rPr>
            </w:pPr>
            <w:r>
              <w:rPr>
                <w:rFonts w:ascii="Arial" w:cs="Arial" w:eastAsia="Arial" w:hAnsi="Arial"/>
                <w:sz w:val="16"/>
                <w:szCs w:val="16"/>
                <w:color w:val="auto"/>
              </w:rPr>
              <w:t>European datacenter migration</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6"/>
                <w:szCs w:val="16"/>
                <w:color w:val="auto"/>
              </w:rPr>
              <w:t>2.8</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82"/>
        </w:trPr>
        <w:tc>
          <w:tcPr>
            <w:tcW w:w="3760" w:type="dxa"/>
            <w:vAlign w:val="bottom"/>
            <w:shd w:val="clear" w:color="auto" w:fill="9DBDE4"/>
          </w:tcPr>
          <w:p>
            <w:pPr>
              <w:ind w:left="100"/>
              <w:spacing w:after="0" w:line="182" w:lineRule="exact"/>
              <w:rPr>
                <w:sz w:val="20"/>
                <w:szCs w:val="20"/>
                <w:color w:val="auto"/>
              </w:rPr>
            </w:pPr>
            <w:r>
              <w:rPr>
                <w:rFonts w:ascii="Arial" w:cs="Arial" w:eastAsia="Arial" w:hAnsi="Arial"/>
                <w:sz w:val="16"/>
                <w:szCs w:val="16"/>
                <w:color w:val="auto"/>
              </w:rPr>
              <w:t>Other</w:t>
            </w:r>
          </w:p>
        </w:tc>
        <w:tc>
          <w:tcPr>
            <w:tcW w:w="420" w:type="dxa"/>
            <w:vAlign w:val="bottom"/>
            <w:shd w:val="clear" w:color="auto" w:fill="9DBDE4"/>
          </w:tcPr>
          <w:p>
            <w:pPr>
              <w:spacing w:after="0"/>
              <w:rPr>
                <w:sz w:val="15"/>
                <w:szCs w:val="15"/>
                <w:color w:val="auto"/>
              </w:rPr>
            </w:pPr>
          </w:p>
        </w:tc>
        <w:tc>
          <w:tcPr>
            <w:tcW w:w="240" w:type="dxa"/>
            <w:vAlign w:val="bottom"/>
            <w:shd w:val="clear" w:color="auto" w:fill="9DBDE4"/>
          </w:tcPr>
          <w:p>
            <w:pPr>
              <w:spacing w:after="0"/>
              <w:rPr>
                <w:sz w:val="15"/>
                <w:szCs w:val="15"/>
                <w:color w:val="auto"/>
              </w:rPr>
            </w:pPr>
          </w:p>
        </w:tc>
        <w:tc>
          <w:tcPr>
            <w:tcW w:w="720" w:type="dxa"/>
            <w:vAlign w:val="bottom"/>
            <w:shd w:val="clear" w:color="auto" w:fill="9DBDE4"/>
          </w:tcPr>
          <w:p>
            <w:pPr>
              <w:jc w:val="right"/>
              <w:spacing w:after="0" w:line="182" w:lineRule="exact"/>
              <w:rPr>
                <w:sz w:val="20"/>
                <w:szCs w:val="20"/>
                <w:color w:val="auto"/>
              </w:rPr>
            </w:pPr>
            <w:r>
              <w:rPr>
                <w:rFonts w:ascii="Arial" w:cs="Arial" w:eastAsia="Arial" w:hAnsi="Arial"/>
                <w:sz w:val="16"/>
                <w:szCs w:val="16"/>
                <w:color w:val="auto"/>
              </w:rPr>
              <w:t>4.4</w:t>
            </w:r>
          </w:p>
        </w:tc>
        <w:tc>
          <w:tcPr>
            <w:tcW w:w="20" w:type="dxa"/>
            <w:vAlign w:val="bottom"/>
            <w:shd w:val="clear" w:color="auto" w:fill="9DBDE4"/>
          </w:tcPr>
          <w:p>
            <w:pPr>
              <w:spacing w:after="0"/>
              <w:rPr>
                <w:sz w:val="15"/>
                <w:szCs w:val="15"/>
                <w:color w:val="auto"/>
              </w:rPr>
            </w:pPr>
          </w:p>
        </w:tc>
        <w:tc>
          <w:tcPr>
            <w:tcW w:w="660" w:type="dxa"/>
            <w:vAlign w:val="bottom"/>
            <w:shd w:val="clear" w:color="auto" w:fill="9DBDE4"/>
          </w:tcPr>
          <w:p>
            <w:pPr>
              <w:spacing w:after="0"/>
              <w:rPr>
                <w:sz w:val="15"/>
                <w:szCs w:val="15"/>
                <w:color w:val="auto"/>
              </w:rPr>
            </w:pPr>
          </w:p>
        </w:tc>
        <w:tc>
          <w:tcPr>
            <w:tcW w:w="240" w:type="dxa"/>
            <w:vAlign w:val="bottom"/>
            <w:shd w:val="clear" w:color="auto" w:fill="9DBDE4"/>
          </w:tcPr>
          <w:p>
            <w:pPr>
              <w:spacing w:after="0"/>
              <w:rPr>
                <w:sz w:val="15"/>
                <w:szCs w:val="15"/>
                <w:color w:val="auto"/>
              </w:rPr>
            </w:pPr>
          </w:p>
        </w:tc>
        <w:tc>
          <w:tcPr>
            <w:tcW w:w="1040" w:type="dxa"/>
            <w:vAlign w:val="bottom"/>
            <w:gridSpan w:val="2"/>
            <w:shd w:val="clear" w:color="auto" w:fill="9DBDE4"/>
          </w:tcPr>
          <w:p>
            <w:pPr>
              <w:jc w:val="right"/>
              <w:ind w:right="320"/>
              <w:spacing w:after="0" w:line="182"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Adjusted EBITDA</w:t>
            </w: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60" w:type="dxa"/>
            <w:vAlign w:val="bottom"/>
            <w:vMerge w:val="continue"/>
          </w:tcPr>
          <w:p>
            <w:pPr>
              <w:spacing w:after="0"/>
              <w:rPr>
                <w:sz w:val="17"/>
                <w:szCs w:val="17"/>
                <w:color w:val="auto"/>
              </w:rPr>
            </w:pPr>
          </w:p>
        </w:tc>
        <w:tc>
          <w:tcPr>
            <w:tcW w:w="6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395.4</w:t>
            </w:r>
          </w:p>
        </w:tc>
        <w:tc>
          <w:tcPr>
            <w:tcW w:w="6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373.4</w:t>
            </w:r>
          </w:p>
        </w:tc>
        <w:tc>
          <w:tcPr>
            <w:tcW w:w="0" w:type="dxa"/>
            <w:vAlign w:val="bottom"/>
          </w:tcPr>
          <w:p>
            <w:pPr>
              <w:spacing w:after="0"/>
              <w:rPr>
                <w:sz w:val="1"/>
                <w:szCs w:val="1"/>
                <w:color w:val="auto"/>
              </w:rPr>
            </w:pPr>
          </w:p>
        </w:tc>
      </w:tr>
      <w:tr>
        <w:trPr>
          <w:trHeight w:val="46"/>
        </w:trPr>
        <w:tc>
          <w:tcPr>
            <w:tcW w:w="3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760" w:type="dxa"/>
            <w:vAlign w:val="bottom"/>
            <w:shd w:val="clear" w:color="auto" w:fill="9DBDE4"/>
          </w:tcPr>
          <w:p>
            <w:pPr>
              <w:ind w:left="100"/>
              <w:spacing w:after="0" w:line="174" w:lineRule="exact"/>
              <w:rPr>
                <w:sz w:val="20"/>
                <w:szCs w:val="20"/>
                <w:color w:val="auto"/>
              </w:rPr>
            </w:pPr>
            <w:r>
              <w:rPr>
                <w:rFonts w:ascii="Arial" w:cs="Arial" w:eastAsia="Arial" w:hAnsi="Arial"/>
                <w:sz w:val="16"/>
                <w:szCs w:val="16"/>
                <w:b w:val="1"/>
                <w:bCs w:val="1"/>
                <w:color w:val="auto"/>
              </w:rPr>
              <w:t>Net Adjusted EBITDA Margin</w:t>
            </w:r>
          </w:p>
        </w:tc>
        <w:tc>
          <w:tcPr>
            <w:tcW w:w="420" w:type="dxa"/>
            <w:vAlign w:val="bottom"/>
            <w:shd w:val="clear" w:color="auto" w:fill="9DBDE4"/>
          </w:tcPr>
          <w:p>
            <w:pPr>
              <w:spacing w:after="0"/>
              <w:rPr>
                <w:sz w:val="15"/>
                <w:szCs w:val="15"/>
                <w:color w:val="auto"/>
              </w:rPr>
            </w:pPr>
          </w:p>
        </w:tc>
        <w:tc>
          <w:tcPr>
            <w:tcW w:w="240" w:type="dxa"/>
            <w:vAlign w:val="bottom"/>
            <w:shd w:val="clear" w:color="auto" w:fill="9DBDE4"/>
          </w:tcPr>
          <w:p>
            <w:pPr>
              <w:spacing w:after="0"/>
              <w:rPr>
                <w:sz w:val="15"/>
                <w:szCs w:val="15"/>
                <w:color w:val="auto"/>
              </w:rPr>
            </w:pPr>
          </w:p>
        </w:tc>
        <w:tc>
          <w:tcPr>
            <w:tcW w:w="1400" w:type="dxa"/>
            <w:vAlign w:val="bottom"/>
            <w:gridSpan w:val="3"/>
            <w:shd w:val="clear" w:color="auto" w:fill="9DBDE4"/>
          </w:tcPr>
          <w:p>
            <w:pPr>
              <w:jc w:val="right"/>
              <w:ind w:right="540"/>
              <w:spacing w:after="0" w:line="174" w:lineRule="exact"/>
              <w:rPr>
                <w:sz w:val="20"/>
                <w:szCs w:val="20"/>
                <w:color w:val="auto"/>
              </w:rPr>
            </w:pPr>
            <w:r>
              <w:rPr>
                <w:rFonts w:ascii="Arial" w:cs="Arial" w:eastAsia="Arial" w:hAnsi="Arial"/>
                <w:sz w:val="16"/>
                <w:szCs w:val="16"/>
                <w:color w:val="auto"/>
              </w:rPr>
              <w:t>38%</w:t>
            </w:r>
          </w:p>
        </w:tc>
        <w:tc>
          <w:tcPr>
            <w:tcW w:w="240" w:type="dxa"/>
            <w:vAlign w:val="bottom"/>
            <w:shd w:val="clear" w:color="auto" w:fill="9DBDE4"/>
          </w:tcPr>
          <w:p>
            <w:pPr>
              <w:spacing w:after="0"/>
              <w:rPr>
                <w:sz w:val="15"/>
                <w:szCs w:val="15"/>
                <w:color w:val="auto"/>
              </w:rPr>
            </w:pPr>
          </w:p>
        </w:tc>
        <w:tc>
          <w:tcPr>
            <w:tcW w:w="1040" w:type="dxa"/>
            <w:vAlign w:val="bottom"/>
            <w:gridSpan w:val="2"/>
            <w:shd w:val="clear" w:color="auto" w:fill="9DBDE4"/>
          </w:tcPr>
          <w:p>
            <w:pPr>
              <w:jc w:val="right"/>
              <w:ind w:right="180"/>
              <w:spacing w:after="0" w:line="174"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100"/>
              <w:spacing w:after="0"/>
              <w:rPr>
                <w:sz w:val="20"/>
                <w:szCs w:val="20"/>
                <w:color w:val="auto"/>
              </w:rPr>
            </w:pPr>
            <w:r>
              <w:rPr>
                <w:rFonts w:ascii="Arial" w:cs="Arial" w:eastAsia="Arial" w:hAnsi="Arial"/>
                <w:sz w:val="16"/>
                <w:szCs w:val="16"/>
                <w:color w:val="auto"/>
              </w:rPr>
              <w:t>Approved Adjustments Related to Annual Cash</w:t>
            </w: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7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60" w:type="dxa"/>
            <w:vAlign w:val="bottom"/>
          </w:tcPr>
          <w:p>
            <w:pPr>
              <w:ind w:left="100"/>
              <w:spacing w:after="0" w:line="194" w:lineRule="exact"/>
              <w:rPr>
                <w:sz w:val="20"/>
                <w:szCs w:val="20"/>
                <w:color w:val="auto"/>
              </w:rPr>
            </w:pPr>
            <w:r>
              <w:rPr>
                <w:rFonts w:ascii="Arial" w:cs="Arial" w:eastAsia="Arial" w:hAnsi="Arial"/>
                <w:sz w:val="15"/>
                <w:szCs w:val="15"/>
                <w:color w:val="auto"/>
              </w:rPr>
              <w:t>Incentive Plan Metrics</w:t>
            </w:r>
            <w:r>
              <w:rPr>
                <w:rFonts w:ascii="Arial" w:cs="Arial" w:eastAsia="Arial" w:hAnsi="Arial"/>
                <w:sz w:val="22"/>
                <w:szCs w:val="22"/>
                <w:color w:val="auto"/>
                <w:vertAlign w:val="superscript"/>
              </w:rPr>
              <w:t>(1)</w:t>
            </w:r>
          </w:p>
        </w:tc>
        <w:tc>
          <w:tcPr>
            <w:tcW w:w="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0.9</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760" w:type="dxa"/>
            <w:vAlign w:val="bottom"/>
          </w:tcPr>
          <w:p>
            <w:pPr>
              <w:ind w:left="100"/>
              <w:spacing w:after="0" w:line="253" w:lineRule="exact"/>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3"/>
                <w:szCs w:val="23"/>
                <w:b w:val="1"/>
                <w:bCs w:val="1"/>
                <w:color w:val="auto"/>
                <w:vertAlign w:val="superscript"/>
              </w:rPr>
              <w:t>(2)</w:t>
            </w:r>
          </w:p>
        </w:tc>
        <w:tc>
          <w:tcPr>
            <w:tcW w:w="6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396.3</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760" w:type="dxa"/>
            <w:vAlign w:val="bottom"/>
            <w:shd w:val="clear" w:color="auto" w:fill="9DBDE4"/>
          </w:tcPr>
          <w:p>
            <w:pPr>
              <w:ind w:left="100"/>
              <w:spacing w:after="0" w:line="174" w:lineRule="exact"/>
              <w:rPr>
                <w:sz w:val="20"/>
                <w:szCs w:val="20"/>
                <w:color w:val="auto"/>
              </w:rPr>
            </w:pPr>
            <w:r>
              <w:rPr>
                <w:rFonts w:ascii="Arial" w:cs="Arial" w:eastAsia="Arial" w:hAnsi="Arial"/>
                <w:sz w:val="14"/>
                <w:szCs w:val="14"/>
                <w:b w:val="1"/>
                <w:bCs w:val="1"/>
                <w:color w:val="auto"/>
              </w:rPr>
              <w:t>Net Adjusted EBITDA Margin</w:t>
            </w:r>
            <w:r>
              <w:rPr>
                <w:rFonts w:ascii="Arial" w:cs="Arial" w:eastAsia="Arial" w:hAnsi="Arial"/>
                <w:sz w:val="20"/>
                <w:szCs w:val="20"/>
                <w:b w:val="1"/>
                <w:bCs w:val="1"/>
                <w:color w:val="auto"/>
                <w:vertAlign w:val="superscript"/>
              </w:rPr>
              <w:t>(2)</w:t>
            </w:r>
          </w:p>
        </w:tc>
        <w:tc>
          <w:tcPr>
            <w:tcW w:w="420" w:type="dxa"/>
            <w:vAlign w:val="bottom"/>
            <w:shd w:val="clear" w:color="auto" w:fill="9DBDE4"/>
          </w:tcPr>
          <w:p>
            <w:pPr>
              <w:spacing w:after="0"/>
              <w:rPr>
                <w:sz w:val="15"/>
                <w:szCs w:val="15"/>
                <w:color w:val="auto"/>
              </w:rPr>
            </w:pPr>
          </w:p>
        </w:tc>
        <w:tc>
          <w:tcPr>
            <w:tcW w:w="240" w:type="dxa"/>
            <w:vAlign w:val="bottom"/>
            <w:shd w:val="clear" w:color="auto" w:fill="9DBDE4"/>
          </w:tcPr>
          <w:p>
            <w:pPr>
              <w:spacing w:after="0"/>
              <w:rPr>
                <w:sz w:val="15"/>
                <w:szCs w:val="15"/>
                <w:color w:val="auto"/>
              </w:rPr>
            </w:pPr>
          </w:p>
        </w:tc>
        <w:tc>
          <w:tcPr>
            <w:tcW w:w="1400" w:type="dxa"/>
            <w:vAlign w:val="bottom"/>
            <w:gridSpan w:val="3"/>
            <w:shd w:val="clear" w:color="auto" w:fill="9DBDE4"/>
          </w:tcPr>
          <w:p>
            <w:pPr>
              <w:jc w:val="right"/>
              <w:ind w:right="540"/>
              <w:spacing w:after="0" w:line="174" w:lineRule="exact"/>
              <w:rPr>
                <w:sz w:val="20"/>
                <w:szCs w:val="20"/>
                <w:color w:val="auto"/>
              </w:rPr>
            </w:pPr>
            <w:r>
              <w:rPr>
                <w:rFonts w:ascii="Arial" w:cs="Arial" w:eastAsia="Arial" w:hAnsi="Arial"/>
                <w:sz w:val="16"/>
                <w:szCs w:val="16"/>
                <w:color w:val="auto"/>
              </w:rPr>
              <w:t>38%</w:t>
            </w:r>
          </w:p>
        </w:tc>
        <w:tc>
          <w:tcPr>
            <w:tcW w:w="240" w:type="dxa"/>
            <w:vAlign w:val="bottom"/>
            <w:shd w:val="clear" w:color="auto" w:fill="9DBDE4"/>
          </w:tcPr>
          <w:p>
            <w:pPr>
              <w:spacing w:after="0"/>
              <w:rPr>
                <w:sz w:val="15"/>
                <w:szCs w:val="15"/>
                <w:color w:val="auto"/>
              </w:rPr>
            </w:pPr>
          </w:p>
        </w:tc>
        <w:tc>
          <w:tcPr>
            <w:tcW w:w="720" w:type="dxa"/>
            <w:vAlign w:val="bottom"/>
            <w:shd w:val="clear" w:color="auto" w:fill="9DBDE4"/>
          </w:tcPr>
          <w:p>
            <w:pPr>
              <w:spacing w:after="0"/>
              <w:rPr>
                <w:sz w:val="15"/>
                <w:szCs w:val="15"/>
                <w:color w:val="auto"/>
              </w:rPr>
            </w:pPr>
          </w:p>
        </w:tc>
        <w:tc>
          <w:tcPr>
            <w:tcW w:w="320" w:type="dxa"/>
            <w:vAlign w:val="bottom"/>
            <w:shd w:val="clear" w:color="auto" w:fill="9DBDE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280" w:hanging="274"/>
        <w:spacing w:after="0"/>
        <w:tabs>
          <w:tab w:leader="none" w:pos="2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Reflects adjustments for the use of 2023 budgeted foreign exchange rate rather than actual foreign exchange rates.</w:t>
      </w:r>
    </w:p>
    <w:p>
      <w:pPr>
        <w:spacing w:after="0" w:line="3" w:lineRule="exact"/>
        <w:rPr>
          <w:rFonts w:ascii="Arial" w:cs="Arial" w:eastAsia="Arial" w:hAnsi="Arial"/>
          <w:sz w:val="12"/>
          <w:szCs w:val="12"/>
          <w:color w:val="auto"/>
        </w:rPr>
      </w:pPr>
    </w:p>
    <w:p>
      <w:pPr>
        <w:ind w:left="280" w:hanging="274"/>
        <w:spacing w:after="0"/>
        <w:tabs>
          <w:tab w:leader="none" w:pos="2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Adjusted EBITDA and Net Adjusted EBITDA Margin used for purposes of calculations under our 2023 short-term incentive program awards and our 2023 PSU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89535</wp:posOffset>
            </wp:positionV>
            <wp:extent cx="693420" cy="1320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3420" cy="13208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A-2</w:t>
      </w:r>
    </w:p>
    <w:p>
      <w:pPr>
        <w:sectPr>
          <w:pgSz w:w="11900" w:h="16838" w:orient="portrait"/>
          <w:cols w:equalWidth="0" w:num="1">
            <w:col w:w="9220"/>
          </w:cols>
          <w:pgMar w:left="1260" w:top="296" w:right="1419"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211060" cy="257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11060" cy="257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ACI Worldwide,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580" w:right="1660" w:firstLine="45"/>
        <w:spacing w:after="0" w:line="266" w:lineRule="auto"/>
        <w:rPr>
          <w:sz w:val="20"/>
          <w:szCs w:val="20"/>
          <w:color w:val="auto"/>
        </w:rPr>
      </w:pPr>
      <w:r>
        <w:rPr>
          <w:rFonts w:ascii="Times New Roman" w:cs="Times New Roman" w:eastAsia="Times New Roman" w:hAnsi="Times New Roman"/>
          <w:sz w:val="17"/>
          <w:szCs w:val="17"/>
          <w:color w:val="auto"/>
        </w:rPr>
        <w:t>For Stockholders of record as of April 9, 2024 Tuesday, June 4, 2024 11:00 AM, Eastern Time</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Annual Meeting to be held live via the Internet - please visit</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www.proxydocs.com/ACIW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409257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092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YOUR VOTE IS IMPORTANT!</w:t>
      </w:r>
    </w:p>
    <w:p>
      <w:pPr>
        <w:spacing w:after="0" w:line="1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PLEASE VOTE BY: 11:00 AM, Eastern Time, June 4, 2024.</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This proxy is being solicited on behalf of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Scan QR for</w:t>
      </w:r>
    </w:p>
    <w:p>
      <w:pPr>
        <w:spacing w:after="0" w:line="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digital voting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20955</wp:posOffset>
            </wp:positionV>
            <wp:extent cx="404495" cy="3467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04495" cy="34671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www.proxypush.com/ACIW</w:t>
      </w:r>
    </w:p>
    <w:p>
      <w:pPr>
        <w:spacing w:after="0" w:line="12" w:lineRule="exact"/>
        <w:rPr>
          <w:sz w:val="20"/>
          <w:szCs w:val="20"/>
          <w:color w:val="auto"/>
        </w:rPr>
      </w:pPr>
    </w:p>
    <w:p>
      <w:pPr>
        <w:ind w:left="180" w:hanging="174"/>
        <w:spacing w:after="0"/>
        <w:tabs>
          <w:tab w:leader="none" w:pos="1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Cast your vote online</w:t>
      </w:r>
    </w:p>
    <w:p>
      <w:pPr>
        <w:spacing w:after="0" w:line="12" w:lineRule="exact"/>
        <w:rPr>
          <w:rFonts w:ascii="Times New Roman" w:cs="Times New Roman" w:eastAsia="Times New Roman" w:hAnsi="Times New Roman"/>
          <w:sz w:val="17"/>
          <w:szCs w:val="17"/>
          <w:color w:val="auto"/>
        </w:rPr>
      </w:pPr>
    </w:p>
    <w:p>
      <w:pPr>
        <w:ind w:left="180" w:hanging="174"/>
        <w:spacing w:after="0"/>
        <w:tabs>
          <w:tab w:leader="none" w:pos="1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Have your Proxy Card ready</w:t>
      </w:r>
    </w:p>
    <w:p>
      <w:pPr>
        <w:spacing w:after="0" w:line="12" w:lineRule="exact"/>
        <w:rPr>
          <w:rFonts w:ascii="Times New Roman" w:cs="Times New Roman" w:eastAsia="Times New Roman" w:hAnsi="Times New Roman"/>
          <w:sz w:val="17"/>
          <w:szCs w:val="17"/>
          <w:color w:val="auto"/>
        </w:rPr>
      </w:pPr>
    </w:p>
    <w:p>
      <w:pPr>
        <w:ind w:left="180" w:right="40" w:hanging="174"/>
        <w:spacing w:after="0" w:line="270" w:lineRule="auto"/>
        <w:tabs>
          <w:tab w:leader="none" w:pos="1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 the simple instructions to record your vote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20955</wp:posOffset>
            </wp:positionV>
            <wp:extent cx="288925" cy="4292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88925" cy="42926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1-866-390-5392</w:t>
      </w:r>
    </w:p>
    <w:p>
      <w:pPr>
        <w:spacing w:after="0" w:line="228" w:lineRule="exact"/>
        <w:rPr>
          <w:sz w:val="20"/>
          <w:szCs w:val="20"/>
          <w:color w:val="auto"/>
        </w:rPr>
      </w:pPr>
    </w:p>
    <w:p>
      <w:pPr>
        <w:ind w:left="180" w:hanging="174"/>
        <w:spacing w:after="0"/>
        <w:tabs>
          <w:tab w:leader="none" w:pos="1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any touch-tone telephone</w:t>
      </w:r>
    </w:p>
    <w:p>
      <w:pPr>
        <w:spacing w:after="0" w:line="30" w:lineRule="exact"/>
        <w:rPr>
          <w:rFonts w:ascii="Times New Roman" w:cs="Times New Roman" w:eastAsia="Times New Roman" w:hAnsi="Times New Roman"/>
          <w:sz w:val="17"/>
          <w:szCs w:val="17"/>
          <w:color w:val="auto"/>
        </w:rPr>
      </w:pPr>
    </w:p>
    <w:p>
      <w:pPr>
        <w:ind w:left="180" w:hanging="174"/>
        <w:spacing w:after="0"/>
        <w:tabs>
          <w:tab w:leader="none" w:pos="1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Have your Proxy Card ready</w:t>
      </w:r>
    </w:p>
    <w:p>
      <w:pPr>
        <w:spacing w:after="0" w:line="12" w:lineRule="exact"/>
        <w:rPr>
          <w:rFonts w:ascii="Times New Roman" w:cs="Times New Roman" w:eastAsia="Times New Roman" w:hAnsi="Times New Roman"/>
          <w:sz w:val="17"/>
          <w:szCs w:val="17"/>
          <w:color w:val="auto"/>
        </w:rPr>
      </w:pPr>
    </w:p>
    <w:p>
      <w:pPr>
        <w:ind w:left="180" w:hanging="174"/>
        <w:spacing w:after="0"/>
        <w:tabs>
          <w:tab w:leader="none" w:pos="1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 the simple recorded instructions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Mail:</w:t>
      </w:r>
    </w:p>
    <w:p>
      <w:pPr>
        <w:spacing w:after="0" w:line="33" w:lineRule="exact"/>
        <w:rPr>
          <w:sz w:val="20"/>
          <w:szCs w:val="20"/>
          <w:color w:val="auto"/>
        </w:rPr>
      </w:pPr>
    </w:p>
    <w:p>
      <w:pPr>
        <w:ind w:left="180" w:hanging="174"/>
        <w:spacing w:after="0"/>
        <w:tabs>
          <w:tab w:leader="none" w:pos="1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 sign and date your Proxy Card</w:t>
      </w:r>
    </w:p>
    <w:p>
      <w:pPr>
        <w:spacing w:after="0" w:line="12" w:lineRule="exact"/>
        <w:rPr>
          <w:rFonts w:ascii="Times New Roman" w:cs="Times New Roman" w:eastAsia="Times New Roman" w:hAnsi="Times New Roman"/>
          <w:sz w:val="17"/>
          <w:szCs w:val="17"/>
          <w:color w:val="auto"/>
        </w:rPr>
      </w:pPr>
    </w:p>
    <w:p>
      <w:pPr>
        <w:ind w:left="180" w:right="460" w:hanging="174"/>
        <w:spacing w:after="0" w:line="270" w:lineRule="auto"/>
        <w:tabs>
          <w:tab w:leader="none" w:pos="1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Fold and return your Proxy Card in the 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-402590</wp:posOffset>
            </wp:positionV>
            <wp:extent cx="437515" cy="387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37515" cy="38798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Virtual:</w:t>
      </w:r>
    </w:p>
    <w:p>
      <w:pPr>
        <w:spacing w:after="0" w:line="33"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7"/>
          <w:szCs w:val="17"/>
          <w:b w:val="1"/>
          <w:bCs w:val="1"/>
          <w:color w:val="auto"/>
        </w:rPr>
        <w:t>You must register to attend the meeting online and/or participate at www.proxydocs.com/ACIW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-356235</wp:posOffset>
            </wp:positionV>
            <wp:extent cx="404495" cy="3467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04495" cy="346710"/>
                    </a:xfrm>
                    <a:prstGeom prst="rect">
                      <a:avLst/>
                    </a:prstGeom>
                    <a:noFill/>
                  </pic:spPr>
                </pic:pic>
              </a:graphicData>
            </a:graphic>
          </wp:anchor>
        </w:drawing>
      </w:r>
    </w:p>
    <w:p>
      <w:pPr>
        <w:spacing w:after="0" w:line="289" w:lineRule="exact"/>
        <w:rPr>
          <w:sz w:val="20"/>
          <w:szCs w:val="20"/>
          <w:color w:val="auto"/>
        </w:rPr>
      </w:pPr>
    </w:p>
    <w:p>
      <w:pPr>
        <w:sectPr>
          <w:pgSz w:w="11900" w:h="16838" w:orient="portrait"/>
          <w:cols w:equalWidth="0" w:num="2">
            <w:col w:w="6540" w:space="720"/>
            <w:col w:w="3340"/>
          </w:cols>
          <w:pgMar w:left="640" w:top="1440" w:right="659" w:bottom="1440" w:gutter="0" w:footer="0" w:header="0"/>
        </w:sect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The undersigned hereby appoints Craig Maki and Karen Hobbs (the "Named Proxies"), and each or either of them, as the true and lawful attorneys of the undersigned, with full power of substitution and revocation, and authorizes them, and each of them, to vote all the shares of capital stock of ACI Worldwide,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17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w:t>
      </w:r>
    </w:p>
    <w:p>
      <w:pPr>
        <w:spacing w:after="0" w:line="170"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PLEASE BE SURE TO SIGN AND DATE THIS PROXY CARD AND MARK ON THE REVERSE SIDE</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Copyright © 2024 BetaNXT, Inc. or its affiliates. All Rights Reserved</w:t>
      </w:r>
    </w:p>
    <w:p>
      <w:pPr>
        <w:sectPr>
          <w:pgSz w:w="11900" w:h="16838" w:orient="portrait"/>
          <w:cols w:equalWidth="0" w:num="1">
            <w:col w:w="10600"/>
          </w:cols>
          <w:pgMar w:left="640" w:top="1440" w:right="659" w:bottom="1440" w:gutter="0" w:footer="0" w:header="0"/>
          <w:type w:val="continuous"/>
        </w:sectPr>
      </w:pPr>
    </w:p>
    <w:bookmarkStart w:id="83" w:name="page84"/>
    <w:bookmarkEnd w:id="83"/>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ACI Worldwide, Inc.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2499995" cy="3714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499995" cy="371475"/>
                    </a:xfrm>
                    <a:prstGeom prst="rect">
                      <a:avLst/>
                    </a:prstGeom>
                    <a:noFill/>
                  </pic:spPr>
                </pic:pic>
              </a:graphicData>
            </a:graphic>
          </wp:anchor>
        </w:drawing>
        <w:drawing>
          <wp:anchor simplePos="0" relativeHeight="251657728" behindDoc="1" locked="0" layoutInCell="0" allowOverlap="1">
            <wp:simplePos x="0" y="0"/>
            <wp:positionH relativeFrom="column">
              <wp:posOffset>1490980</wp:posOffset>
            </wp:positionH>
            <wp:positionV relativeFrom="paragraph">
              <wp:posOffset>408940</wp:posOffset>
            </wp:positionV>
            <wp:extent cx="247650" cy="2228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4765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Please make your marks like this: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BOARD OF DIRECTORS RECOMMENDS A VOTE:</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FOR </w:t>
      </w:r>
      <w:r>
        <w:rPr>
          <w:rFonts w:ascii="Times New Roman" w:cs="Times New Roman" w:eastAsia="Times New Roman" w:hAnsi="Times New Roman"/>
          <w:sz w:val="14"/>
          <w:szCs w:val="14"/>
          <w:color w:val="auto"/>
        </w:rPr>
        <w:t>ALL NOMINEES FOR DIRECTOR ON PROPOSAL 1, AND</w:t>
      </w:r>
      <w:r>
        <w:rPr>
          <w:rFonts w:ascii="Times New Roman" w:cs="Times New Roman" w:eastAsia="Times New Roman" w:hAnsi="Times New Roman"/>
          <w:sz w:val="14"/>
          <w:szCs w:val="14"/>
          <w:b w:val="1"/>
          <w:bCs w:val="1"/>
          <w:color w:val="auto"/>
        </w:rPr>
        <w:t xml:space="preserve"> FOR </w:t>
      </w:r>
      <w:r>
        <w:rPr>
          <w:rFonts w:ascii="Times New Roman" w:cs="Times New Roman" w:eastAsia="Times New Roman" w:hAnsi="Times New Roman"/>
          <w:sz w:val="14"/>
          <w:szCs w:val="14"/>
          <w:color w:val="auto"/>
        </w:rPr>
        <w:t>PROPOSALS 2 AND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43"/>
        </w:trPr>
        <w:tc>
          <w:tcPr>
            <w:tcW w:w="4280" w:type="dxa"/>
            <w:vAlign w:val="bottom"/>
          </w:tcPr>
          <w:p>
            <w:pPr>
              <w:spacing w:after="0"/>
              <w:rPr>
                <w:sz w:val="3"/>
                <w:szCs w:val="3"/>
                <w:color w:val="auto"/>
              </w:rPr>
            </w:pPr>
          </w:p>
        </w:tc>
        <w:tc>
          <w:tcPr>
            <w:tcW w:w="4960" w:type="dxa"/>
            <w:vAlign w:val="bottom"/>
          </w:tcPr>
          <w:p>
            <w:pPr>
              <w:spacing w:after="0"/>
              <w:rPr>
                <w:sz w:val="3"/>
                <w:szCs w:val="3"/>
                <w:color w:val="auto"/>
              </w:rPr>
            </w:pPr>
          </w:p>
        </w:tc>
        <w:tc>
          <w:tcPr>
            <w:tcW w:w="1300" w:type="dxa"/>
            <w:vAlign w:val="bottom"/>
            <w:vMerge w:val="restart"/>
          </w:tcPr>
          <w:p>
            <w:pPr>
              <w:jc w:val="center"/>
              <w:ind w:left="211"/>
              <w:spacing w:after="0"/>
              <w:rPr>
                <w:sz w:val="20"/>
                <w:szCs w:val="20"/>
                <w:color w:val="auto"/>
              </w:rPr>
            </w:pPr>
            <w:r>
              <w:rPr>
                <w:rFonts w:ascii="Times New Roman" w:cs="Times New Roman" w:eastAsia="Times New Roman" w:hAnsi="Times New Roman"/>
                <w:sz w:val="14"/>
                <w:szCs w:val="14"/>
                <w:b w:val="1"/>
                <w:bCs w:val="1"/>
                <w:color w:val="auto"/>
              </w:rPr>
              <w:t>BOARD OF</w:t>
            </w:r>
          </w:p>
        </w:tc>
        <w:tc>
          <w:tcPr>
            <w:tcW w:w="0" w:type="dxa"/>
            <w:vAlign w:val="bottom"/>
          </w:tcPr>
          <w:p>
            <w:pPr>
              <w:spacing w:after="0"/>
              <w:rPr>
                <w:sz w:val="1"/>
                <w:szCs w:val="1"/>
                <w:color w:val="auto"/>
              </w:rPr>
            </w:pPr>
          </w:p>
        </w:tc>
      </w:tr>
      <w:tr>
        <w:trPr>
          <w:trHeight w:val="118"/>
        </w:trPr>
        <w:tc>
          <w:tcPr>
            <w:tcW w:w="4280" w:type="dxa"/>
            <w:vAlign w:val="bottom"/>
            <w:vMerge w:val="restart"/>
            <w:shd w:val="clear" w:color="auto" w:fill="D8D8D8"/>
          </w:tcPr>
          <w:p>
            <w:pPr>
              <w:ind w:left="32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4960" w:type="dxa"/>
            <w:vAlign w:val="bottom"/>
            <w:vMerge w:val="restart"/>
            <w:shd w:val="clear" w:color="auto" w:fill="D8D8D8"/>
          </w:tcPr>
          <w:p>
            <w:pPr>
              <w:ind w:left="3180"/>
              <w:spacing w:after="0"/>
              <w:rPr>
                <w:sz w:val="20"/>
                <w:szCs w:val="20"/>
                <w:color w:val="auto"/>
              </w:rPr>
            </w:pPr>
            <w:r>
              <w:rPr>
                <w:rFonts w:ascii="Times New Roman" w:cs="Times New Roman" w:eastAsia="Times New Roman" w:hAnsi="Times New Roman"/>
                <w:sz w:val="14"/>
                <w:szCs w:val="14"/>
                <w:b w:val="1"/>
                <w:bCs w:val="1"/>
                <w:color w:val="auto"/>
              </w:rPr>
              <w:t>YOUR VOTE</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4280" w:type="dxa"/>
            <w:vAlign w:val="bottom"/>
            <w:vMerge w:val="continue"/>
            <w:shd w:val="clear" w:color="auto" w:fill="D8D8D8"/>
          </w:tcPr>
          <w:p>
            <w:pPr>
              <w:spacing w:after="0"/>
              <w:rPr>
                <w:sz w:val="12"/>
                <w:szCs w:val="12"/>
                <w:color w:val="auto"/>
              </w:rPr>
            </w:pPr>
          </w:p>
        </w:tc>
        <w:tc>
          <w:tcPr>
            <w:tcW w:w="4960" w:type="dxa"/>
            <w:vAlign w:val="bottom"/>
            <w:vMerge w:val="continue"/>
            <w:shd w:val="clear" w:color="auto" w:fill="D8D8D8"/>
          </w:tcPr>
          <w:p>
            <w:pPr>
              <w:spacing w:after="0"/>
              <w:rPr>
                <w:sz w:val="12"/>
                <w:szCs w:val="12"/>
                <w:color w:val="auto"/>
              </w:rPr>
            </w:pPr>
          </w:p>
        </w:tc>
        <w:tc>
          <w:tcPr>
            <w:tcW w:w="1300" w:type="dxa"/>
            <w:vAlign w:val="bottom"/>
          </w:tcPr>
          <w:p>
            <w:pPr>
              <w:jc w:val="center"/>
              <w:ind w:left="211"/>
              <w:spacing w:after="0" w:line="143" w:lineRule="exact"/>
              <w:rPr>
                <w:sz w:val="20"/>
                <w:szCs w:val="20"/>
                <w:color w:val="auto"/>
              </w:rPr>
            </w:pPr>
            <w:r>
              <w:rPr>
                <w:rFonts w:ascii="Times New Roman" w:cs="Times New Roman" w:eastAsia="Times New Roman" w:hAnsi="Times New Roman"/>
                <w:sz w:val="14"/>
                <w:szCs w:val="14"/>
                <w:b w:val="1"/>
                <w:bCs w:val="1"/>
                <w:color w:val="auto"/>
                <w:w w:val="98"/>
              </w:rPr>
              <w:t>DIRECTORS</w:t>
            </w:r>
          </w:p>
        </w:tc>
        <w:tc>
          <w:tcPr>
            <w:tcW w:w="0" w:type="dxa"/>
            <w:vAlign w:val="bottom"/>
          </w:tcPr>
          <w:p>
            <w:pPr>
              <w:spacing w:after="0"/>
              <w:rPr>
                <w:sz w:val="1"/>
                <w:szCs w:val="1"/>
                <w:color w:val="auto"/>
              </w:rPr>
            </w:pPr>
          </w:p>
        </w:tc>
      </w:tr>
      <w:tr>
        <w:trPr>
          <w:trHeight w:val="180"/>
        </w:trPr>
        <w:tc>
          <w:tcPr>
            <w:tcW w:w="4280" w:type="dxa"/>
            <w:vAlign w:val="bottom"/>
            <w:shd w:val="clear" w:color="auto" w:fill="D8D8D8"/>
          </w:tcPr>
          <w:p>
            <w:pPr>
              <w:spacing w:after="0"/>
              <w:rPr>
                <w:sz w:val="15"/>
                <w:szCs w:val="15"/>
                <w:color w:val="auto"/>
              </w:rPr>
            </w:pPr>
          </w:p>
        </w:tc>
        <w:tc>
          <w:tcPr>
            <w:tcW w:w="4960" w:type="dxa"/>
            <w:vAlign w:val="bottom"/>
            <w:shd w:val="clear" w:color="auto" w:fill="D8D8D8"/>
          </w:tcPr>
          <w:p>
            <w:pPr>
              <w:spacing w:after="0"/>
              <w:rPr>
                <w:sz w:val="15"/>
                <w:szCs w:val="15"/>
                <w:color w:val="auto"/>
              </w:rPr>
            </w:pPr>
          </w:p>
        </w:tc>
        <w:tc>
          <w:tcPr>
            <w:tcW w:w="1300" w:type="dxa"/>
            <w:vAlign w:val="bottom"/>
          </w:tcPr>
          <w:p>
            <w:pPr>
              <w:jc w:val="center"/>
              <w:ind w:left="211"/>
              <w:spacing w:after="0"/>
              <w:rPr>
                <w:sz w:val="20"/>
                <w:szCs w:val="20"/>
                <w:color w:val="auto"/>
              </w:rPr>
            </w:pPr>
            <w:r>
              <w:rPr>
                <w:rFonts w:ascii="Times New Roman" w:cs="Times New Roman" w:eastAsia="Times New Roman" w:hAnsi="Times New Roman"/>
                <w:sz w:val="14"/>
                <w:szCs w:val="14"/>
                <w:b w:val="1"/>
                <w:bCs w:val="1"/>
                <w:color w:val="auto"/>
                <w:w w:val="97"/>
              </w:rPr>
              <w:t>RECOMMENDS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5872480</wp:posOffset>
            </wp:positionH>
            <wp:positionV relativeFrom="paragraph">
              <wp:posOffset>-280035</wp:posOffset>
            </wp:positionV>
            <wp:extent cx="8255" cy="33667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3366770"/>
                    </a:xfrm>
                    <a:prstGeom prst="rect">
                      <a:avLst/>
                    </a:prstGeom>
                    <a:noFill/>
                  </pic:spPr>
                </pic:pic>
              </a:graphicData>
            </a:graphic>
          </wp:anchor>
        </w:drawing>
      </w:r>
    </w:p>
    <w:p>
      <w:pPr>
        <w:spacing w:after="0" w:line="14" w:lineRule="exact"/>
        <w:rPr>
          <w:sz w:val="20"/>
          <w:szCs w:val="20"/>
          <w:color w:val="auto"/>
        </w:rPr>
      </w:pPr>
    </w:p>
    <w:p>
      <w:pPr>
        <w:ind w:left="320" w:hanging="318"/>
        <w:spacing w:after="0"/>
        <w:tabs>
          <w:tab w:leader="none" w:pos="3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6227445</wp:posOffset>
            </wp:positionH>
            <wp:positionV relativeFrom="paragraph">
              <wp:posOffset>-111760</wp:posOffset>
            </wp:positionV>
            <wp:extent cx="288925" cy="3302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88925" cy="33020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FOR</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24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w w:val="99"/>
              </w:rPr>
              <w:t>ABSTAIN</w:t>
            </w:r>
          </w:p>
        </w:tc>
        <w:tc>
          <w:tcPr>
            <w:tcW w:w="8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b w:val="1"/>
                <w:bCs w:val="1"/>
                <w:color w:val="auto"/>
              </w:rPr>
              <w:t>FOR</w:t>
            </w:r>
          </w:p>
        </w:tc>
        <w:tc>
          <w:tcPr>
            <w:tcW w:w="0" w:type="dxa"/>
            <w:vAlign w:val="bottom"/>
          </w:tcPr>
          <w:p>
            <w:pPr>
              <w:spacing w:after="0"/>
              <w:rPr>
                <w:sz w:val="1"/>
                <w:szCs w:val="1"/>
                <w:color w:val="auto"/>
              </w:rPr>
            </w:pPr>
          </w:p>
        </w:tc>
      </w:tr>
      <w:tr>
        <w:trPr>
          <w:trHeight w:val="293"/>
        </w:trPr>
        <w:tc>
          <w:tcPr>
            <w:tcW w:w="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1.01</w:t>
            </w:r>
          </w:p>
        </w:tc>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Adalio T. Sanchez</w:t>
            </w:r>
          </w:p>
        </w:tc>
        <w:tc>
          <w:tcPr>
            <w:tcW w:w="58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9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240" w:type="dxa"/>
            <w:vAlign w:val="bottom"/>
          </w:tcPr>
          <w:p>
            <w:pPr>
              <w:jc w:val="center"/>
              <w:ind w:right="216"/>
              <w:spacing w:after="0" w:line="171" w:lineRule="exact"/>
              <w:rPr>
                <w:sz w:val="20"/>
                <w:szCs w:val="20"/>
                <w:color w:val="auto"/>
              </w:rPr>
            </w:pPr>
            <w:r>
              <w:rPr>
                <w:rFonts w:ascii="MS PGothic" w:cs="MS PGothic" w:eastAsia="MS PGothic" w:hAnsi="MS PGothic"/>
                <w:sz w:val="17"/>
                <w:szCs w:val="17"/>
                <w:color w:val="auto"/>
                <w:w w:val="82"/>
              </w:rPr>
              <w:t>☐</w:t>
            </w: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1.02</w:t>
            </w:r>
          </w:p>
        </w:tc>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Juan A. Benitez</w:t>
            </w:r>
          </w:p>
        </w:tc>
        <w:tc>
          <w:tcPr>
            <w:tcW w:w="58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9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240" w:type="dxa"/>
            <w:vAlign w:val="bottom"/>
          </w:tcPr>
          <w:p>
            <w:pPr>
              <w:jc w:val="center"/>
              <w:ind w:right="216"/>
              <w:spacing w:after="0" w:line="171" w:lineRule="exact"/>
              <w:rPr>
                <w:sz w:val="20"/>
                <w:szCs w:val="20"/>
                <w:color w:val="auto"/>
              </w:rPr>
            </w:pPr>
            <w:r>
              <w:rPr>
                <w:rFonts w:ascii="MS PGothic" w:cs="MS PGothic" w:eastAsia="MS PGothic" w:hAnsi="MS PGothic"/>
                <w:sz w:val="17"/>
                <w:szCs w:val="17"/>
                <w:color w:val="auto"/>
                <w:w w:val="82"/>
              </w:rPr>
              <w:t>☐</w:t>
            </w:r>
          </w:p>
        </w:tc>
        <w:tc>
          <w:tcPr>
            <w:tcW w:w="84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FOR</w:t>
            </w:r>
          </w:p>
        </w:tc>
        <w:tc>
          <w:tcPr>
            <w:tcW w:w="0" w:type="dxa"/>
            <w:vAlign w:val="bottom"/>
          </w:tcPr>
          <w:p>
            <w:pPr>
              <w:spacing w:after="0"/>
              <w:rPr>
                <w:sz w:val="1"/>
                <w:szCs w:val="1"/>
                <w:color w:val="auto"/>
              </w:rPr>
            </w:pPr>
          </w:p>
        </w:tc>
      </w:tr>
      <w:tr>
        <w:trPr>
          <w:trHeight w:val="338"/>
        </w:trPr>
        <w:tc>
          <w:tcPr>
            <w:tcW w:w="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1.03</w:t>
            </w:r>
          </w:p>
        </w:tc>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Janet O. Estep</w:t>
            </w:r>
          </w:p>
        </w:tc>
        <w:tc>
          <w:tcPr>
            <w:tcW w:w="58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9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240" w:type="dxa"/>
            <w:vAlign w:val="bottom"/>
          </w:tcPr>
          <w:p>
            <w:pPr>
              <w:jc w:val="center"/>
              <w:ind w:right="216"/>
              <w:spacing w:after="0" w:line="171" w:lineRule="exact"/>
              <w:rPr>
                <w:sz w:val="20"/>
                <w:szCs w:val="20"/>
                <w:color w:val="auto"/>
              </w:rPr>
            </w:pPr>
            <w:r>
              <w:rPr>
                <w:rFonts w:ascii="MS PGothic" w:cs="MS PGothic" w:eastAsia="MS PGothic" w:hAnsi="MS PGothic"/>
                <w:sz w:val="17"/>
                <w:szCs w:val="17"/>
                <w:color w:val="auto"/>
                <w:w w:val="82"/>
              </w:rPr>
              <w:t>☐</w:t>
            </w:r>
          </w:p>
        </w:tc>
        <w:tc>
          <w:tcPr>
            <w:tcW w:w="84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FOR</w:t>
            </w:r>
          </w:p>
        </w:tc>
        <w:tc>
          <w:tcPr>
            <w:tcW w:w="0" w:type="dxa"/>
            <w:vAlign w:val="bottom"/>
          </w:tcPr>
          <w:p>
            <w:pPr>
              <w:spacing w:after="0"/>
              <w:rPr>
                <w:sz w:val="1"/>
                <w:szCs w:val="1"/>
                <w:color w:val="auto"/>
              </w:rPr>
            </w:pPr>
          </w:p>
        </w:tc>
      </w:tr>
      <w:tr>
        <w:trPr>
          <w:trHeight w:val="338"/>
        </w:trPr>
        <w:tc>
          <w:tcPr>
            <w:tcW w:w="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1.04</w:t>
            </w:r>
          </w:p>
        </w:tc>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Mary P. Harman</w:t>
            </w:r>
          </w:p>
        </w:tc>
        <w:tc>
          <w:tcPr>
            <w:tcW w:w="58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9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240" w:type="dxa"/>
            <w:vAlign w:val="bottom"/>
          </w:tcPr>
          <w:p>
            <w:pPr>
              <w:jc w:val="center"/>
              <w:ind w:right="216"/>
              <w:spacing w:after="0" w:line="171" w:lineRule="exact"/>
              <w:rPr>
                <w:sz w:val="20"/>
                <w:szCs w:val="20"/>
                <w:color w:val="auto"/>
              </w:rPr>
            </w:pPr>
            <w:r>
              <w:rPr>
                <w:rFonts w:ascii="MS PGothic" w:cs="MS PGothic" w:eastAsia="MS PGothic" w:hAnsi="MS PGothic"/>
                <w:sz w:val="17"/>
                <w:szCs w:val="17"/>
                <w:color w:val="auto"/>
                <w:w w:val="82"/>
              </w:rPr>
              <w:t>☐</w:t>
            </w:r>
          </w:p>
        </w:tc>
        <w:tc>
          <w:tcPr>
            <w:tcW w:w="84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FOR</w:t>
            </w:r>
          </w:p>
        </w:tc>
        <w:tc>
          <w:tcPr>
            <w:tcW w:w="0" w:type="dxa"/>
            <w:vAlign w:val="bottom"/>
          </w:tcPr>
          <w:p>
            <w:pPr>
              <w:spacing w:after="0"/>
              <w:rPr>
                <w:sz w:val="1"/>
                <w:szCs w:val="1"/>
                <w:color w:val="auto"/>
              </w:rPr>
            </w:pPr>
          </w:p>
        </w:tc>
      </w:tr>
      <w:tr>
        <w:trPr>
          <w:trHeight w:val="338"/>
        </w:trPr>
        <w:tc>
          <w:tcPr>
            <w:tcW w:w="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1.05</w:t>
            </w:r>
          </w:p>
        </w:tc>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Katrinka B. McCallum</w:t>
            </w:r>
          </w:p>
        </w:tc>
        <w:tc>
          <w:tcPr>
            <w:tcW w:w="58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9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240" w:type="dxa"/>
            <w:vAlign w:val="bottom"/>
          </w:tcPr>
          <w:p>
            <w:pPr>
              <w:jc w:val="center"/>
              <w:ind w:right="216"/>
              <w:spacing w:after="0" w:line="171" w:lineRule="exact"/>
              <w:rPr>
                <w:sz w:val="20"/>
                <w:szCs w:val="20"/>
                <w:color w:val="auto"/>
              </w:rPr>
            </w:pPr>
            <w:r>
              <w:rPr>
                <w:rFonts w:ascii="MS PGothic" w:cs="MS PGothic" w:eastAsia="MS PGothic" w:hAnsi="MS PGothic"/>
                <w:sz w:val="17"/>
                <w:szCs w:val="17"/>
                <w:color w:val="auto"/>
                <w:w w:val="82"/>
              </w:rPr>
              <w:t>☐</w:t>
            </w:r>
          </w:p>
        </w:tc>
        <w:tc>
          <w:tcPr>
            <w:tcW w:w="84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FOR</w:t>
            </w:r>
          </w:p>
        </w:tc>
        <w:tc>
          <w:tcPr>
            <w:tcW w:w="0" w:type="dxa"/>
            <w:vAlign w:val="bottom"/>
          </w:tcPr>
          <w:p>
            <w:pPr>
              <w:spacing w:after="0"/>
              <w:rPr>
                <w:sz w:val="1"/>
                <w:szCs w:val="1"/>
                <w:color w:val="auto"/>
              </w:rPr>
            </w:pPr>
          </w:p>
        </w:tc>
      </w:tr>
      <w:tr>
        <w:trPr>
          <w:trHeight w:val="338"/>
        </w:trPr>
        <w:tc>
          <w:tcPr>
            <w:tcW w:w="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1.06</w:t>
            </w:r>
          </w:p>
        </w:tc>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Charles E. Peters, Jr.</w:t>
            </w:r>
          </w:p>
        </w:tc>
        <w:tc>
          <w:tcPr>
            <w:tcW w:w="58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9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240" w:type="dxa"/>
            <w:vAlign w:val="bottom"/>
          </w:tcPr>
          <w:p>
            <w:pPr>
              <w:jc w:val="center"/>
              <w:ind w:right="216"/>
              <w:spacing w:after="0" w:line="171" w:lineRule="exact"/>
              <w:rPr>
                <w:sz w:val="20"/>
                <w:szCs w:val="20"/>
                <w:color w:val="auto"/>
              </w:rPr>
            </w:pPr>
            <w:r>
              <w:rPr>
                <w:rFonts w:ascii="MS PGothic" w:cs="MS PGothic" w:eastAsia="MS PGothic" w:hAnsi="MS PGothic"/>
                <w:sz w:val="17"/>
                <w:szCs w:val="17"/>
                <w:color w:val="auto"/>
                <w:w w:val="82"/>
              </w:rPr>
              <w:t>☐</w:t>
            </w:r>
          </w:p>
        </w:tc>
        <w:tc>
          <w:tcPr>
            <w:tcW w:w="84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FOR</w:t>
            </w:r>
          </w:p>
        </w:tc>
        <w:tc>
          <w:tcPr>
            <w:tcW w:w="0" w:type="dxa"/>
            <w:vAlign w:val="bottom"/>
          </w:tcPr>
          <w:p>
            <w:pPr>
              <w:spacing w:after="0"/>
              <w:rPr>
                <w:sz w:val="1"/>
                <w:szCs w:val="1"/>
                <w:color w:val="auto"/>
              </w:rPr>
            </w:pPr>
          </w:p>
        </w:tc>
      </w:tr>
      <w:tr>
        <w:trPr>
          <w:trHeight w:val="338"/>
        </w:trPr>
        <w:tc>
          <w:tcPr>
            <w:tcW w:w="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1.07</w:t>
            </w:r>
          </w:p>
        </w:tc>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Thomas W. Warsop III</w:t>
            </w:r>
          </w:p>
        </w:tc>
        <w:tc>
          <w:tcPr>
            <w:tcW w:w="58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9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240" w:type="dxa"/>
            <w:vAlign w:val="bottom"/>
          </w:tcPr>
          <w:p>
            <w:pPr>
              <w:jc w:val="center"/>
              <w:ind w:right="216"/>
              <w:spacing w:after="0" w:line="171" w:lineRule="exact"/>
              <w:rPr>
                <w:sz w:val="20"/>
                <w:szCs w:val="20"/>
                <w:color w:val="auto"/>
              </w:rPr>
            </w:pPr>
            <w:r>
              <w:rPr>
                <w:rFonts w:ascii="MS PGothic" w:cs="MS PGothic" w:eastAsia="MS PGothic" w:hAnsi="MS PGothic"/>
                <w:sz w:val="17"/>
                <w:szCs w:val="17"/>
                <w:color w:val="auto"/>
                <w:w w:val="82"/>
              </w:rPr>
              <w:t>☐</w:t>
            </w:r>
          </w:p>
        </w:tc>
        <w:tc>
          <w:tcPr>
            <w:tcW w:w="84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FOR</w:t>
            </w:r>
          </w:p>
        </w:tc>
        <w:tc>
          <w:tcPr>
            <w:tcW w:w="0" w:type="dxa"/>
            <w:vAlign w:val="bottom"/>
          </w:tcPr>
          <w:p>
            <w:pPr>
              <w:spacing w:after="0"/>
              <w:rPr>
                <w:sz w:val="1"/>
                <w:szCs w:val="1"/>
                <w:color w:val="auto"/>
              </w:rPr>
            </w:pPr>
          </w:p>
        </w:tc>
      </w:tr>
      <w:tr>
        <w:trPr>
          <w:trHeight w:val="338"/>
        </w:trPr>
        <w:tc>
          <w:tcPr>
            <w:tcW w:w="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1.08</w:t>
            </w:r>
          </w:p>
        </w:tc>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Samir M. Zabaneh</w:t>
            </w:r>
          </w:p>
        </w:tc>
        <w:tc>
          <w:tcPr>
            <w:tcW w:w="58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9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240" w:type="dxa"/>
            <w:vAlign w:val="bottom"/>
          </w:tcPr>
          <w:p>
            <w:pPr>
              <w:jc w:val="center"/>
              <w:ind w:right="216"/>
              <w:spacing w:after="0" w:line="171" w:lineRule="exact"/>
              <w:rPr>
                <w:sz w:val="20"/>
                <w:szCs w:val="20"/>
                <w:color w:val="auto"/>
              </w:rPr>
            </w:pPr>
            <w:r>
              <w:rPr>
                <w:rFonts w:ascii="MS PGothic" w:cs="MS PGothic" w:eastAsia="MS PGothic" w:hAnsi="MS PGothic"/>
                <w:sz w:val="17"/>
                <w:szCs w:val="17"/>
                <w:color w:val="auto"/>
                <w:w w:val="82"/>
              </w:rPr>
              <w:t>☐</w:t>
            </w:r>
          </w:p>
        </w:tc>
        <w:tc>
          <w:tcPr>
            <w:tcW w:w="84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FOR</w:t>
            </w:r>
          </w:p>
        </w:tc>
        <w:tc>
          <w:tcPr>
            <w:tcW w:w="0" w:type="dxa"/>
            <w:vAlign w:val="bottom"/>
          </w:tcPr>
          <w:p>
            <w:pPr>
              <w:spacing w:after="0"/>
              <w:rPr>
                <w:sz w:val="1"/>
                <w:szCs w:val="1"/>
                <w:color w:val="auto"/>
              </w:rPr>
            </w:pPr>
          </w:p>
        </w:tc>
      </w:tr>
      <w:tr>
        <w:trPr>
          <w:trHeight w:val="219"/>
        </w:trPr>
        <w:tc>
          <w:tcPr>
            <w:tcW w:w="66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24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w w:val="99"/>
              </w:rPr>
              <w:t>ABSTAIN</w:t>
            </w:r>
          </w:p>
        </w:tc>
        <w:tc>
          <w:tcPr>
            <w:tcW w:w="8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b w:val="1"/>
                <w:bCs w:val="1"/>
                <w:color w:val="auto"/>
              </w:rPr>
              <w:t>FOR</w:t>
            </w:r>
          </w:p>
        </w:tc>
        <w:tc>
          <w:tcPr>
            <w:tcW w:w="0" w:type="dxa"/>
            <w:vAlign w:val="bottom"/>
          </w:tcPr>
          <w:p>
            <w:pPr>
              <w:spacing w:after="0"/>
              <w:rPr>
                <w:sz w:val="1"/>
                <w:szCs w:val="1"/>
                <w:color w:val="auto"/>
              </w:rPr>
            </w:pPr>
          </w:p>
        </w:tc>
      </w:tr>
      <w:tr>
        <w:trPr>
          <w:trHeight w:val="215"/>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  To ratify the appointment of Deloitte &amp; Touche LLP as our independent registered public</w:t>
            </w:r>
          </w:p>
        </w:tc>
        <w:tc>
          <w:tcPr>
            <w:tcW w:w="58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9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240" w:type="dxa"/>
            <w:vAlign w:val="bottom"/>
          </w:tcPr>
          <w:p>
            <w:pPr>
              <w:jc w:val="center"/>
              <w:ind w:right="216"/>
              <w:spacing w:after="0" w:line="171" w:lineRule="exact"/>
              <w:rPr>
                <w:sz w:val="20"/>
                <w:szCs w:val="20"/>
                <w:color w:val="auto"/>
              </w:rPr>
            </w:pPr>
            <w:r>
              <w:rPr>
                <w:rFonts w:ascii="MS PGothic" w:cs="MS PGothic" w:eastAsia="MS PGothic" w:hAnsi="MS PGothic"/>
                <w:sz w:val="17"/>
                <w:szCs w:val="17"/>
                <w:color w:val="auto"/>
                <w:w w:val="82"/>
              </w:rPr>
              <w:t>☐</w:t>
            </w: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accounting firm for 2024;</w:t>
            </w: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3.   To conduct an advisory vote to approve named executive officer compensation; and</w:t>
            </w:r>
          </w:p>
        </w:tc>
        <w:tc>
          <w:tcPr>
            <w:tcW w:w="58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9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240" w:type="dxa"/>
            <w:vAlign w:val="bottom"/>
          </w:tcPr>
          <w:p>
            <w:pPr>
              <w:jc w:val="center"/>
              <w:ind w:right="216"/>
              <w:spacing w:after="0" w:line="171" w:lineRule="exact"/>
              <w:rPr>
                <w:sz w:val="20"/>
                <w:szCs w:val="20"/>
                <w:color w:val="auto"/>
              </w:rPr>
            </w:pPr>
            <w:r>
              <w:rPr>
                <w:rFonts w:ascii="MS PGothic" w:cs="MS PGothic" w:eastAsia="MS PGothic" w:hAnsi="MS PGothic"/>
                <w:sz w:val="17"/>
                <w:szCs w:val="17"/>
                <w:color w:val="auto"/>
                <w:w w:val="82"/>
              </w:rPr>
              <w:t>☐</w:t>
            </w:r>
          </w:p>
        </w:tc>
        <w:tc>
          <w:tcPr>
            <w:tcW w:w="84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FOR</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20" w:right="4040" w:hanging="318"/>
        <w:spacing w:after="0" w:line="293" w:lineRule="auto"/>
        <w:tabs>
          <w:tab w:leader="none" w:pos="3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Annual Meeting and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40" w:right="3480"/>
        <w:spacing w:after="0" w:line="298" w:lineRule="auto"/>
        <w:rPr>
          <w:sz w:val="20"/>
          <w:szCs w:val="20"/>
          <w:color w:val="auto"/>
        </w:rPr>
      </w:pPr>
      <w:r>
        <w:rPr>
          <w:rFonts w:ascii="Times New Roman" w:cs="Times New Roman" w:eastAsia="Times New Roman" w:hAnsi="Times New Roman"/>
          <w:sz w:val="14"/>
          <w:szCs w:val="14"/>
          <w:b w:val="1"/>
          <w:bCs w:val="1"/>
          <w:color w:val="auto"/>
        </w:rPr>
        <w:t>You must register to attend the meeting online and/or participate at www.proxydocs.com/ACIW Authorized Signatures - Must be completed for your instructions to be executed.</w:t>
      </w:r>
    </w:p>
    <w:p>
      <w:pPr>
        <w:ind w:left="740" w:right="1060"/>
        <w:spacing w:after="0" w:line="261" w:lineRule="auto"/>
        <w:rPr>
          <w:sz w:val="20"/>
          <w:szCs w:val="20"/>
          <w:color w:val="auto"/>
        </w:rPr>
      </w:pPr>
      <w:r>
        <w:rPr>
          <w:rFonts w:ascii="Times New Roman" w:cs="Times New Roman" w:eastAsia="Times New Roman" w:hAnsi="Times New Roman"/>
          <w:sz w:val="16"/>
          <w:szCs w:val="16"/>
          <w:color w:val="auto"/>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p>
      <w:pPr>
        <w:spacing w:after="0" w:line="223" w:lineRule="exact"/>
        <w:rPr>
          <w:sz w:val="20"/>
          <w:szCs w:val="20"/>
          <w:color w:val="auto"/>
        </w:rPr>
      </w:pPr>
    </w:p>
    <w:p>
      <w:pPr>
        <w:spacing w:after="0"/>
        <w:tabs>
          <w:tab w:leader="none" w:pos="3700" w:val="left"/>
          <w:tab w:leader="none" w:pos="4940" w:val="left"/>
          <w:tab w:leader="none" w:pos="5240" w:val="left"/>
          <w:tab w:leader="none" w:pos="9440" w:val="left"/>
        </w:tabs>
        <w:rPr>
          <w:sz w:val="20"/>
          <w:szCs w:val="20"/>
          <w:color w:val="auto"/>
        </w:rPr>
      </w:pPr>
      <w:r>
        <w:rPr>
          <w:rFonts w:ascii="Times New Roman" w:cs="Times New Roman" w:eastAsia="Times New Roman" w:hAnsi="Times New Roman"/>
          <w:sz w:val="16"/>
          <w:szCs w:val="16"/>
          <w:color w:val="auto"/>
        </w:rPr>
        <w:t xml:space="preserve">Signature (and Title if applicable)                            </w:t>
        <w:tab/>
        <w:t xml:space="preserve">Date             </w:t>
      </w:r>
      <w:r>
        <w:rPr>
          <w:sz w:val="20"/>
          <w:szCs w:val="20"/>
          <w:color w:val="auto"/>
        </w:rPr>
        <w:tab/>
      </w:r>
      <w:r>
        <w:rPr>
          <w:rFonts w:ascii="Times New Roman" w:cs="Times New Roman" w:eastAsia="Times New Roman" w:hAnsi="Times New Roman"/>
          <w:sz w:val="16"/>
          <w:szCs w:val="16"/>
          <w:color w:val="auto"/>
        </w:rPr>
        <w:t> </w:t>
      </w:r>
      <w:r>
        <w:rPr>
          <w:sz w:val="20"/>
          <w:szCs w:val="20"/>
          <w:color w:val="auto"/>
        </w:rPr>
        <w:tab/>
      </w:r>
      <w:r>
        <w:rPr>
          <w:rFonts w:ascii="Times New Roman" w:cs="Times New Roman" w:eastAsia="Times New Roman" w:hAnsi="Times New Roman"/>
          <w:sz w:val="16"/>
          <w:szCs w:val="16"/>
          <w:color w:val="auto"/>
        </w:rPr>
        <w:t>Signature (if held jointly)</w:t>
      </w:r>
      <w:r>
        <w:rPr>
          <w:sz w:val="20"/>
          <w:szCs w:val="20"/>
          <w:color w:val="auto"/>
        </w:rPr>
        <w:tab/>
      </w:r>
      <w:r>
        <w:rPr>
          <w:rFonts w:ascii="Times New Roman" w:cs="Times New Roman" w:eastAsia="Times New Roman" w:hAnsi="Times New Roman"/>
          <w:sz w:val="16"/>
          <w:szCs w:val="16"/>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673290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32905" cy="8255"/>
                    </a:xfrm>
                    <a:prstGeom prst="rect">
                      <a:avLst/>
                    </a:prstGeom>
                    <a:noFill/>
                  </pic:spPr>
                </pic:pic>
              </a:graphicData>
            </a:graphic>
          </wp:anchor>
        </w:drawing>
      </w:r>
    </w:p>
    <w:sectPr>
      <w:pgSz w:w="11900" w:h="16838" w:orient="portrait"/>
      <w:cols w:equalWidth="0" w:num="1">
        <w:col w:w="10600"/>
      </w:cols>
      <w:pgMar w:left="640" w:top="288"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1)"/>
      <w:numFmt w:val="decimal"/>
      <w:start w:val="1"/>
    </w:lvl>
  </w:abstractNum>
  <w:abstractNum w:abstractNumId="9">
    <w:nsid w:val="51EAD36B"/>
    <w:multiLevelType w:val="hybridMultilevel"/>
    <w:lvl w:ilvl="0">
      <w:lvlJc w:val="left"/>
      <w:lvlText w:val="(%1)"/>
      <w:numFmt w:val="decimal"/>
      <w:start w:val="3"/>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
      <w:numFmt w:val="bullet"/>
      <w:start w:val="1"/>
    </w:lvl>
  </w:abstractNum>
  <w:abstractNum w:abstractNumId="12">
    <w:nsid w:val="153EA438"/>
    <w:multiLevelType w:val="hybridMultilevel"/>
    <w:lvl w:ilvl="0">
      <w:lvlJc w:val="left"/>
      <w:lvlText w:val=" "/>
      <w:numFmt w:val="bullet"/>
      <w:start w:val="1"/>
    </w:lvl>
  </w:abstractNum>
  <w:abstractNum w:abstractNumId="13">
    <w:nsid w:val="3855585C"/>
    <w:multiLevelType w:val="hybridMultilevel"/>
    <w:lvl w:ilvl="0">
      <w:lvlJc w:val="left"/>
      <w:lvlText w:val=" "/>
      <w:numFmt w:val="bullet"/>
      <w:start w:val="1"/>
    </w:lvl>
  </w:abstractNum>
  <w:abstractNum w:abstractNumId="14">
    <w:nsid w:val="70A64E2A"/>
    <w:multiLevelType w:val="hybridMultilevel"/>
    <w:lvl w:ilvl="0">
      <w:lvlJc w:val="left"/>
      <w:lvlText w:val=" "/>
      <w:numFmt w:val="bullet"/>
      <w:start w:val="1"/>
    </w:lvl>
  </w:abstractNum>
  <w:abstractNum w:abstractNumId="15">
    <w:nsid w:val="6A2342EC"/>
    <w:multiLevelType w:val="hybridMultilevel"/>
    <w:lvl w:ilvl="0">
      <w:lvlJc w:val="left"/>
      <w:lvlText w:val=" "/>
      <w:numFmt w:val="bullet"/>
      <w:start w:val="1"/>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1)"/>
      <w:numFmt w:val="decimal"/>
      <w:start w:val="1"/>
    </w:lvl>
  </w:abstractNum>
  <w:abstractNum w:abstractNumId="18">
    <w:nsid w:val="725A06FB"/>
    <w:multiLevelType w:val="hybridMultilevel"/>
    <w:lvl w:ilvl="0">
      <w:lvlJc w:val="left"/>
      <w:lvlText w:val="(%1)"/>
      <w:numFmt w:val="lowerRoman"/>
      <w:start w:val="1"/>
    </w:lvl>
  </w:abstractNum>
  <w:abstractNum w:abstractNumId="19">
    <w:nsid w:val="2CD89A32"/>
    <w:multiLevelType w:val="hybridMultilevel"/>
    <w:lvl w:ilvl="0">
      <w:lvlJc w:val="left"/>
      <w:lvlText w:val="(%1)"/>
      <w:numFmt w:val="lowerRoman"/>
      <w:start w:val="3"/>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1)"/>
      <w:numFmt w:val="decimal"/>
      <w:start w:val="1"/>
    </w:lvl>
  </w:abstractNum>
  <w:abstractNum w:abstractNumId="22">
    <w:nsid w:val="4B588F54"/>
    <w:multiLevelType w:val="hybridMultilevel"/>
    <w:lvl w:ilvl="0">
      <w:lvlJc w:val="left"/>
      <w:lvlText w:val="(%1)"/>
      <w:numFmt w:val="decimal"/>
      <w:start w:val="3"/>
    </w:lvl>
  </w:abstractNum>
  <w:abstractNum w:abstractNumId="23">
    <w:nsid w:val="542289EC"/>
    <w:multiLevelType w:val="hybridMultilevel"/>
    <w:lvl w:ilvl="0">
      <w:lvlJc w:val="left"/>
      <w:lvlText w:val="(%1)"/>
      <w:numFmt w:val="decimal"/>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1)"/>
      <w:numFmt w:val="decimal"/>
      <w:start w:val="1"/>
    </w:lvl>
  </w:abstractNum>
  <w:abstractNum w:abstractNumId="31">
    <w:nsid w:val="3DC240FB"/>
    <w:multiLevelType w:val="hybridMultilevel"/>
    <w:lvl w:ilvl="0">
      <w:lvlJc w:val="left"/>
      <w:lvlText w:val="(%1)"/>
      <w:numFmt w:val="decimal"/>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1)"/>
      <w:numFmt w:val="decimal"/>
      <w:start w:val="1"/>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1)"/>
      <w:numFmt w:val="decimal"/>
      <w:start w:val="1"/>
    </w:lvl>
  </w:abstractNum>
  <w:abstractNum w:abstractNumId="40">
    <w:nsid w:val="23F9C13C"/>
    <w:multiLevelType w:val="hybridMultilevel"/>
    <w:lvl w:ilvl="0">
      <w:lvlJc w:val="left"/>
      <w:lvlText w:val="(%1)"/>
      <w:numFmt w:val="decimal"/>
      <w:start w:val="2"/>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1)"/>
      <w:numFmt w:val="decimal"/>
      <w:start w:val="5"/>
    </w:lvl>
  </w:abstractNum>
  <w:abstractNum w:abstractNumId="45">
    <w:nsid w:val="180115BE"/>
    <w:multiLevelType w:val="hybridMultilevel"/>
    <w:lvl w:ilvl="0">
      <w:lvlJc w:val="left"/>
      <w:lvlText w:val="(%1)"/>
      <w:numFmt w:val="decimal"/>
      <w:start w:val="1"/>
    </w:lvl>
  </w:abstractNum>
  <w:abstractNum w:abstractNumId="46">
    <w:nsid w:val="235BA861"/>
    <w:multiLevelType w:val="hybridMultilevel"/>
    <w:lvl w:ilvl="0">
      <w:lvlJc w:val="left"/>
      <w:lvlText w:val="(%1)"/>
      <w:numFmt w:val="decimal"/>
      <w:start w:val="1"/>
    </w:lvl>
  </w:abstractNum>
  <w:abstractNum w:abstractNumId="47">
    <w:nsid w:val="47398C89"/>
    <w:multiLevelType w:val="hybridMultilevel"/>
    <w:lvl w:ilvl="0">
      <w:lvlJc w:val="left"/>
      <w:lvlText w:val="(%1)"/>
      <w:numFmt w:val="decimal"/>
      <w:start w:val="3"/>
    </w:lvl>
  </w:abstractNum>
  <w:abstractNum w:abstractNumId="48">
    <w:nsid w:val="354FE9F9"/>
    <w:multiLevelType w:val="hybridMultilevel"/>
    <w:lvl w:ilvl="0">
      <w:lvlJc w:val="left"/>
      <w:lvlText w:val="(%1)"/>
      <w:numFmt w:val="decimal"/>
      <w:start w:val="1"/>
    </w:lvl>
  </w:abstractNum>
  <w:abstractNum w:abstractNumId="49">
    <w:nsid w:val="15B5AF5C"/>
    <w:multiLevelType w:val="hybridMultilevel"/>
    <w:lvl w:ilvl="0">
      <w:lvlJc w:val="left"/>
      <w:lvlText w:val="(%1)"/>
      <w:numFmt w:val="decimal"/>
      <w:start w:val="1"/>
    </w:lvl>
  </w:abstractNum>
  <w:abstractNum w:abstractNumId="50">
    <w:nsid w:val="741226BB"/>
    <w:multiLevelType w:val="hybridMultilevel"/>
    <w:lvl w:ilvl="0">
      <w:lvlJc w:val="left"/>
      <w:lvlText w:val="(%1)"/>
      <w:numFmt w:val="decimal"/>
      <w:start w:val="1"/>
    </w:lvl>
  </w:abstractNum>
  <w:abstractNum w:abstractNumId="51">
    <w:nsid w:val="D34B6A8"/>
    <w:multiLevelType w:val="hybridMultilevel"/>
    <w:lvl w:ilvl="0">
      <w:lvlJc w:val="left"/>
      <w:lvlText w:val="(%1)"/>
      <w:numFmt w:val="lowerRoman"/>
      <w:start w:val="5"/>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1."/>
      <w:numFmt w:val="decimal"/>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1."/>
      <w:numFmt w:val="decimal"/>
      <w:start w:val="5"/>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1."/>
      <w:numFmt w:val="decimal"/>
      <w:start w:val="6"/>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1)"/>
      <w:numFmt w:val="decimal"/>
      <w:start w:val="3"/>
    </w:lvl>
  </w:abstractNum>
  <w:abstractNum w:abstractNumId="62">
    <w:nsid w:val="1DBABF00"/>
    <w:multiLevelType w:val="hybridMultilevel"/>
    <w:lvl w:ilvl="0">
      <w:lvlJc w:val="left"/>
      <w:lvlText w:val="(%1)"/>
      <w:numFmt w:val="decimal"/>
      <w:start w:val="1"/>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2024-04-22T15:19:23Z</dcterms:created>
  <dcterms:modified xsi:type="dcterms:W3CDTF">2024-04-22T15:19:23Z</dcterms:modified>
</cp:coreProperties>
</file>