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11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60" w:right="280" w:hanging="434"/>
        <w:spacing w:after="0" w:line="238"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Commission File Number 0-25346</w:t>
      </w:r>
    </w:p>
    <w:p>
      <w:pPr>
        <w:spacing w:after="0" w:line="2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ACI WORLDWIDE,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ectPr>
          <w:pgSz w:w="11900" w:h="16916" w:orient="portrait"/>
          <w:cols w:equalWidth="0" w:num="1">
            <w:col w:w="11240"/>
          </w:cols>
          <w:pgMar w:left="320" w:top="225" w:right="339" w:bottom="0" w:gutter="0" w:footer="0" w:header="0"/>
        </w:sectPr>
      </w:pPr>
    </w:p>
    <w:p>
      <w:pPr>
        <w:spacing w:after="0" w:line="120"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47-0772104</w:t>
      </w:r>
    </w:p>
    <w:p>
      <w:pPr>
        <w:spacing w:after="0" w:line="113" w:lineRule="exact"/>
        <w:rPr>
          <w:sz w:val="24"/>
          <w:szCs w:val="24"/>
          <w:color w:val="auto"/>
        </w:rPr>
      </w:pPr>
    </w:p>
    <w:p>
      <w:pPr>
        <w:sectPr>
          <w:pgSz w:w="11900" w:h="16916" w:orient="portrait"/>
          <w:cols w:equalWidth="0" w:num="2">
            <w:col w:w="6660" w:space="720"/>
            <w:col w:w="3860"/>
          </w:cols>
          <w:pgMar w:left="320" w:top="225" w:right="339" w:bottom="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79" w:lineRule="exact"/>
        <w:rPr>
          <w:sz w:val="24"/>
          <w:szCs w:val="24"/>
          <w:color w:val="auto"/>
        </w:rPr>
      </w:pPr>
    </w:p>
    <w:p>
      <w:pPr>
        <w:sectPr>
          <w:pgSz w:w="11900" w:h="16916" w:orient="portrait"/>
          <w:cols w:equalWidth="0" w:num="2">
            <w:col w:w="6000" w:space="720"/>
            <w:col w:w="4520"/>
          </w:cols>
          <w:pgMar w:left="320" w:top="225" w:right="339" w:bottom="0" w:gutter="0" w:footer="0" w:header="0"/>
          <w:type w:val="continuous"/>
        </w:sectPr>
      </w:pPr>
    </w:p>
    <w:p>
      <w:pPr>
        <w:ind w:left="1940"/>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6060 Coventry Drive</w:t>
      </w:r>
      <w:r>
        <w:rPr>
          <w:sz w:val="20"/>
          <w:szCs w:val="20"/>
          <w:color w:val="auto"/>
        </w:rPr>
        <w:tab/>
      </w:r>
      <w:r>
        <w:rPr>
          <w:rFonts w:ascii="Times New Roman" w:cs="Times New Roman" w:eastAsia="Times New Roman" w:hAnsi="Times New Roman"/>
          <w:sz w:val="17"/>
          <w:szCs w:val="17"/>
          <w:b w:val="1"/>
          <w:bCs w:val="1"/>
          <w:color w:val="auto"/>
        </w:rPr>
        <w:t>Elkhorn, Nebraska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68022</w:t>
      </w:r>
    </w:p>
    <w:p>
      <w:pPr>
        <w:spacing w:after="0" w:line="74" w:lineRule="exact"/>
        <w:rPr>
          <w:sz w:val="24"/>
          <w:szCs w:val="24"/>
          <w:color w:val="auto"/>
        </w:rPr>
      </w:pPr>
    </w:p>
    <w:p>
      <w:pPr>
        <w:sectPr>
          <w:pgSz w:w="11900" w:h="16916" w:orient="portrait"/>
          <w:cols w:equalWidth="0" w:num="2">
            <w:col w:w="6860" w:space="720"/>
            <w:col w:w="3660"/>
          </w:cols>
          <w:pgMar w:left="320" w:top="225" w:right="339" w:bottom="0" w:gutter="0" w:footer="0" w:header="0"/>
          <w:type w:val="continuous"/>
        </w:sectPr>
      </w:pPr>
    </w:p>
    <w:p>
      <w:pPr>
        <w:ind w:left="2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5" w:lineRule="exact"/>
        <w:rPr>
          <w:sz w:val="24"/>
          <w:szCs w:val="24"/>
          <w:color w:val="auto"/>
        </w:rPr>
      </w:pPr>
    </w:p>
    <w:p>
      <w:pPr>
        <w:sectPr>
          <w:pgSz w:w="11900" w:h="16916" w:orient="portrait"/>
          <w:cols w:equalWidth="0" w:num="2">
            <w:col w:w="6780" w:space="720"/>
            <w:col w:w="3740"/>
          </w:cols>
          <w:pgMar w:left="320" w:top="225"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(402) 390-7600</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10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r>
      <w:tr>
        <w:trPr>
          <w:trHeight w:val="232"/>
        </w:trPr>
        <w:tc>
          <w:tcPr>
            <w:tcW w:w="10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$0.005 par value</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ACIW</w:t>
            </w:r>
          </w:p>
        </w:tc>
        <w:tc>
          <w:tcPr>
            <w:tcW w:w="140" w:type="dxa"/>
            <w:vAlign w:val="bottom"/>
          </w:tcPr>
          <w:p>
            <w:pPr>
              <w:spacing w:after="0"/>
              <w:rPr>
                <w:sz w:val="20"/>
                <w:szCs w:val="20"/>
                <w:color w:val="auto"/>
              </w:rPr>
            </w:pP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304"/>
        </w:trPr>
        <w:tc>
          <w:tcPr>
            <w:tcW w:w="1020" w:type="dxa"/>
            <w:vAlign w:val="bottom"/>
          </w:tcPr>
          <w:p>
            <w:pPr>
              <w:spacing w:after="0"/>
              <w:rPr>
                <w:sz w:val="24"/>
                <w:szCs w:val="24"/>
                <w:color w:val="auto"/>
              </w:rPr>
            </w:pPr>
          </w:p>
        </w:tc>
        <w:tc>
          <w:tcPr>
            <w:tcW w:w="7600" w:type="dxa"/>
            <w:vAlign w:val="bottom"/>
            <w:gridSpan w:val="5"/>
          </w:tcPr>
          <w:p>
            <w:pPr>
              <w:jc w:val="center"/>
              <w:ind w:left="151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08"/>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9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24"/>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9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 (Check one):</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4"/>
          <w:szCs w:val="24"/>
          <w:color w:val="auto"/>
        </w:rPr>
      </w:pPr>
    </w:p>
    <w:p>
      <w:pPr>
        <w:ind w:right="26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to §240.10D-1(b).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aggregate market value of the Company’s voting common stock held by non-affiliates on June 28, 2024 (the last business day of the registrant’s most recently completed second fiscal quarter), based upon the last sale price of the common stock on that date of $39.59 was $2,905,746,611. For purposes of</w:t>
      </w:r>
    </w:p>
    <w:p>
      <w:pPr>
        <w:sectPr>
          <w:pgSz w:w="11900" w:h="16916" w:orient="portrait"/>
          <w:cols w:equalWidth="0" w:num="1">
            <w:col w:w="11240"/>
          </w:cols>
          <w:pgMar w:left="320" w:top="225" w:right="339" w:bottom="0" w:gutter="0" w:footer="0" w:header="0"/>
          <w:type w:val="continuous"/>
        </w:sectPr>
      </w:pPr>
    </w:p>
    <w:bookmarkStart w:id="1" w:name="page2"/>
    <w:bookmarkEnd w:id="1"/>
    <w:p>
      <w:pPr>
        <w:ind w:right="440"/>
        <w:spacing w:after="0" w:line="282" w:lineRule="auto"/>
        <w:rPr>
          <w:sz w:val="20"/>
          <w:szCs w:val="20"/>
          <w:color w:val="auto"/>
        </w:rPr>
      </w:pPr>
      <w:r>
        <w:rPr>
          <w:rFonts w:ascii="Times New Roman" w:cs="Times New Roman" w:eastAsia="Times New Roman" w:hAnsi="Times New Roman"/>
          <w:sz w:val="18"/>
          <w:szCs w:val="18"/>
          <w:color w:val="auto"/>
        </w:rPr>
        <w:t>this calculation, executive officers, directors, and holders of 10% or more of the outstanding shares of the registrant’s common stock are deemed to be affiliates of the registrant and are excluded from the calculation.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2025, there were 105,336,028 shares of the registrant’s common stock outstanding.</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 Portions of the registrant’s definitive Proxy Statement for the Annual Meeting of Shareholders to be held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June 3, 2025, are incorporated by reference in Part III of this report. This registrant’s Proxy Statement will be filed with the Securities and Exchange Commission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60" w:type="dxa"/>
            <w:vAlign w:val="bottom"/>
            <w:gridSpan w:val="16"/>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0000FF"/>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920" w:type="dxa"/>
            <w:vAlign w:val="bottom"/>
            <w:gridSpan w:val="9"/>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1A.</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1B.</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1C.</w:t>
            </w:r>
          </w:p>
        </w:tc>
        <w:tc>
          <w:tcPr>
            <w:tcW w:w="10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300" w:type="dxa"/>
            <w:vAlign w:val="bottom"/>
            <w:tcBorders>
              <w:top w:val="single" w:sz="8" w:color="0000FF"/>
              <w:bottom w:val="single" w:sz="8" w:color="0000FF"/>
            </w:tcBorders>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440" w:type="dxa"/>
            <w:vAlign w:val="bottom"/>
            <w:tcBorders>
              <w:top w:val="single" w:sz="8" w:color="0000FF"/>
              <w:bottom w:val="single" w:sz="8" w:color="0000FF"/>
            </w:tcBorders>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240" w:type="dxa"/>
            <w:vAlign w:val="bottom"/>
            <w:tcBorders>
              <w:top w:val="single" w:sz="8" w:color="0000FF"/>
              <w:bottom w:val="single" w:sz="8" w:color="0000FF"/>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760" w:type="dxa"/>
            <w:vAlign w:val="bottom"/>
            <w:gridSpan w:val="27"/>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60" w:type="dxa"/>
            <w:vAlign w:val="bottom"/>
            <w:gridSpan w:val="22"/>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8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20" w:type="dxa"/>
            <w:vAlign w:val="bottom"/>
            <w:tcBorders>
              <w:top w:val="single" w:sz="8" w:color="0000FF"/>
            </w:tcBorders>
            <w:gridSpan w:val="25"/>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7A.</w:t>
            </w:r>
          </w:p>
        </w:tc>
        <w:tc>
          <w:tcPr>
            <w:tcW w:w="64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40" w:type="dxa"/>
            <w:vAlign w:val="bottom"/>
            <w:gridSpan w:val="4"/>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6"/>
          </w:tcPr>
          <w:p>
            <w:pPr>
              <w:spacing w:after="0"/>
              <w:rPr>
                <w:sz w:val="21"/>
                <w:szCs w:val="21"/>
                <w:color w:val="auto"/>
              </w:rPr>
            </w:pPr>
          </w:p>
        </w:tc>
        <w:tc>
          <w:tcPr>
            <w:tcW w:w="5140" w:type="dxa"/>
            <w:vAlign w:val="bottom"/>
            <w:gridSpan w:val="10"/>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6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2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9A.</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20" w:type="dxa"/>
            <w:vAlign w:val="bottom"/>
            <w:gridSpan w:val="21"/>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9B.</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8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10.</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11.</w:t>
            </w:r>
          </w:p>
        </w:tc>
        <w:tc>
          <w:tcPr>
            <w:tcW w:w="41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360" w:type="dxa"/>
            <w:vAlign w:val="bottom"/>
            <w:gridSpan w:val="11"/>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12.</w:t>
            </w:r>
          </w:p>
        </w:tc>
        <w:tc>
          <w:tcPr>
            <w:tcW w:w="7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00" w:type="dxa"/>
            <w:vAlign w:val="bottom"/>
            <w:gridSpan w:val="2"/>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13.</w:t>
            </w:r>
          </w:p>
        </w:tc>
        <w:tc>
          <w:tcPr>
            <w:tcW w:w="5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04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14.</w:t>
            </w: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gridSpan w:val="15"/>
          </w:tcPr>
          <w:p>
            <w:pPr>
              <w:jc w:val="center"/>
              <w:ind w:right="48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15.</w:t>
            </w:r>
          </w:p>
        </w:tc>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gridSpan w:val="7"/>
          </w:tcPr>
          <w:p>
            <w:pPr>
              <w:spacing w:after="0"/>
              <w:rPr>
                <w:sz w:val="21"/>
                <w:szCs w:val="21"/>
                <w:color w:val="auto"/>
              </w:rPr>
            </w:pPr>
          </w:p>
        </w:tc>
        <w:tc>
          <w:tcPr>
            <w:tcW w:w="4860" w:type="dxa"/>
            <w:vAlign w:val="bottom"/>
            <w:gridSpan w:val="7"/>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20" w:type="dxa"/>
            <w:vAlign w:val="bottom"/>
          </w:tcPr>
          <w:p>
            <w:pPr>
              <w:spacing w:after="0"/>
              <w:rPr>
                <w:sz w:val="21"/>
                <w:szCs w:val="2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Annual Report on Form 10-K, the terms “ACI,” “ACI Worldwide,” the “Company,” “we,” “us,” and “our” refer to ACI Worldwide, Inc. and its consolidated subsidiaries. This report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 as amended.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in this report include, but are not limited to, statements regarding future operations, business strategy, business environment, key trends, and, in each case, statements related to expected financial and other benefits. Many of these factors will be important in determining our actual future results. Any or all of the forward-looking statements in this report may turn out to be incorrect. They may be based on inaccurate assumptions or may not account for known or unknown risks and uncertainties. Consequently, no forward-looking statement can be guaranteed. Actual future results may vary materially from those expressed or implied in any forward-looking statements, and our business, financial condition and results of operations could be materially and adversely affected. In addition, we disclaim any obligation to update any forward-looking statements after the date of this report, except as required by law.</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in this report are expressly qualified by the risk factors discussed in our filings with the Securities and Exchange Commission (“SEC”). The cautionary statements in this report expressly qualify all of our forward-looking statements. Factors that could cause actual results to differ from those expressed or implied in the forward-looking statements include, but are not limited to, those discussed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ACI, ACI Worldwide, ACI Payments, Inc., ACI Pay, Speedpay, and all ACI product/solution names are trademarks or registered trademarks of ACI Worldwide, Inc., or one of its subsidiaries, in the United States, other countries or both. Other parties' trademarks referenced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develops, markets, installs, and supports a broad line of software solutions that deliver intelligent payments orchestration to banks, merchants, and billers. ACI powers the payments ecosystem by supporting any channel, any network, and any payment type. Our solutions support the new payment experiences that help power customers' growth and drive innovation. Our intelligent payments orchestration solutions empower customers to modernize their payments infrastructure to support the transactions their businesses need to stay ahead - at scale and without downtime.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ACI, we build software solutions that make complex payments simple and secure for the world’s leading financial institutions and large enterprises. Our solutions and services are used globally by banks of all sizes, central banks, intermediaries, merchants, and billers, as well as third-party digital payment processors, payment associations, switch interchanges, and a wide range of transaction-generating endpoints, including automated teller machines (“ATM”), merchant point-of-sale (“POS”) terminals, bank branches, mobile phones, tablets, corporations, and internet commerce sites. The authentication, authorization, switching, settlement, fraud-checking, and reconciliation of digital payments is a complex activity due to the large number of locations and variety of sources from which transactions can be generated, the large number of participants in the market, high transaction volumes, geographically dispersed networks, differing types of authorization, and varied reporting requirements. These activities are typically performed online and are conducted 24 hours a day, seven days a week.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combines a global perspective with local presence to tailor digital payment solutions for our customers. We believe that we have one of the most diverse and robust digital payment solution portfolios in the industry with application software spanning the entire payments value chain. We also believe that our financial performance has been attributable to our ability to design and deliver quality products and solutions coupled with our ability to identify and successfully complete and integrate strategic acquisitions.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is a Delaware corporation incorporated in November 1993 under the name ACI Holding, Inc. We are largely the successor to Applied Communications, Inc. and Applied Communications Inc. Limited, acquired from Tandem Computers Incorporated on December 31, 1993. On July 24, 2007, we changed our corporate name from “Transaction Systems Architects, Inc.” to “ACI Worldwide, Inc.” We have been marketing our products and services under the ACI Worldwide brand since 1993 and have gained significant market recognition under this brand name.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Markets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ACI’s comprehensive digital payment solutions serve three key markets: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provides payment solutions to large and mid-size banks globally for both retail banking, digital, and other payment services. Our solutions transform banks’ complex payment environments to speed time to market, reduce costs, and deliver a consistent experience to customers across channels while enabling them to prevent and rapidly react to fraudulent activity. In addition, we enable banks to meet the requirements of different real-time payment schemes and quickly create differentiated products to meet consumer, business, and merchant demands.</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ACI’s payment solutions support intermediaries, such as processors, networks, payment service providers (“PSPs”), and new financial technology ("fintech") entrants. We offer these customers scalable solutions that strategically position them to innovate and achieve growth and cost efficiency, while protecting them against fraud with our artificial intelligence or AI, human, and data expertise. Our solutions also allow new entrants in the digital marketplace to access innovative payment schemes, such as the U.S. FedNow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and RTP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from The Clearing House, the U.K. Faster Payments, European TIPS, Australia NPP, South Africa RPP, the Payments Network Malaysia ("PayNet"), Real-time Retail Payments Platform ("RPP"), and others.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ACI’s support of merchants globally includes Tier 1 and Tier 2 merchants (in-store and online), PSPs, independent selling organizations (“ISOs”), value-added resellers (“VARs”), and acquirers who service them. These customers operate in a variety of verticals, including general retail, grocery, hospitality, dining, travel and ticketing, fuel, telecommunications, and others. Our solutions provide merchants with a secure, omnichannel payments platform that gives them flexibility and independence. Leveraging the vast choice of integrations through a single application programming interface ("API") and ACI’s proven artificial intelligence ("AI"), human, and data capabilities, merchant customers can orchestrate and protect payments and maximize convergence while reducing risk and operational costs. ACI</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Payments Orchestration Platform</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serves more than 80,000 merchants worldwide and is powering payments for five of the top 10 retailers globally. We also offer secure solutions to online-only merchants that provide consumers with a convenient and seamless way to shop.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biller segment, ACI provides electronic bill presentment and payment (“EBPP”) services to companies operating in the consumer finance, insurance, healthcare, higher education, utility, government, mortgage, subscription provider, and telecommunications categories. Our solution and products enable these customers to support a wide range of payment options and provide a convenient consumer payments experience that drives consumer loyalty and increases revenue. We also provide fraud abuse protection to our biller customers leveraging our proven AI, human, and data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ACI is a global software company that provides mission-critical, real-time payment solutions that deliver intelligent payments orchestration to banks, merchants, and billers. Customers use our proven, scalable, and secure solutions to process and manage digital payments, enable omni-commerce payments, present and process bill payments, and manage fraud and risk. Our strategic solution areas include the following: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Issuing and Acquiring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ACI offers comprehensive consumer payment solutions ranging from core payment engines to back-office support that enable banks and intermediaries to compete effectively in today’s real-time, open payments ecosystem.</w:t>
      </w:r>
    </w:p>
    <w:p>
      <w:pPr>
        <w:spacing w:after="0" w:line="48" w:lineRule="exact"/>
        <w:rPr>
          <w:sz w:val="20"/>
          <w:szCs w:val="20"/>
          <w:color w:val="auto"/>
        </w:rPr>
      </w:pPr>
    </w:p>
    <w:p>
      <w:pPr>
        <w:ind w:left="500" w:right="20"/>
        <w:spacing w:after="0" w:line="231" w:lineRule="auto"/>
        <w:rPr>
          <w:sz w:val="20"/>
          <w:szCs w:val="20"/>
          <w:color w:val="auto"/>
        </w:rPr>
      </w:pPr>
      <w:r>
        <w:rPr>
          <w:rFonts w:ascii="Times New Roman" w:cs="Times New Roman" w:eastAsia="Times New Roman" w:hAnsi="Times New Roman"/>
          <w:sz w:val="18"/>
          <w:szCs w:val="18"/>
          <w:b w:val="1"/>
          <w:bCs w:val="1"/>
          <w:color w:val="auto"/>
        </w:rPr>
        <w:t>ACI</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Acquiring</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solution that helps merchant and ATM acquirers process credit, debit, and prepaid card transactions, deliver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improve fraud prevention, and reduce interchange fees.</w:t>
      </w:r>
    </w:p>
    <w:p>
      <w:pPr>
        <w:spacing w:after="0" w:line="86" w:lineRule="exact"/>
        <w:rPr>
          <w:sz w:val="20"/>
          <w:szCs w:val="20"/>
          <w:color w:val="auto"/>
        </w:rPr>
      </w:pPr>
    </w:p>
    <w:p>
      <w:pPr>
        <w:ind w:left="500"/>
        <w:spacing w:after="0" w:line="231" w:lineRule="auto"/>
        <w:rPr>
          <w:sz w:val="20"/>
          <w:szCs w:val="20"/>
          <w:color w:val="auto"/>
        </w:rPr>
      </w:pPr>
      <w:r>
        <w:rPr>
          <w:rFonts w:ascii="Times New Roman" w:cs="Times New Roman" w:eastAsia="Times New Roman" w:hAnsi="Times New Roman"/>
          <w:sz w:val="18"/>
          <w:szCs w:val="18"/>
          <w:b w:val="1"/>
          <w:bCs w:val="1"/>
          <w:color w:val="auto"/>
        </w:rPr>
        <w:t>ACI Issuing</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digital payments issuing solution that helps issuers process card transactions, accelerate innovation, give customers new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and deliver innovative security, with flexible cloud-based or on-premises deployment.</w:t>
      </w:r>
    </w:p>
    <w:p>
      <w:pPr>
        <w:spacing w:after="0" w:line="86" w:lineRule="exact"/>
        <w:rPr>
          <w:sz w:val="20"/>
          <w:szCs w:val="20"/>
          <w:color w:val="auto"/>
        </w:rPr>
      </w:pPr>
    </w:p>
    <w:p>
      <w:pPr>
        <w:ind w:left="500"/>
        <w:spacing w:after="0" w:line="231" w:lineRule="auto"/>
        <w:rPr>
          <w:sz w:val="20"/>
          <w:szCs w:val="20"/>
          <w:color w:val="auto"/>
        </w:rPr>
      </w:pPr>
      <w:r>
        <w:rPr>
          <w:rFonts w:ascii="Times New Roman" w:cs="Times New Roman" w:eastAsia="Times New Roman" w:hAnsi="Times New Roman"/>
          <w:sz w:val="18"/>
          <w:szCs w:val="18"/>
          <w:b w:val="1"/>
          <w:bCs w:val="1"/>
          <w:color w:val="auto"/>
        </w:rPr>
        <w:t>ACI Enterprise Payments Platform</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market-leading technology that provides payment players global payment processing and orchestration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for all digital payments, including high- and low-value payments, real-time and alternative payments, and cards.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Account-to-Account Payments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ACI supports account-to-account payment processing for banks and intermediaries globally, ensuring multi-bank, multi-currency, and 24x7x365 payment processing capabilities, as well as complete and ongoing regulatory compliance. Offered to the market in several forms, the ACI account-to-account payments capability enables banks to process all types of digital payments with a specific focus on two key growth areas for digital payments:</w:t>
      </w:r>
    </w:p>
    <w:p>
      <w:pPr>
        <w:spacing w:after="0" w:line="64" w:lineRule="exact"/>
        <w:rPr>
          <w:sz w:val="20"/>
          <w:szCs w:val="20"/>
          <w:color w:val="auto"/>
        </w:rPr>
      </w:pPr>
    </w:p>
    <w:p>
      <w:pPr>
        <w:jc w:val="both"/>
        <w:ind w:left="5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Support for domestic low-value real-time payments </w:t>
      </w:r>
      <w:r>
        <w:rPr>
          <w:rFonts w:ascii="Times New Roman" w:cs="Times New Roman" w:eastAsia="Times New Roman" w:hAnsi="Times New Roman"/>
          <w:sz w:val="18"/>
          <w:szCs w:val="18"/>
          <w:color w:val="auto"/>
        </w:rPr>
        <w:t>with a complete range of capabilities for 24x7x365 processing of real-time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origination, orchestration, clearing and settlement, fraud detection, and connectivity.</w:t>
      </w:r>
    </w:p>
    <w:p>
      <w:pPr>
        <w:spacing w:after="0" w:line="47" w:lineRule="exact"/>
        <w:rPr>
          <w:sz w:val="20"/>
          <w:szCs w:val="20"/>
          <w:color w:val="auto"/>
        </w:rPr>
      </w:pPr>
    </w:p>
    <w:p>
      <w:pPr>
        <w:jc w:val="both"/>
        <w:ind w:lef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Support for high-value and cross-border payments </w:t>
      </w:r>
      <w:r>
        <w:rPr>
          <w:rFonts w:ascii="Times New Roman" w:cs="Times New Roman" w:eastAsia="Times New Roman" w:hAnsi="Times New Roman"/>
          <w:sz w:val="18"/>
          <w:szCs w:val="18"/>
          <w:color w:val="auto"/>
        </w:rPr>
        <w:t>offering multi-bank, multi-currency, and wire and Real-Time Gross Settlement ("RTGS")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processing capabilities, as well as cross-border and domestic SWIFT messaging with seamless integrations to multiple clearing and settlement mechanisms.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 offers merchants a secure and scalable payments platform with the flexibility to support in-store, online, and mobile payments.</w:t>
      </w:r>
    </w:p>
    <w:p>
      <w:pPr>
        <w:spacing w:after="0" w:line="113"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ACI Payments Orchestration Platform </w:t>
      </w:r>
      <w:r>
        <w:rPr>
          <w:rFonts w:ascii="Times New Roman" w:cs="Times New Roman" w:eastAsia="Times New Roman" w:hAnsi="Times New Roman"/>
          <w:sz w:val="18"/>
          <w:szCs w:val="18"/>
          <w:color w:val="auto"/>
        </w:rPr>
        <w:t>is a holistic, omnichannel payments platform that orchestrates and optimizes payments by combining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powerful payments gateway with multilayered, AI-based fraud management, advanced business intelligence tools, and access to an extensive global network of acquirers, third-party providers, and alternative payment methods.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Intelligence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ACI’s payments intelligence framework supports banks, merchants, and billers by leveraging generative AI. It effectively combines artificial and human insights with data intelligence to achieve precision, mitigate sophisticated threats, and deliver value-added services for hyper-personalized consumer experiences.</w:t>
      </w:r>
    </w:p>
    <w:p>
      <w:pPr>
        <w:spacing w:after="0" w:line="62"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8"/>
          <w:szCs w:val="18"/>
          <w:b w:val="1"/>
          <w:bCs w:val="1"/>
          <w:color w:val="auto"/>
        </w:rPr>
        <w:t>ACI Fraud Management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for merchants and billers </w:t>
      </w:r>
      <w:r>
        <w:rPr>
          <w:rFonts w:ascii="Times New Roman" w:cs="Times New Roman" w:eastAsia="Times New Roman" w:hAnsi="Times New Roman"/>
          <w:sz w:val="18"/>
          <w:szCs w:val="18"/>
          <w:color w:val="auto"/>
        </w:rPr>
        <w:t>provides a combination of patented AI technology, referred to as incremental machine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learning models, fraud and payments data, predictive and behavioral analytics, positive profiling, customizable fraud strategies, expert support, and consortium data to mitigate risks and reduce the burden of compliance, delivered as a multi-tenant platform as a service, deployed in the public cloud, or on premises. It enables customers to protect their payments end to end from customer check-in to payment and post authorization, enhancing the customer experience. The solution also supports merchants and billers in managing abuses with returns, coupons, payment aggregators, and other first-party behaviors, reducing operational costs and enabling enriched services and offers to good consumers.</w:t>
      </w:r>
    </w:p>
    <w:p>
      <w:pPr>
        <w:spacing w:after="0" w:line="8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8"/>
          <w:szCs w:val="18"/>
          <w:b w:val="1"/>
          <w:bCs w:val="1"/>
          <w:color w:val="auto"/>
        </w:rPr>
        <w:t>ACI Fraud Management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for financial institutions </w:t>
      </w:r>
      <w:r>
        <w:rPr>
          <w:rFonts w:ascii="Times New Roman" w:cs="Times New Roman" w:eastAsia="Times New Roman" w:hAnsi="Times New Roman"/>
          <w:sz w:val="18"/>
          <w:szCs w:val="18"/>
          <w:color w:val="auto"/>
        </w:rPr>
        <w:t>offers banks, intermediaries, and merchants with private-label portfolios a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sophisticated, and easy-to-integrate solution that is able to deliver precise and actionable intelligence in real time by using a combination of sophisticated AI powered algorithms, data orchestration capabilities, network intelligence, and advanced predictive analytics to help prevent fraud and reduce the burden of compliance, delivered as a service, or deployed in the public cloud, or on premises. Business users are empowered with a full set of AI and expert rules capabilities they can operate on their own, streamlining business strategy deployment and immediate impact against emerging threats.</w:t>
      </w:r>
    </w:p>
    <w:p>
      <w:pPr>
        <w:spacing w:after="0" w:line="83" w:lineRule="exact"/>
        <w:rPr>
          <w:sz w:val="20"/>
          <w:szCs w:val="20"/>
          <w:color w:val="auto"/>
        </w:rPr>
      </w:pPr>
    </w:p>
    <w:p>
      <w:pPr>
        <w:jc w:val="both"/>
        <w:ind w:left="1300"/>
        <w:spacing w:after="0" w:line="245" w:lineRule="auto"/>
        <w:rPr>
          <w:sz w:val="20"/>
          <w:szCs w:val="20"/>
          <w:color w:val="auto"/>
        </w:rPr>
      </w:pPr>
      <w:r>
        <w:rPr>
          <w:rFonts w:ascii="Times New Roman" w:cs="Times New Roman" w:eastAsia="Times New Roman" w:hAnsi="Times New Roman"/>
          <w:sz w:val="18"/>
          <w:szCs w:val="18"/>
          <w:b w:val="1"/>
          <w:bCs w:val="1"/>
          <w:color w:val="auto"/>
        </w:rPr>
        <w:t>ACI Fraud Scoring Services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part of ACI Fraud Management for financial institutions, is an AI-first approach powered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patented incremental learning technology, delivered via API calls to enhance fraud strategies and complement existing fraud prevention solutions. Available as a service from our platform, ACI provides customers with a risk assessment that combines the most advanced AI, human, and data capabilities, delivering the precise fraud scores for any type of financial transaction, accompanied by explanation for the assessment. ACI maintains a large set of signals, features, and machine learning models, and orchestrates each transaction through the path that delivers best results. When necessary, ACI monitors, maintains, and refreshes all the machine learning models and strategies used, reducing the burden a customer would have to deploy and maintain the most advanced AI solutions.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 Payment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ACI meets the bill payment needs of corporate customers across myriad industries through a range of electronic bill payment offerings that help companies raise consumer satisfaction while reducing costs.</w:t>
      </w:r>
    </w:p>
    <w:p>
      <w:pPr>
        <w:spacing w:after="0" w:line="48"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18"/>
          <w:szCs w:val="18"/>
          <w:b w:val="1"/>
          <w:bCs w:val="1"/>
          <w:color w:val="auto"/>
        </w:rPr>
        <w:t>ACI Speedpay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integrated suite of digital billing, payment, disbursement, and communication services that lowers the cost of presenting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accepting bill payments while delivering industry-leading security. ACI Speedpay is a true omni-channel solution, allowing customers to pay their bills through their preferred channels, whether online, via mobile, or in person. This flexibility is crucial in today’s digital age, where consumers expect seamless and convenient payment experiences.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On-Premises, On-Demand, or Hybrid Software Delivery Options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software solutions are offered to our customers through either a traditional term software license arrangement where the software is installed and operated on the customer premises or in a cloud environment, through an on-demand arrangement where the solution is maintained and delivered through the public cloud or ACI's private cloud via our global data centers, or a combination of the two based upon their unique needs. Solutions delivered through ACI’s on-demand cloud are available in either a single-tenant environment, known as a Software-as-a-Service (“SaaS”) offering, or in a multi-tenant environment, known as a Platform-as-a-Service (“PaaS”) offering. Pricing and payment terms depend on which solutions the customer requires and their transaction volumes. Generally, customers are required to commit to a minimum contract of five years, or three years in the case of certain SaaS and PaaS contracts.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 and Industry Participation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major types of third-party product partners: 1) technology partners, or industry leaders with whom we work closely that drive key industry trends and mandates, and 2) business partners, where we either embed the partners’ technology in ACI products, host the partners’ software in ACI’s cloud as a part of our cloud offerings, or jointly market solutions that include the products of the other company.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Technology partners help us add value to our solutions and stay abreast of current market conditions and industry developments such as standards. In addition, ACI has membership in or participates in the relevant committees of several industry associations, such as the International Organization for Standardization (“ISO”), Accredited Standards Committee ("ASC") X9, ATM Industry Association ("ATMIA"), Financial Services, Nexo Standards, U.K. Cards Association, U.S. Payments Forum, and the PCI Security Standards Council. These partnerships provide direction as it relates to the specifications that are used by the card schemes, real-time payment standards, and, in some cases, hardware vendors. These organizations typically look to ACI as a source of knowledge and experience to be shared in conjunction with creating and enhancing their standards. The benefit to ACI is having the opportunity to influence these standards with concepts and ideas that will benefit the market, our customers, and ACI.</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ACI also holds important positions at different payment advisory leader groups worldwide, including advisory board membership with the Faster Payments Council in the U.S., global advisory board membership with the Merchant Risk Council ("MRC"), and a key stakeholder membership with the European Payments Council ("EPC").</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Business partner relationships extend our product portfolio, improve our ability to get our solutions to market, and enhance our ability to deliver market-leading solutions. We share revenues with these business partners based on several factors related to overall value contribution in the delivery of the joint solution or payment type. The agreements with business partners include referral, resale, traditional original equipment manufacturer (“OEM”) relationships, and transaction fee-based payment-enablement partnerships. These agreements generally grant ACI the right to create an integrated solution that we host or distribute, or provide ACI access to established payment networks or capabilities. The agreements are generally worldwide in scope and have a term of several years.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alliances with our technology partners Microsoft Corporation, Amazon, Red Hat, Google, HPE, IBM, and Oracle, whose industry-leading hardware, software, and cloud-based infrastructure services are utilized by and in delivery of ACI’s products. These partnerships allow us to understand developments in the partners’ technology and to utilize their expertise in topics like sizing, scalability, and performance testing.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customers a wide range of professional services, including consultation, analysis, design, development, implementation, integration, testing, and project management. Our service professionals generally perform the majority of the work associated with implementing and integrating our software solutions. In addition, we work with a limited number of systems integration and services partners such as Accenture, LLC, Cognizant Technology Solutions Corporation, and Stanchion Payments Solution for staff augmentation and coordinated co-prime delivery where appropriate.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 support services are available to customers after a solution has been installed and are based on the relevant product support category. An extensive team of support analysts are available to assist customers.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ACI education services with instructor-led courses include both theory and practical sessions to allow students to work though real business scenarios and put their newly learned skills to use. This hands-on approach ensures that the knowledge is retained, and the student is more productive upon their return to the workplace. Some training topics are further supplemented by self-paced eLearning, available to students on demand to support their skills journey. ACI’s education courses provide students with knowledge at all levels to enhance and improve their understanding of ACI products. ACI also provides further, more in-depth technical courses that allow students to use practical labs to enhance what they have learned in the classroom. The ACI trainer's ability to understand customers' systems means ACI may also provide tailored course materials for individual customers. Depending on the products purchased, training may be conducted at a dedicated education facility at one of ACI’s offices, online, on demand, or at the customer site.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 provides our customers with product support that is available 24/7. We offer our customers two support options: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Standard Customer Support. </w:t>
      </w:r>
      <w:r>
        <w:rPr>
          <w:rFonts w:ascii="Times New Roman" w:cs="Times New Roman" w:eastAsia="Times New Roman" w:hAnsi="Times New Roman"/>
          <w:sz w:val="18"/>
          <w:szCs w:val="18"/>
          <w:color w:val="auto"/>
        </w:rPr>
        <w:t>After implementation completion, we provide maintenance services to customers for a monthly product support fee.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services include:</w:t>
      </w:r>
    </w:p>
    <w:p>
      <w:pPr>
        <w:spacing w:after="0" w:line="9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releases (major, minor and patches) for active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24-hour hotline for priority one (“P1”) problem resolution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online support portal (eSupport)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Vendor-required mandates and updates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documentation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operating system compatibility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group membership</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Premium Customer Support. </w:t>
      </w:r>
      <w:r>
        <w:rPr>
          <w:rFonts w:ascii="Times New Roman" w:cs="Times New Roman" w:eastAsia="Times New Roman" w:hAnsi="Times New Roman"/>
          <w:sz w:val="18"/>
          <w:szCs w:val="18"/>
          <w:color w:val="auto"/>
        </w:rPr>
        <w:t>Under the premium customer support option, referred to as the Premium Customer Support Program, which is available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cost, customers are provided support beyond the standard offering. The services available may differ by product and are defined in the customer contract.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provide new product releases, which often contain minor product enhancements, that are typically provided at no additional fee for customers under standard customer support agreements. Agreements with our customers permit us to charge for substantial product enhancements that are not provided as part of the standard or premium customer support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digital payments market is highly competitive and subject to rapid change. Competitive factors affecting the market for our solutions, products, and services include product features, price, availability of customer support, ease of implementation, product and company reputation, and a commitment to continued investment in research and development.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vary by solution, geography, and market segment. Generally, our most significant competition comes from in-house information technology departments of existing and potential customers, as well as third-party digital payment processors (some of whom are our customers). Many of these companies are significantly larger than us and have significantly greater financial, technical, and marketing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competitors by solution area include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Issuing, Acquiring, and Account-to-Account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software competitors for ACI’s Issuing, Acquiring, and Account-to-Account Payments solutions include Atos Orgin S.A., Fidelity National Information Service, Inc. ("FIS"), Finastra, Fiserv, Inc. ("Fiserv"), Mastercard, NCR, OpenWay Group, SiNSYS, Total System Services, Inc. (Global Payments), Visa, and Volante, as well as small, locally-focused companies such as BPC Banking Technologies, CR2, Financial Software and Systems, Form3, HPS, Icon Solution, Lusis Payments Ltd., Opus Software Solutions Private Limited, PayEx Solutions AS, Renovite, and RS2.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 Payments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for merchant payments (ACI Payments Orchestration Platform) come from both third-party software and service providers, as well as service organizations run by major banks. Third-party software and service competitors include Adyen, Cybersource (Visa Acceptance Solutions), Fiserv, Ingenico Group, NCR, Square, Inc., Tender Retail Inc., VeriFone Systems, Inc., Worldpay Inc. (FIS), and Worldline.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competing in some areas with the traditional orchestration layer providers such as IXOpay, Payoneer, Nuvei, and Spreedly.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Intelligence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Principal competitors for our ACI Fraud Management solution are Accertify (American Express), BAE Systems, Cybersource (Visa), Fair Isaac Corporation, Featurespace (Visa), Feedzai, FIS, Fiserv, Forter, Kount, NCR, NICE LTD, and SAS Institute, Inc., as well as dozens of smaller companies focused on niches of this segment such as device identification and anti-money laundering.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 Payment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competitors for our ACI Speedpay bill payments solution are FIS, Fiserv, Invoice Cloud, Inc., Kubra Customer Interaction Management, Nelnet, Inc. and Affiliates, Paymentus Corp., PayNearMe, One Inc., Repay, TouchNet Information Systems, Inc., Transact, as well as smaller vertical-specific providers.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development efforts are dedicated to both creating new products and enhancing the functionality of our existing offerings. To ensure we are aligned with market needs, we facilitate user group meetings that help us shape our product and solution strategy, development plans, and customer support aspects. These user groups are typically organized by geography and product lines. We believe that timely development of new applications and enhancements is essential to maintaining our competitive position in the market.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developing new products and solutions, we collaborate closely with our customers and industry leaders to understand their requirements. We partner with device manufacturers, such as Diebold, NCR, and Wincor-Nixdorf, to ensure compatibility with the latest ATM technology. We also work with network vendors, such as Mastercard, SWIFT, and Visa, to comply with new regulations or processing mandates. We engage with computer hardware and software manufacturers, such as HPE, IBM, Microsoft Corporation, and Oracle, to ensure are products are compatible with new operating system releases and hardware generations. Customers often provide additional insights and serve as beta-test partners, further refining our solutions.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 continuous process to encourage and capture innovative product ideas, which may include new features or entirely new products or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proof of concept is conducted to validate these ideas. If viable, the innovation is scheduled into our product roadmap for development and release.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ensure high software quality, we implement rigorous testing and quality assurance processes throughout the development lifecycle. This includes automated testing, code reviews, and continuous integration practices to identify and resolve issues early. Our commitment to software quality ensures that our products are reliable, secure, and meet the highest standards of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software products and solutions to our bank, intermediary, and merchant customers worldwide. Our biller products and solutions are sold in the United States. As of December 31, 2024, we serve thousands of organizations, including all 10 of the top 10 banks worldwide, as measured by asset size, and 80,000+ merchants, and we have customers in 90+ countries on six continents. No single customer accounted for more than 10% of our consolidated revenues for the years ended December 31, 2024, 2023, and 2022. No customer accounted for more than 10% of the Company’s consolidated receivables balance as of December 31, 2024 and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Implementation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sold and supported directly and through distribution networks covering three geographic regions – the Americas, Europe/Middle East/Africa ("EMEA"), and Asia Pacific. Our primary method of distribution is direct sales by employees assigned to specific target customer segments. We have sales and services personnel in offices throughout the United States. Outside of the United States, our international subsidiaries sell, support, and service our products and solutions in their local countries. Our broad geographic footprint allows us to leverage the business and technical expertise of a global workforce.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a majority of our sales leads through existing relationships with vendors, direct marketing programs, customers and prospects, or through referrals.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distributors and referral partners to supplement our direct sales force in countries where it is more efficient and economical to do so. ACI’s distributors, resellers, and system integration partners are enabled to provide supplemental or complete product implementation and customization services directly to our customers or in a joint delivery model.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distribute the products of other vendors where they complement our existing product lines. We are typically responsible for the sales and marketing of the vendors' products, and agreements with these vendors generally provide for revenue sharing based on relative responsibilities.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 and Licenses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trade secret and copyright laws, license agreements, contractual provisions, and confidentiality agreements to protect our proprietary rights. We distribute our software products under software license agreements that typically grant customers nonexclusive licenses to use our products. Use of our software products is usually restricted to designated computers, specified locations and/or specified capacity, and is subject to terms and conditions prohibiting unauthorized reproduction or transfer of our software products. We also seek to protect the source code of our software as a trade secret and as a copyrighted work. Despite these precautions, there can be no assurance that misappropriation of our software products and technology will not occur.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own products, we distribute, or act as a sales agent for, software developed by third parties. However, we typically are not involved in the development process used by these third parties. Our rights to those third-party products and the associated intellectual property rights are limited by the terms of the contractual agreement between us and the respective third party.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our owned and licensed intellectual property rights do not infringe upon the proprietary rights of third parties, there can be no assurance that third parties will not assert infringement claims against us. Further, there can be no assurance that intellectual property protection will be available for our products in all foreign countries.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solutions are subject to federal, state, and foreign regulations and requirements.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Oversight by Banking Regulators. </w:t>
      </w:r>
      <w:r>
        <w:rPr>
          <w:rFonts w:ascii="Times New Roman" w:cs="Times New Roman" w:eastAsia="Times New Roman" w:hAnsi="Times New Roman"/>
          <w:sz w:val="18"/>
          <w:szCs w:val="18"/>
          <w:color w:val="auto"/>
        </w:rPr>
        <w:t>As a provider of payment services to banks and intermediaries, we are subject to regulatory oversight and examination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Federal Financial Institutions Examination Council (“FFIEC”), an interagency body of the Federal Deposit Insurance Corporation, the Office of the Comptroller of the Currency, the Board of Governors of the Federal Reserve System, the National Credit Union Administration and various state regulatory authorities as part of the Multi-Region Data Processing Servicer Program (“MDPS”). The MDPS program includes technology suppliers who provide mission critical applications for a large number of financial institutions that are regulated by multiple regulatory agencies. Periodic information technology examination assessments are performed using FFIEC interagency guidelines to identify potential risks that could adversely affect serviced financial institutions, determine compliance with applicable laws and regulations that affect the services provided to financial institutions and ensure the services we provide to financial institutions do not create systemic risk to the banking system or impact the safe and sound operation of the financial institutions we serve. In addition, independent auditors annually review several of our operations to provide reports on internal controls for our clients’ auditors and regulators. We are also subject to review under state and foreign laws and rules that regulate many of the same activities that are described above, including electronic data processing and back-office services for financial institutions and the use of consumer information.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w:t>
      </w:r>
      <w:r>
        <w:rPr>
          <w:rFonts w:ascii="Times New Roman" w:cs="Times New Roman" w:eastAsia="Times New Roman" w:hAnsi="Times New Roman"/>
          <w:sz w:val="18"/>
          <w:szCs w:val="18"/>
          <w:color w:val="auto"/>
        </w:rPr>
        <w:t>ACI Payments, Inc., our EBPP affiliate, is registered as a Money Services Business. Accordingly, we are subject to the USA Patriot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reporting requirements of the Bank Secrecy Act and United States ("U.S.") Treasury Regulations. These businesses may also be subject to certain state and local licensing requirements. The Financial Crimes Enforcement Network (“FinCEN”), state attorneys general, and other agencies have enforcement responsibility over laws relating to money laundering, currency transmission, and licensing. In addition, most states have enacted statutes that require entities engaged in money transmission to register as a money transmitter with that jurisdiction’s banking department. We have implemented policies, procedures, and internal controls that are designed to comply with all applicable anti-money laundering laws and regulations. ACI has also implemented policies, procedures, and internal controls that are designed to comply with the regulations and economic sanctions programs administered by the U.S. Treasury’s Office of Foreign Assets Control (“OFAC”), which enforces economic and trade sanctions against targeted foreign countries, entities and individuals based on external threats to the U.S. foreign policy, national security, or economy; by other governments; or by global or regional multilateral organizations, such as the United Nations Security Council and the European Union as applicable.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3,103 employees worldwide, with 1,397 employees in the Americas, 819 employees in EMEA, and 887 employees in Asia Pacific. ACI emphasizes a diverse and inclusive workplace, with employees in over 40 countries. Globally, 35% of our employees are women. We are committed to ensuring employees feel safe and respected, regardless of race, color, age, gender, disability, minority, sexual orientation, or any other protected class. Employees have the ability to challenge themselves and continue to grow through various assignments, projects, and development programs. We strive to offer competitive salaries and benefits to all employees, and we continuously monitor salary ranges in our market areas.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voluntary regrettable turnover, or our turnover of high performers, through December 31, 2024 was 5%, which compares favorably to industry turnover rates. We are pleased with our retention and will continue to employ strategies to retain and engage our global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our global employees with competitive and comprehensive benefits to meet their needs and the needs of their dependents.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nearly all of our employees participate in our employee benefits programs that include:</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Comprehensive health coverage for medical, vision, and dental care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Short term, long term, accident and disability insurance coverage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Flexible spending accounts for medical and dependent care expenses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Commuter expense reimbursement accounts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Retirement savings plans including 401(K) and deferred compensation plans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Access to 529 Plans for college savings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Adoption assistance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Employee discounts programs</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these benefits are available to our employees outside the United States where applicable and permissible by law in addition to locally provided benefits.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Globally, all employees have access to an employee assistance program which offers support to employees and their immediate family to address a range of personal needs and concerns in support of their well-being and mental health.</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foster a stronger sense of ownership and align with the interests of our shareholders, participation in the employee stock purchase plan is available for eligible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 13(a) or 15(d) of the Securities Exchange Act of 1934 (the “Exchange Act”), are available free of charge on our website at </w:t>
      </w:r>
      <w:r>
        <w:rPr>
          <w:rFonts w:ascii="Times New Roman" w:cs="Times New Roman" w:eastAsia="Times New Roman" w:hAnsi="Times New Roman"/>
          <w:sz w:val="18"/>
          <w:szCs w:val="18"/>
          <w:u w:val="single" w:color="auto"/>
          <w:color w:val="auto"/>
        </w:rPr>
        <w:t>www.aciworldwide.com</w:t>
      </w:r>
      <w:r>
        <w:rPr>
          <w:rFonts w:ascii="Times New Roman" w:cs="Times New Roman" w:eastAsia="Times New Roman" w:hAnsi="Times New Roman"/>
          <w:sz w:val="18"/>
          <w:szCs w:val="18"/>
          <w:color w:val="auto"/>
        </w:rPr>
        <w:t xml:space="preserve"> as soon as reasonably practicable after we file such information electronically with the SEC. The information found on our website is not part of this or any other report we file with or furnish to the SEC. The public may read and copy any materials that we file with the SEC at the SEC’s Public Reference Room at 100 F Street, Room 1580, NW,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27, 2025, our executive officers, their ages, and their positions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W. Warsop, III</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W. Behrens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Alessandro Silva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Abe Kuruvilla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and Operations Officer</w:t>
            </w: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Warsop was appointed President and Chief Executive Officer on June 1, 2023. Mr. Warsop joined the ACI Board of Directors in June 2015 and became non-executive Chairman in June 2022. He has led various portfolio companies for several leading private equity firms since 2012, including One Call Care Management, York Risk Services Group, and The Warranty Group. He served as Group President at Fiserv, Inc., a provider of technology solutions to the financial industry, from 2007 to 2012. He served in various capacities at Electronic Data Systems for 17 years, including President of its Business Process Outsourcing unit in Asia Pacific, Vice President in the United Kingdom, and Vice President of Global Financial Services. Mr. Warsop holds a bachelor's degree in finance from Southern Methodist University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Behrens serves as Executive Vice President and Chief Financial Officer. Mr. Behrens joined ACI in June 2007 as our Corporate Controller and was appointed as Chief Accounting Officer in October 2007. Mr. Behrens was appointed Chief Financial Officer in December 2009 and ceased serving as our Corporate Controller in December 2010. Mr. Behrens was appointed Executive Vice President in March 2011. Prior to joining ACI, Mr. Behrens served as Senior Vice President, Corporate Controller and Chief Accounting Officer at SITEL Corporation from January 2005 to June 2007. He also served as Vice President of Financial Reporting at SITEL Corporation from April 2003 to January 2005. From 1993 to 2003, Mr. Behrens was with Deloitte &amp; Touche, LLP, including two years as a Senior Audit Manager. Mr. Behrens holds a Bachelor of Science degree from the University of Nebraska – Lincoln.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Silva serves as Executive Vice President and Chief Revenue Officer. Since joining ACI in 2021, Mr. Silva served as head of international markets and was responsible for driving commercial strategy and strengthening ACI’s sales and customer success capabilities in Latin America, Europe, Asia Pacific, Middle East and Africa. Prior to joining ACI, Mr. Silva held various sales and general manager roles in the U.S, Canada, Latin America and Europe, while working for Western Union, GE Capital, The Carlyle Group and Credicard. He holds a bachelor’s degree in business administration from Universidade Mackenzie in São Paulo and a Master of Business Administration from USP-Universidade de São Paulo. He extended his education at INSEAD, the Harvard Business School and the University of Chicago Booth School of Business.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Kuruvilla was appointed as Executive Vice President and Chief Technology Officer on October 30, 2023. Prior to joining ACI, Mr. Kuruvilla served as Chief Information Officer at CoreLogic, Inc., where he led all aspects of technology strategy, engineering, cyber security, internal systems, and IT operations. Prior to that he served as Chief Information Officer at Dell Financial Services. Earlier in his career, Mr. Kuruvilla held technology leadership roles at De Lage Landen Financial Services, a wholly owned subsidiary of Rabobank. Mr. Kuruvilla holds a bachelor's degree in electrical and computer engineering and a Master of Business Administration from Drexel University.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rapidly changing technological and economic environment that presents numerous risks. Many of these risks are beyond our control and are driven by factors that often cannot be predicted. The following discussion highlights some of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rapidly changing and highly competitive, and we may not be able to compete effectively.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markets in which we compete are characterized by rapid change, frequent introduction of new products and services, evolving technologies and industry standards, intense competition, and increasing client expectations. We may not be successful in developing, marketing, or selling new products and services that meet these demands or achieve market acceptance. We must anticipate and respond to these changes in order to remain competitive within our relevant markets. There is no assurance that we will be able to maintain our current market share or customer base. We face intense competition in our businesses and we expect competition to remain intense in the future. We have many competitors that are significantly larger than us and have significantly greater financial, technical and marketing resources, have well-established relationships with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or potential customers, advertise aggressively or beat us to the market with new products and services. Mergers and acquisitions by, and collaborations between, the companies we compete against may lead to even larger competitors with more resources. In addition, some of our clients have chosen to develop key products in-house, and others may choose to do so in the future. As a result, we may compete against our existing and potential clients’ in-house capabilities. Additionally, we expect that the markets in which we compete will continue to attract new competitors and new technologies. Increased competition in our markets could lead to price reductions, reduced profits, or loss of market share.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compete successfully, we need to maintain a successful research and development effort and adapt to technological changes and evolving industry standards, including the implementation of AI in our products. If we fail to enhance our current products and develop new products in response to changes in technology and industry standards, bring product enhancements or new product developments to market quickly enough, or accurately predict future changes in our customers’ needs and our competitors develop new technologies or products, our products could become less competitive or obsolete. In addition, the success of certain of our products and services rely, in part, on financial institutions, corporate, and other third parties to promote the use of our products and services by their customers. If we are unsuccessful in offering products or services that gain market acceptance and compete effectively, or if third parties insufficiently promote our products and services, it would likely have a material adverse effect on our ability to retain existing clients, to attract new ones, and to grow profitably.</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business interruptions, cybersecurity incidents or failure of our information technology and communication systems, the availability of our products and services could be interrupted which could adversely affect our reputation, business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provide reliable service in a number of our businesses depends on the efficient and uninterrupted operation of our data centers, information technology and communication systems, and those of our external service providers or business partners. We have experienced non-material incidents in the past. As we continue to grow our private and public cloud offerings, our dependency on the continuing operation and availability of these systems increases. Our systems and data centers, and those of our external service providers or business partners, could be exposed to damage or interruption from fire, natural disasters, constraints within our workforce due to pandemics such as outbreaks of COVID-19, power loss, telecommunications failure, unauthorized entry, computer viruses, cybersecurity incidents, ransom attacks, denial of service attacks, human error, software errors or design defaults, labor issues, vandalism, terrorism, and other events beyond our control. Although we have taken steps to prevent system failures and we have installed back-up systems and procedures to prevent or reduce disruption, such steps may not be sufficient to prevent an interruption of services and our business continuity and disaster recovery planning may not account for all eventualities. Further, our cybersecurity, property and business interruption insurance may not be adequate to compensate us for all losses or failures that may occur.</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operational failure, disruption, or outage in any of these systems, or damage to or destruction of these systems, which causes disruptions in our services, could result in a failure to make required regulatory filings,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 Moreover, to the extent that any system failure or similar event results in damages to our customers or contractual counterparties, those customers and contractual counterparties could seek compensation from us for their losses, and those claims, even if unsuccessful, would likely be time-consuming and costly for us to address.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or we experience a cybersecurity incident or similar attack, or if our services are subject to attacks that degrade or deny the ability of users to access our products or services, our business may be harmed by disrupting delivery of services and damaging our reputation.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we electronically receive, process, store, and transmit information, including personal information and sensitive business information of our customers. Cybersecurity incidents vary in their form and can include the deployment of harmful malware or ransomware, denial-of-services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Cybersecurity threat actors also may attempt to exploit vulnerabilities in software including software commonly used by companies in cloud-based services and bundled software. Like many other companies, we detect attempts by threat actors to gain access to our systems and networks on a frequent basis, and the frequency of such attempts could increase in the future. Unauthorized access, use, or disruptions to our data, computer systems or databases or other cybersecurity incidents or similar attacks could result in the theft or publication of confidential information or the deletion or modification of records or could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otherwise cause interruptions in our operations. These concerns about security are increased when we transmit information over the Internet. Security breaches and cybersecurity incidents in connection with the delivery of our products and services, including products and services utilizing the Internet, or well-publicized security breaches, and the trend toward broad consumer and general public notification of such incidents, could significantly harm our business, financial condition, cash flows and/or results of operations.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protecting our networks and confidential information. Computer viruses have also been distributed and have rapidly spread over the Internet. Computer viruses could infiltrate our systems, disrupting our delivery of services and making our applications unavailable. Any inability to prevent security breaches or computer viruses could also cause existing customers to lose confidence in our</w:t>
      </w:r>
    </w:p>
    <w:p>
      <w:pPr>
        <w:spacing w:after="0" w:line="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systems and terminate their agreements with us, and could inhibit our ability to attract new customers. A cybersecurity incident or failure or disruption relating to our information or systems or that of our third-party business partners, or any failure by us or our third-party business partners to effectively address, enforce and maintain our information technology infrastructure, systems, or security measures may result in substantial harm to our business strategy, results of operations and financial condition, including major disruptions to business operations, loss of intellectual property, release of confidential information, alteration or corruption of data or systems, costs related to remediation or the payment of ransom, and litigation including individual claims or consumer class actions, commercial litigation, administrative, and civil or criminal investigations or actions, regulatory intervention and sanctions or fines, investigation and remediation costs and possible prolonged negative publicity.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a cyber insurance policy, there is no guarantee that such coverage will be sufficient to address costs, liabilities and damages we may incur in connection with a cybersecurity incident or that such coverage will continue to be available on commercially reasonable terms or at all.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strategic partnerships or significant investments in new business, we will be exposed to risks which could materially adversely affect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anticipate that we may acquire new products and services or enhance existing products and services through acquisitions of other companies, product lines, technologies and personnel, or through investments in, or strategic partnerships with, other companies. Any acquisition, investment or partnership, is subject to a number of risks. Such risks include the diversion of management time and resources, disruption of our ongoing business, potential overpayment for the acquired company or assets, dilution to existing stockholders if our common stock is issued in consideration for an acquisition or investment, incurring or assuming indebtedness or other liabilities in connection with an acquisition which may increase our interest expense and leverage significantly, lack of familiarity with new markets, and difficulties in supporting new product lines.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even if we successfully complete acquisitions, we may encounter issues not discovered during our due diligence process, including product or service quality issues, intellectual property issues and legal contingencies, the internal control environment of the acquired entity may not be consistent with our standards and may require significant time and resources to improve and we may impair relationships with employees and customers as a result of migrating a business or product line to a new owner. We may also face challenges in integrating any acquired business. These challenges may include eliminating redundant operations, facilities and systems, coordinating management and personnel, retaining key employees, customers and business partners, managing different corporate cultures, and achieving cost reductions and cross-selling opportunities. There can be no assurance that we will be able to fully integrate all aspects of acquired businesses successfully, realize synergies expected to result from the acquisition, advance our business strategy or fully realize the potential benefits of bringing the businesses together, and the process of integrating these acquisitions may further disrupt our business and divert our resources.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successfully manage acquisitions or investments, or successfully integrate acquisitions could have a material adverse effect on our business, financial condition, cash flows and/or results of operations. Correspondingly, our expectations related to the benefits related to our recent acquisitions, prior acquisitions or any other future acquisition or investment could be inaccurate.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divestitures or other restructuring activities could negatively affect our operations.</w:t>
      </w:r>
    </w:p>
    <w:p>
      <w:pPr>
        <w:spacing w:after="0" w:line="12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From time to time, we may divest of all or a portion of certain businesses. Divestitures involve risk, including, potential increased expense associated with the divestitures, and potential issues with the acquirers, customers or suppliers of the divested business, or products. Occasionally, we may wind down certain business activities and perform other organizational restructuring projects in an effort to reduce costs and streamline operations. For example, we divested our corporate online banking solutions related assets and liabilities to One Equity Partners on September 1, 2022. Divestiture activities involve risks as they may divert management's attention from our core businesses, increase expenses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lead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issues with employees or customers.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may experience difficulty separating out portions of, or entire, businesses, incur loss of revenue or experience negative impact on margins, or we may not achieve the desired strategic and financial benefits. Such potential transactions may also delay achievement of our strategic objectives, cause us to incur additional expenses, disrupt customer or employee relationships, and expose us to unanticipated or ongoing obligations and liabilities, including as a result of our indemnification obligations. Further, during the pendency of a divestiture, we may be subject to risks such as a decline in the business to be divested, loss of employees, customers, or suppliers and the risk that the transaction may not close, any of which would have a material adverse effect on the business to be divested and our retained business. If a divestiture is not completed for any reason, we may not be able to find another buyer on the same terms, and we may have incurred significant costs without any corresponding benefit.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implementing our strategy, and the strategy could prove unsuccessful in growing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focuses on investments in real-time payments, large sophisticated global banks and merchants, and fast-growing emerging markets. Successfully implementing our strategy may present organizational and infrastructure challenges, and we may not be able to fully implement or realize the intended benefits of our strategy. Moving to a new business strategy may result in a loss of established efficiency, which may have a negative impact on our business. As we adjust, we also may need to bring on additional talent, which could prove difficult in a competitive job market, especially as remote working continues. The increased focus on opportunities for strategic mergers and acquisitions and research and development could result in financial difficulties and may not always be fruitful. We may also face an increased amount of competition as we attempt to expand and grow our business, which may negatively impact our financial results. In order for us to be successful as we enter and invest in emerging markets, these markets must continue to grow. However, this growth depends on a variety of factors that we are not always able to predict.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senior management personnel and skilled technical employees could harm our ability to grow.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management team has significant experience in the financial services industry. The loss of this leadership could have an adverse effect on our business, operating results and financial condition. Further, the loss of this leadership may have an adverse impact on senior management’s ability to provide effective oversight and strategic direction for all key functions within our company, which could impact our future business, operating results and financial condition.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success also depends upon our ability to attract and retain highly-skilled technical personnel. We may need to invest significant amounts of cash and equity to attract and retain new employees, and we may never realize returns on these investments. Because the development of our solutions and services requires knowledge of computer hardware, operating system software, system management software, and application software, our technical personnel must be proficient in a number of disciplines. Competition for such technical personnel is intense, and our failure to hire and retain talented personnel could have a material adverse effect on our business, operating results, and financial condition.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growth will also require sales and marketing, financial and administrative personnel to develop and support new solutions and services, to enhance and support current solutions and services and to expand operational and financial systems. There can be no assurance that we will be able to attract and retain the necessary personnel to accomplish our growth strategies and we may experience constraints that could adversely affect our ability to satisfy client demand in a timely fashion.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compliance with applicable laws, rules and regulations and to manage and monitor the risks facing our business relies upon the ability to maintain skilled compliance, security, risk and audit professionals. Competition for such skillsets is intense, and our failure to hire and retain talented personnel could have an adverse effect on our internal control environment and impact our operating results.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global COVID-19 pandemic, a significant portion of our workforce worked mostly in a remote environment. While our employees have begun to transition back to the office, this remote environment has continued after the pandemic for some of our workforce in part or in full, and could impact the quality of our corporate culture. Failure to attract, hire, develop, motivate and retain highly qualified and diverse employee talent, or to maintain a corporate culture that fosters innovation, creativity, and teamwork could harm our overall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convert some or all of our on-premise licenses from a fixed-term to a subscription model, our future financial results will be affected by the frequency at which our customers adopt our subscription model, which carries with it certain risks.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on-premise licenses currently have a five-year fixed term model. In the future, we may transition some or all of these licenses to a subscription model. A transition to a subscription model would reflect a significant shift from a fixed-term license. In addition, a subscription model presents a number of risks to us including the following:</w:t>
      </w:r>
    </w:p>
    <w:p>
      <w:pPr>
        <w:spacing w:after="0" w:line="68"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entered into on a subscription basis generally delay the timing of revenue recognition and can require the incurrence of up-front costs, which may be significant and could make it difficult for investors to understand our results of operations as they compare to prior periods;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models make it difficult to rapidly increase revenues through additional bookings in any period, as revenues are recognized ratably over the subscription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a subscription arrangement may elect not to renew their contract upon expiration or they may attempt to renegotiate pricing or other contractual terms at the point of (or prior to) renewal on terms that are less favorable to us;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our customers will broadly accept a subscription model for our on-premise licenses.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anti-takeover provisions contained in our charter and under Delaware law could hinder a takeover attempt.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General Corporation Law of the State of Delaware prohibiting, under some circumstances, publicly held Delaware corporations from engaging in business combinations with some stockholders for a specified period of time without the approval of the holders of substantially all of our outstanding voting stock. Such provisions could delay or impede the removal of incumbent directors and could make more difficult a merger, tender offer, or proxy contest involving us, even if such events could be beneficial, in the short term, to the interests of our stockholders. In addition, such provisions could limit the price that some investors might be willing to pay in the future for shares of our common stock. Our certificate of incorporation and bylaws contain provisions relating to the limitation of liability and indemnification of our directors and officers and providing that our stockholders can take action only at a duly called annual or special meeting of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payment funding methods expose us to the credit and/or operating risk of our customers.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process an automated clearing house or ATM network payment transaction for certain customers, we occasionally transfer funds from our settlement account to the intended destination account before we receive funds from a client’s source account. The vast majority of these occurrences are resolved quickly through normal processes. However, if they are not resolved and we are then unable to reverse the transaction that sent funds to the intended destination, a shortfall in our settlement account will be created. Although we have legal recourse against our clients for the amount of the shortfall, timing of recovery may be delayed by litigation or the amount of any recovery may be less than the shortfall. In either case, we would have to fund the shortfall in our settlement account from our corporate funds.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detrimentally impacted by loss caused by theft or fraud.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our payments services are used to process illegitimate transactions, and we settle those funds to customers and are unable to recover them, we suffer losses and liability. Illegitimate transactions can also expose us to governmental and regulatory enforcement actions and potentially prevent us from satisfying our contractual obligations to our third-party partners, which may cause us to be in breach of our obligations.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Our current business, the changing and uncertain economic, geopolitical and regulatory environment, and our anticipated growth will continue to place significant demands on our risk management and compliance efforts. As our ecosystems grow and our business becomes more complex, we will need to continue developing, improving, and making investments into our risk management infrastructure, techniques, and processes.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customers may be reluctant to switch to a new vendor, which may adversely affect our growth.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banks, intermediaries, and other potential customers of our products, switching from one vendor of core financial services software (or from an internally developed legacy system) to a new vendor is a significant endeavor. Many potential customers believe switching vendors involves too many potential disadvantages such as disruption of business operations, loss of accustomed functionality, and increased costs (including conversion and transition costs). As a result, potential customers may resist change. We seek to overcome this resistance through value enhancing strategies such as a defined conversion/migration process, continued investment in the enhanced functionality of our software and system integration expertise. These actions require the expenditure of time and resources, and there can be no assurance that they will result in a potential customer switching to use our products and services. There can be no assurance that our strategies for overcoming potential customers’ reluctance to change vendors will be successful, and this resistance may adversely affect our growth.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and technology.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protect our proprietary rights in our intellectual property, we rely on a combination of contractual provisions, including customer licenses that restrict use of our products, confidentiality agreements and procedures, and trade secret and copyright laws. Despite such efforts, we may not be able to adequately protect our proprietary rights, or our competitors may independently develop similar technology, duplicate products, or design around any rights we believe to be proprietary. This may be particularly true in countries other than the United States because some foreign laws do not protect proprietary rights to the same extent as certain laws of the United States. Any failure or inability to protect our proprietary rights could materially adversely affect our business. Additionally, various events outside of our control may pose a threat to our intellectual property rights, as well as to our products and services. Effective protection of intellectual property rights is expensive and difficult to maintain, both in terms of application and maintenance costs, as well as the costs of defending and enforcing those rights. The efforts we have taken to protect our intellectual property rights may not be sufficient or effective. Our intellectual property rights may be infringed, misappropriated, or challenged, which could result in them being narrowed in scope or declared invalid or unenforceable.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use a limited amount of software licensed by its authors or other third parties under so-called “open source” licenses and may continue to use such software in the future.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if we combine our proprietary software with open source software in a certain manner. Additionally, the terms of many open source licenses have not been interpreted by United States or other courts, and there is a risk that these licenses could be construed in a manner that could impose unanticipated conditions or restrictions on our ability to commercialize our solutions. In addition to risks related to license requirements, usage of certain open source software can lead to greater risks than use of third-party commercial software, as open source licensors generally do not provide warranties or controls on origin of the software.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for third-party products distributed by us or as a result of acquisitions since we have a lower level of visibility, if any, into the development process with respect to such third-party products and acquired technology or the care taken to safeguard against infringement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increasing litigation over our intellectual property rights.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a substantial amount of litigation in the software industry regarding intellectual property rights. Third parties have in the past, and may in the future, assert claims or initiate litigation related to exclusive patent, copyright, trademark or other intellectual property rights to business processes, technologies and related standards that are relevant to us and our customers. These assertions have increased over time as a result of the general increase in patent claims assertions, particularly in the United States. Because of the existence of a large number of patents in the electronic commerce field, the secrecy of some pending patents and the rapid issuance of new patents, it is not economical or even possible to determine in advance whether a product or any of its components infringes or will infringe on the patent rights of others. Any claim against us, with or without merit, could be time-consuming, divert management's attention, result in costly litigation, cause product delivery delays, require us to enter into royalty or licensing agreements or pay amounts in settlement, or require us to develop alternative non-infringing technology.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anticipate that software product developers and providers of electronic commerce solutions could increasingly be subject to infringement claims, and third parties may claim that our present and future products infringe upon their intellectual property rights. Third parties may also claim, and we are aware that at least two parties have claimed on several occasions, that our customers’ use of a business process method which utilizes our products in conjunction with other products infringe on the third-party’s intellectual property rights. These third-party claims could lead to indemnification claims against us by our customers. Claims against our customers related to our products, whether or not meritorious, could harm our reputation and reduce demand for our products. Where indemnification claims are made by customers, resistance even to unmeritorious claims could damage the customer relationship. A successful claim by a third-party of intellectual property infringement by us or one of our customers could compel us to enter into costly royalty or license agreements, pay significant damages, or stop selling certain products and incur additional costs to develop alternative non-infringing technology. Royalty or licensing agreements, if required, may not be available on terms acceptable to us or at all, which could adversely affect our business.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engaged in offshore software development activities, which may not be successful and which may put our intellectual property at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globalization strategy and to optimize available research and development resources, we utilize our Irish subsidiary to serve as the focal point for certain international product development and commercialization efforts. This subsidiary oversees remote software development operations in Romania and elsewhere, as well as manages certain of our intellectual property rights. In addition, we manage certain offshore development activities in India. While our experience to date with our offshore development centers has been positive, there is no assurance that this will continue. Specifically, there are a number of risks associated with this activity, including but not limited to the following:</w:t>
      </w:r>
    </w:p>
    <w:p>
      <w:pPr>
        <w:spacing w:after="0" w:line="75" w:lineRule="exact"/>
        <w:rPr>
          <w:sz w:val="20"/>
          <w:szCs w:val="20"/>
          <w:color w:val="auto"/>
        </w:rPr>
      </w:pPr>
    </w:p>
    <w:p>
      <w:pPr>
        <w:ind w:left="660" w:right="20" w:hanging="328"/>
        <w:spacing w:after="0" w:line="281"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communications and information flow may be less efficient and accurate as a consequence of the time, distance and language differences between our primary development organization and the foreign based activities, resulting in delays in development or errors in the software developed;</w:t>
      </w:r>
    </w:p>
    <w:p>
      <w:pPr>
        <w:spacing w:after="0" w:line="54"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in addition to the risk of misappropriation of intellectual property from departing personnel, there is a general risk of the potential for misappropriation of our intellectual property that might not be readily discoverable;</w:t>
      </w:r>
    </w:p>
    <w:p>
      <w:pPr>
        <w:spacing w:after="0" w:line="54"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the quality of the development efforts undertaken offshore may not meet our requirements because of language, cultural and experiential differences, resulting in potential product errors and/or delays;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laws of the foreign countries where the operations are conducted could be complex or costly;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disruption from the involvement of the United States in political and military conflicts around the world;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currency exchange rates could fluctuate and adversely impact the cost advantages intended from maintaining these facilities.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a number of risks associated with our international operations that could have a material impact on our operations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revenues from international operations and anticipate continuing to do so. As a result, we are subject to risks of conducting international operations. One of the principal risks associated with international operations is potentially adverse movements of foreign currency exchange rates. Revenues and profit generated by international operations will increase or decrease compared to prior periods as a result of changes in foreign currency exchange rates. Our exposures resulting from fluctuations in foreign currency exchange rates may change over time as our business evolves and could have an adverse impact on our financial condition, cash flows and/or results of operations. We have not entered into any derivative instruments or hedging contracts to reduce exposure to adverse foreign currency changes.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potential risks include difficulties associated with staffing and management in an environment of diverse cultures, laws, and customs, challenges caused by distance, language, and cultural differences, and the increased travel, infrastructure, and legal and compliance costs associated with global operations, failure to anticipate competitive conditions and competition with service providers or other market-players that have greater experience in the foreign markets than we do, failure to conform with applicable business customs, including translation into foreign languages, cultural context, and associated expenses, changes to the way we do business as compared with our current operations, inability to support and integrate with local third-party service providers, difficulties in maintaining our company culture, difficulty in gaining acceptance and maintaining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industry self-regulatory bodies, compliance with U.S. and foreign anti-corruption, anti-bribery, and anti-money laundering laws, increased exposure to public health issues such as pandemics, and related industry and governmental actions to address these issues, competing with more established companies in international markets, reliance on independent distributors, longer payment cycles, potentially unfavorable changes to foreign tax rules, unfavorable trade treaties or tariffs, compliance with foreign regulatory requirements, effects of a variety of foreign laws and regulations, including restrictions on access to personal information, reduced protection of intellectual property rights, variability of foreign economic conditions, governmental currency controls, difficulties in enforcing our contracts in foreign jurisdictions, trade wars, and general economic and political conditions in the countries where we sell our products and services. Some of our products may contain encrypted technology, the export of which is regulated by the United States government. Changes in U.S. and other applicable export laws and regulations restricting the export of software or encryption technology could result in delays or reductions in our shipments of products internationally. There can be no assurance that we will be able to successfully address these challenges.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Political, military, and other international developments can undermine bilateral cooperation in key policy areas, significantly disrupt trade, and otherwise adversely affect economic conditions.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events in eastern Europe and the Middle East present challenges and risks to us, and no assurances can be given that current or future developments would not have a material adverse effect on our business, results of operations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crises in eastern Europe and the Middle East continue to be a challenge to global companies, including us. We currently have one employee in Russia, a dormant customer in Russia, and customers located in the Middle East. The U.S. and other global governments have placed restrictions on how companies may transact with, and provide services or solutions to, parties in these regions, particularly Russia, Belarus and restricted areas in Ukraine. No assurances can be given that additional developments in the impacted regions, and responses thereto from the U.S. and other global governments, would not have a material adverse effect on our business, results of operations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 could reduce the demand for our products and services or otherwise adversely impact our cash flows, operating results and financial condition.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to derive most of our revenue from products and services we provide to the banking and financial services industries. Given this focus, we are exposed to global economic conditions, and adverse economic trends that may accelerate the timing, or increase the impact of, risks to our financial performance.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electronic payments industry and the banking and financial services industries depend heavily upon the overall levels of consumer, business and government spending. Adverse economic conditions such as those caused by a global economic downturn, the Russia-Ukraine conflict, and the potential for disruptions in these industries as well as the general software sector could result in a decrease in consumers’ use of banking services and financial service providers resulting in significant decreases in the demand for our products and services which could adversely affect our business and operating results. A lessening demand in either the overall economy, the banking and financial services industry or the software sector could also result in the implementation by banks and related financial service providers of cost reduction measures or reduced capital spending resulting in longer sales cycles, deferral or delay of purchase commitments for our products and increased price competition which could lead to a material decrease in our future revenues and earnings.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domestic and global economic and credit conditions.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sensitive to the strength of domestic and global economic and credit conditions, particularly as they affect, either directly or indirectly, the banking and financial services industries. Economic and credit conditions are influenced by a number of factors, including political conditions, consumer confidence, unemployment levels, interest rates, tax rates, commodity prices, and government actions to stimulate economic growth. The imposition or threat of protectionist trade policies or import or export tariffs, global and regional market conditions and spending trends in the financial, retail and hospitality industries, new tax legislation across multiple jurisdictions, modified or new global or regional trade agreements, uncertainty over further potential changes in Eurozone participation and fluctuations in oil and commodity prices, among other things, have created a challenging and unpredictable environment in which to market our products and services across our different geographies and industries. A challenging economic environment could cause existing and potential customers to not purchase or to delay purchasing our products and services. Continued inflationary pressures could negatively impact our customers' ability to purchase our products and services, thereby negatively impacting our revenue and results of operations. A negative or unpredictable economic climate could create uncertainty or financial pressures that impact the ability or willingness of our customers to make capital expenditures, thereby affecting their decision to purchase or roll out our products or services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to pay accounts receivable owed to us. Additionally, if customers respond to a negative or unpredictable economic climate by consolidation, it could reduce our base of potential customers.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and services fail to comply with legislation, government regulations, and industry standards to which our customers are subject, it could result in a loss of customers and decreased revenue.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Legislation, governmental regulation, and industry standards affect how our business is conducted, and in some cases, could subject us to the possibility of future lawsuits arising from our products and services. Globally, legislation, governmental regulation and industry standards may directly or indirectly impact our current and prospective customers’ activities, as well as their expectations and needs in relation to our products and services. For example, our products are affected by VISA, Mastercard and other major payment brand electronic payment standards that are generally updated twice annually. Beyond this, our products are affected by PCI Security Standards. As a provider of electronic data processing to financial institutions, we must comply with FFIEC regulations and are subject to FFIEC examinations.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Legislation and regulation related to credit availability, data usage, privacy, or other related regulatory developments could have an adverse effect on our customers or us. A heightened regulatory environment in the financial services industry may have an adverse impact on our clients and our business. Laws and regulations concerning the handling of personal information are expanding and becoming more complex. Our failure, or perceived failure, to comply with these and other laws and regulations could adversely affect our business and harm our reputation.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since the enactment of the Dodd-Frank Wall Street Reform and Consumer Protection Act, a number of substantial regulations affecting the supervision and operation of the financial services industry within the U.S. have been adopted, including those that establish the Consumer Financial Protection Bureau (“CFPB”). The CFPB has issued regulations and guidance under U.S. consumer financial protection laws that apply to, and conducts direct examinations of, “supervised banks and nonbanks” as well as “supervised service providers.” CFPB rules, examinations and enforcement actions may require us to adjust our activities and may increase our compliance costs. Changes to applicable financial services laws or regulations could adversely impact our business.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due to our increased use of the internet for sales and marketing, laws specifically governing digital commerce, the internet, mobile applications, search engine optimization, behavioral advertising, privacy and email marketing may have an impact on our business. Existing and future laws governing issues such as digital and social marketing, privacy, consumer protection or commercial email may limit our ability to market and provide our products and services.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products may contain undetected errors or other defects, which could damage our reputation with customers, decrease profitability, and expose us to liability.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products are complex. Software may contain bugs or defects that could unexpectedly interfere with the operation of the software products when first introduced or as new versions are released. Additionally, errors could occur during our provision of services, including processing services such as our bill payment services and other services delivered through public or private cloud. Software defects or service errors may result in the loss of, or delay in, market acceptance of our products and services and a corresponding loss of sales or revenues.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depend upon our products and services for mission-critical applications, and product defects or service errors may hurt our reputation with customers. In addition, software product defects or errors could subject us to liability for damages, performance and warranty claims, government inquiries or investigations, claims and litigation, and fines or penalties from governmental authorities, which could be material. We may incur additional costs or expenses to remediate the issues.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artificial intelligence technology incorporated into our products include new and evolving technologies that may present both legal and business risks.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incorporated AI into our products. AI technologies are complex and rapidly evolving, and we face significant competition from other companies as well as an evolving legal and regulatory landscape. The incorporation of AI into our products may subject us to new or enhanced governmental or regulatory scrutiny, litigation, confidentiality or security risks, ethical concerns, or other complications that could harm our business, reputation, financial condition or results of operations. Intellectual property ownership and license rights, including copyright, surrounding AI technologies has not been fully addressed by federal or state laws or by U.S. courts, and the manner in which we configure and use these technologies may expose us to claims of copyright infringement or other intellectual property misappropriation. New laws have been adopted in the EU, and it is possible that new laws and regulations will be adopted in the United States and in other countries, or that existing laws and regulations will be interpreted in ways that would affect the operation of our solution and the way in which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AI. Further, the cost to comply with such laws or regulations could be significant and would increase our operating expenses, which could harm our business, reputation, financial condition and results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Uncertainty around and rapid evolution of AI technologies may require additional investment, including research and development of new approaches and processes, which could be costly and increase our expenses. AI can generate written content which contains bias, factual errors, misrepresentations, offensive language, or inappropriate statements. While we seek to use AI in a way that is designed to minimize these risks, there are still risks of such events occurring. Our failure to address these risks could harm our business, reputation, financial condition and results of operations. In addition, the use of AI involves significant technical complexity and requires specialized expertise, and competition for specialized personnel in the AI industry is intense. Any disruption or failure in our AI systems or infrastructure could result in delays or errors in our operations, which could harm our business, reputation,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by our workforce may present risks to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workforce is exposed to and uses AI technologies for certain tasks related to our business. We have guidelines specifically directed at the use of AI tools in the workplace. Nevertheless, our workforce may use these authorized or unauthorized tools, which poses potential risks relating to the protection of data, including cybersecurity risk, exposure of our proprietary confidential information to unauthorized recipients and the misuse of our or third-party intellectual property. Use of AI technology by our workforce even when used consistent with our guidelines, may result in allegations or claims against us related to violation of third-party intellectual property rights, unauthorized access to or use of proprietary information and failure to comply with open source software requirements. AI technology may also produce inaccurate responses that could lead to errors in our decision-making, solution development or other business activities, which could have a negative impact on our business, operating results and financial condition. Our ability to mitigate these risks will depend on our continued effective training, monitoring and enforcement of appropriate policies, guidelines and procedures governing the use of AI technology, and compliance by our workforce.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Tax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complex regulations applicable to our payments business, we could be subject to liability or our revenues may be reduced.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ACI Payments, Inc. is licensed as a money transmitter in those states where such licensure is required. These licenses require us to demonstrate and maintain certain levels of net worth and liquidity, require us to file periodic reports and subject us to inspections by state regulatory agencies. In addition, our payment business is generally subject to federal regulation in the United States, including anti-money laundering regulations and certain restrictions on transactions to or from certain individuals or entities. The complexity of these regulations will continue to increase our cost of doing business. Any violations of these laws may also result in civil or criminal penalties against us and our officers or the prohibition against us providing money transmitter services in particular jurisdictions. We could also be forced to change our business practices or be required to obtain additional licenses or regulatory approvals that could cause us to incur substantial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customers must ensure that our services comply with the government regulations, including the EU GDPR, and industry standards that apply to their businesses. Federal, state, foreign or industry authorities could adopt laws, rules, or regulations affecting our customers’ businesses that could lead to increased operating costs that may lead to reduced market acceptance. In addition, action by regulatory authorities relating to credit availability, data usage, privacy, or other related regulatory developments could have an adverse effect on our customers and, therefore,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comply with privacy and cybersecurity laws and regulations imposed on providers of services to financial institutions.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provider of services to financial institutions, we may be bound by the same limitations on disclosure of the information we receive from our customers as apply to the financial institutions themselves. The processing of personal data and other types of information subjects us to a number of domestic and international laws that govern and regulate the processing of personal information and other types of protected data. These laws regulate and address a range of issues including data privacy (e.g., restrictions or technological or process requirements regarding the processing of data), cybersecurity (e.g., requirements for the protection of personal information against compromise of the confidentiality, integrity, or availability of personal information), breach notification, and data governance. These laws can vary substantially from jurisdiction to jurisdiction, and are rapidly evolving. We are subject to laws and regulations relating to the collection, use, retention, privacy, protection, security, and transfer of information, including personal information of our employees and customers. These laws and regulations may change or be interpreted and applied differently over time and from jurisdiction to jurisdiction, and it is possible they will be interpreted and applied in ways that will materially and adversely affect our business. These laws and other developments relating to cross-border data transfer could result in increased costs of compliance and limitations on our customers and us. If we fail to comply with applicable laws and regulations, including the EU GDPR, CCPA, and other laws, we could be exposed to regulatory investigations and actions, lawsuits for breach of contract or to governmental or consumer claims, our customer relationships and reputation could be harmed, and we could be inhibited in our ability to obtain new customers. Compliance with these and new laws could involve substantial expenses and divert resources from other initiatives and projects. More restrictive privacy, data protection and cybersecurity laws adopted in the future could have an adverse impact on our business.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and other banking agencies have adopted or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in the U.S. have adopted or proposed new privacy and cybersecurity laws targeting these issues. Legislation and regulations on cybersecurity, data privacy, data protection and data localization may compel us to need to modify our systems, invest in new systems or alter our business practices or our policies on data governance and privacy. These actions could significantly increase our operational costs.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 management and information security programs are subject to oversight and periodic reviews by governmental agencies that regulate our business. In the event an examination of our information security and risk management functions results in adverse findings, such findings could be made public or communicated to our regulated financial institution customers, which could have a material adverse effect on us.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of the payment card networks and Nacha, they could seek to fine us, suspend us or terminate our registrations, which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provide our transaction processing services, one or more of our subsidiaries are registered with Visa and Mastercard and other networks as a payment facilitator and/or a third-party sender. As such, we are subject to card association and network rules that could subject us or our clients to a variety of fines or penalties that may be levied by the card associations or networks for certain acts or omissions by us, processing clients or merchants. In addition, we are subject to Nacha rules relating to payment transactions processed by us using the ACH network and to various federal and state laws regarding such operations, including laws pertaining to electronic fund transfer, money transfer, as well as the Payment Card Industry Data Security Standard enforced by the major card brands. The rules of Nacha and the card networks are set by their respective boards, and the card network rules may be influenced by card issuers, some of which offer competing transaction processing services.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comply with these rules, we could be fined and our registrations or certifications could be suspended or terminated. The suspension or termination of our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2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consent orders and other compliance agreements (the “Consent Orders and Compliance Agreements”) entered into in connection with the settlement of state and federal regulators’ investigations. Failure to comply with the Consent Orders and Compliance Agreements could result in further, and more significant, enforcement actions against us.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conduct our operations in compliance with the Consent Orders and Compliance Agreements. While we have complied with the Consent Orders and Compliance Agreements, and have implemented processes by which we believe we will maintain compliance with the Consent Orders and Compliance Agreements going forward, we cannot be certain that we will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 compliance with the Consent Orders and Compliance Agreements in all instances. In the event that we are deemed to be non-compliant with the terms of the Consent Orders and/or Compliance Agreements, the state and/or federal regulators have the authority to subject us to additional, and potentially more significant, corrective actions and could seek to initiate further enforcement actions against us, including seeking civil money penalties. Any failure by us to comply with the terms of the Consent Orders and Compliance Agreements or additional actions could adversely affect our business, financial condition and results of operations. In addition, our competitors may not be subject to similar actions, which could limit our ability to compete effectively.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unknown tax liabilities, which could adversely affect our financial condition, cash flows and/or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and non-income based taxes in the United States and in various foreign jurisdictions. Significant judgment is required in determining our worldwide income tax liabilities and other tax liabilities. We believe that our tax-saving strategies comply with applicable tax law. If the governing tax authorities have a different interpretation of the applicable law and successfully challenge any of our tax positions, our financial condition, cash flows and/or results of operations could be adversely affected.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U.S. companies are the subject of an examination by several state tax departments. Some of our foreign subsidiaries are currently the subject of a tax examination by the local taxing authorities. Other foreign subsidiaries could face challenges from various foreign tax authorities. It is not certain that the local authorities will accept our tax positions. We believe our tax positions comply with applicable tax law and intend to vigorously defend our positions. However, differing positions on certain issues could be upheld by foreign tax authorities, which could adversely affect our financial condition and/or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results of operations and cash flows from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 Additionally, 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Congress, the Organization for Economic Co-operation and Development (the “OECD”) and other government agencies in jurisdictions in which we do business remain focused on the taxation of multinational corporations. Under the OECD Inclusive Framework, over 140 countries have agreed to implement a two-pillar solution to address the challenges posed by the digitalization of the economy. The Pillar Two Framework (“Pillar Two”) introduces a 15% global minimum effective tax rate for certain multinational groups. Although the U.S. has not yet adopted Pillar Two into law, several countries in which we operate have enacted tax legislation based on the Pillar Two framework. We continue to evaluate the impact of these legislative changes as</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guidance becomes available. While Pillar Two did not significantly impact us in 2024, uncertainty remains regarding the implementation and impact of these initiatives, which could adversely affect our business or financial results in future years. 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Consolidations and failures in the financial services industry may adversely impact the number of customers and our revenues in the future.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Mergers, acquisitions, and personnel changes at key financial services organizations have the potential to adversely affect our business, financial condition, cash flows, and results of operations. Our business is concentrated in the financial services industry, making us susceptible to consolidation in, or contraction of, the number of participating institutions within that industry.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assurance can be given that operating results will not vary from quarter to quarter, and past performance may not accurately predict future performance. Any fluctuations in quarterly operating results may result in volatility in our stock price. Our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price may also be volatile, in part, due to external factors such as speculation regarding potential transactions, announcements by third parties or competitors, inherent volatility in the technology sector, variability in demand from our existing customers, failure to meet the expectations of market analysts, the level of our operating expenses, changing market conditions in the software industry, and the global economic downturn. In addition, the financial markets have experienced significant price and volume fluctuations that have particularly affected the stock prices of many technology companies and financial services companies, and these fluctuations sometimes are unrelated to the operating performance of these companies. Broad market fluctuations, as well as industry-specific and general economic conditions may adversely affect the market price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profitability depends on demand for our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and profitability depend on the overall demand for our products and services. A significant portion of our total revenues result from licensing our Issuing and Acquiring solutions, including our BASE24 product line and providing related services and maintenance. Any reduction in demand for, or increase in competition with respect to, our Issuing and Acquiring solutions could have a material adverse effect on our financial condition, cash flows and/or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renewals of customer contracts or obtain such renewals on favorable terms could adversely affect our results of operations and financial condition.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achieve favorable renewals of customer contracts could negatively impact our business. Our contracts with our customers generally run for a period of five years, or three years in the case of certain acquired SaaS and PaaS contracts. At the end of the contract term, customers have the opportunity to renegotiate their contracts with us and to consider whether to engage one of our competitors to provide products and services. Failure to achieve high renewal rates on commercially favorable terms could adversely affect our results of operations and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delay or cancellation of a customer project or inaccurate project completion estimates may adversely affect our operating results and financial performance.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unanticipated delays in a customer project, changes in customer requirements or priorities during the project implementation period, or a customer’s decision to cancel a project, may adversely impact our operating results and financial performance. In addition, during the project implementation period, we perform ongoing estimates of the progress being made on complex and difficult projects and documenting this progress is subject to potential inaccuracies. Changes in project completion estimates are heavily dependent on the accuracy of our initial project completion estimates and our ability to evaluate project profits and losses. Any inaccuracies or changes in estimates resulting from changes in customer requirements, delays or inaccurate initial project completion estimates may result in increased project costs and adversely impact our operating results and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card association and debit network fees or products could increase costs or otherwise limit our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card associations and debit networks, including the card networks which we utilize,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w:t>
      </w:r>
    </w:p>
    <w:p>
      <w:pPr>
        <w:spacing w:after="0" w:line="20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balance sheet includes significant amounts of goodwill and intangible assets. The impairment of a significant portion of these assets could negatively affect our financial results.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balance sheet includes goodwill and intangible assets that represent a significant portion of our total assets at December 31, 2024. On at least an annual basis, we assess whether there have been impairments in the carrying value of goodwill and intangible assets. If the carrying value of the asset is determined to be impaired, then it is written down to fair value by a charge to operating earnings. An impairment of a significant portion of goodwill or intangible assets could materially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backlog estimate may not be accurate and may not generate the predicted revenues.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Estimates of future financial results are inherently unreliable. Our backlog estimates require substantial judgment and are based on a number of assumptions, including management’s current assessment of customer and third-party contracts that exist as of the date the estimates are made, as well as revenues from assumed contract renewals, to the extent that we believe that recognition of the related revenue will occur within the corresponding backlog period. A number of factors could result in actual revenues being less than the amounts reflected in backlog. Our customers or third-party partners may attempt to renegotiate or terminate their contracts for a number of reasons, including mergers, changes in their financial condition, or general changes in economic conditions within their industries or geographic locations, or we may experience delays in the development or delivery of products or services specified in customer contracts. Actual renewal rates and amounts may differ from historical experience used to estimate backlog amounts. Changes in foreign currency exchange rates may also impact the amount of revenue actually recognized in future periods. Accordingly, there can be no assurance that contracts included in backlog will actually generate the specified revenues or that the actual revenues will be generated within a 12-month or 60-month period. Additionally, because backlog estimates are operating metrics, the estimates are not required to be subject to the same level of internal review or controls as a U.S. generally accepted accounting principles (“GAAP”) financial measure.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earnings are highly cyclical, our quarterly results fluctuate significantly, and we have revenue-generating transactions concentrated in the final weeks of a quarter which may prevent accurate forecasting of our financial results and cause our stock price to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and earnings are highly cyclical causing significant quarterly fluctuations in our financial results. Revenue and operating results are usually strongest during the third and fourth fiscal quarters ending September 30 and December 31, primarily due to the sales and budgetary cycles of our customers. We experience lower revenues, and possible operating losses, in the first and second quarters ending March 31 and June 30. Our financial results may also fluctuate from quarter to quarter and year to year due to a variety of factors, including changes in product sales mix that affect average selling prices, and the timing of customer renewals (any of which may impact the pattern of revenue recognition).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large portions of our customer contracts are executed in the final weeks of each quarter. Before these contracts are executed,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debt contains restrictions and other financial covenants that limit our flexibility in operating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credit facility and the indenture governing our 5.750% Senior Notes due 2026 (“2026 Notes”) contain customary affirmative and negative covenants for debt of these types that limit our ability to engage in specified types of transactions. If an event of default occurs, the lenders, trustee, or holders of the 2026 Notes will be entitled to take various actions, including, but not limited to, demanding payment for all amounts outstanding. If adverse global economic conditions persist or worsen, we could experience decreased revenues from our operations attributable to reduced demand for our products and services and as a result, we could fail to satisfy the financial and other restrictive covenants to which we are subject under our existing debt, resulting in an event of default. If we are unable to cure the default or obtain a waiver, we will not be able to access our credit facility and there can be no assurance that we would be able to obtain alternative financing. 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Notes to Consolidated Financial Statements in Part IV, Item 15 of this Form 10-K for additional information.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levels of debt and debt service requirements may adversely affect our financial condition or operational flexibility and prevent us from fulfilling our obligations under our outstanding indebtedness.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level of debt could have adverse consequences for our business, financial condition, operating results and operational flexibility, including the following: (i) the debt level may cause us to have difficulty borrowing money in the future for working capital, capital expenditures, acquisitions or other purposes; (ii) our debt level may limit operational flexibility and our ability to pursue business opportunities and implement certain business strategies; (iii) we use a large portion of our operating cash flow to pay principal and interest on our credit facility and the 2026 Notes, which reduces the amount of money available to finance operations, acquisitions and other business activities; (iv) we have a higher level of debt than some of our competitors or potential competitors, which may cause a competitive disadvantage and may reduce flexibility in responding to changing business and economic conditions, including increased competition and vulnerability to general adverse economic and industry conditions; (v) some of our debt has a variable rate of interest, which exposes us to the risk of increased interest rates; (vi) there are significant maturities on our debt that we may not be able to fulfill or that may be refinanced at higher rates; and (vii) if we fail to satisfy our obligations under our outstanding debt or fail to comply with the financial or other restrictive covenants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required under our credit facility and the 2026 Notes, an event of default could result that could cause all of our debt to become due and payable and could permit the lenders under our credit facility to foreclose on the assets securing such debt.</w:t>
      </w:r>
    </w:p>
    <w:p>
      <w:pPr>
        <w:spacing w:after="0" w:line="185" w:lineRule="exact"/>
        <w:rPr>
          <w:sz w:val="20"/>
          <w:szCs w:val="20"/>
          <w:color w:val="auto"/>
        </w:rPr>
      </w:pPr>
    </w:p>
    <w:p>
      <w:pPr>
        <w:ind w:right="2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levels of debt, we may still incur substantially more debt, including secured debt, and similar liabilities, which would increase the risks described in these risk factors relating to indebtedness.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agreements governing our credit facility and our 2026 Notes include restrictions on our ability to incur additional debt, those agreements do not prohibit us from incurring additional debt or pursuing other financing arrangements. As a result, the amount of additional debt and other obligations that we could incur could be substantial. Accordingly, to the extent permitted under our credit agreement or indenture, we could incur significant additional debt, liabilities or similar obligations in the future. In addition, if we form or acquire any subsidiaries in the future, those subsidiaries also could incur debt or similar liabilities. If new debt or similar liabilities are added to our current debt levels, the related risks that we now face could increase.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opportunistically refinance, amend, reprice and/or otherwise replace any of our debt, obtain additional debt financing or enter into other financing arrangements, reduce or extend our debt, lower our interest payments or the cost of capital available to us under certain types of financing arrangements, or otherwise seek to improve our financial position or the terms of our debt or other financing agreements. These actions may include open market debt repurchases, negotiated repurchases, or other repayments, redemptions or retirements of our debt or other financing arrangements. The amount of debt that may be borrowed or issued, refinanced, and/or repurchased, repaid, redeemed or otherwise retired, if any, will depend on market conditions, trading levels of our debt, our cash position, compliance with our debt covenants and other considerations. Any such actions could impact our financial condition or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could be adversely affected by events outside of our control, including natural disasters, wars and outbreaks of disease or other adverse public health developments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impacted by natural disasters, wars, and outbreaks of disease or other adverse public health developments such as pandemics. These events could cause disruptions or restrictions on us, our partners and customers, including restrictions on travel, temporary closure of facilities, and other restrictions. Such disruptions or restrictions may result in delays or losses of sales and delays in the development or implementation of our products. These events could also result in a decrease in consumers’ use of our customers’ services, further adversely affecting our business and operating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revenues or mix of revenues are below anticipated levels or if our operating results are below analyst or investor expectations, the market price of our common stock could be adversely affected.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percentage of our expenses, particularly personnel and facilities costs, are relatively fixed and based in part on anticipated revenue levels which can be difficult to predict. A decline in revenues without a corresponding and timely slowdown in expense growth could adversely affect our business. Significant revenue shortfalls in any quarter may cause significant declines in operating results since we may be unable to reduce spending in a timely manner.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Quarterly or annual operating results that are below the expectations of public market analysts could adversely affect the market price of our common stock. Factors that could cause fluctuations in our operating results include:</w:t>
      </w:r>
    </w:p>
    <w:p>
      <w:pPr>
        <w:spacing w:after="0" w:line="54"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customer demand for our products, which is highly dependent on our ability to continue to offer innovative technology solutions in very competitive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orders;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implementations, which are highly dependent on customers’ resources and discretion;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conditions, which may affect our customers’ and potential customers’ budgets for information technology expenditures;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volatility, which can have a significant effect on our total revenues and costs when our foreign operations are translated to U.S. dollars;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relating to the integration of software products and operations in connection with acquisitions of technologies or businesses;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new products or product enhancements by either us or our competitors.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oversight of our cybersecurity risk is integrated into our Enterprise Risk Management ("ERM") function and processes and procedures. Our ERM framework integrates our information technology and data management systems and related policies and practices into the larger framework to help guide and prioritize our cybersecurity and information technology-related investments, activities, and risk management strategy. We leverage a variety of risk methodologies and technologies to mitigate the risk of cybersecurity threats and incidents. We have a multi-layer, in-depth approach to technology solutions, including employing applications and tool suites used for perimeter, network, end point and application security, as well as for data recovery, in each case tailored to our systems, data, risk profile and mitigation strategy. At least annually, we review cybersecurity risk as part of our ERM processes and integrate those findings into our overall cybersecurity strategy.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threat intelligence services from multiple organizations, allowing us to proactively respond to emerging cybersecurity threats. We have also taken steps to address cybersecurity threats at third parties, including service providers, that handle, possess, process, and store our material information. Our Third-Party Risk Management program requires that these third parties maintain certain security controls and we assess their compliance with these requirements.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cybersecurity training program that covers a variety of topics designed to educate our employees about the importance of cybersecurity awareness, highlight typical cybersecurity-related risks and issues (such as phishing attacks and other methods used to attempt to infiltrate systems), and test that awareness using knowledge assessments and simulations. The training is administered to employees on an annual basis, and we use a third-party provider for the content to ensure that the training is periodically updated to incorporate new cybersecurity-related developments and best practices.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a reported potential cybersecurity incident, the Global Information Security team ("GIS") determines whether such incident triggers our cybersecurity threat evaluation and response plan (the “Response Plan”). If triggered, our cybersecurity response team, which includes representatives from GIS, our business team, and executive leadership, as needed under the circumstances (the “Cyber Response Team”), is convened. Members of the Cyber Response Team are responsible for developing, recommending and implementing the necessary measures to address the cybersecurity incident, including assessing, containing and mitigating its impact, notifying members of our management, the Audit Committee and the full Board of the cybersecurity incident, and coordinating external communications, in each case as appropriate under the circumstances. The Cyber Response Team is responsible for implementing and monitoring the effectiveness of any remediation plan adopted as a result of the cybersecurity incident.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policies, standards, processes, controls, and practices are periodically assessed by third-party consultants. These assessments address a variety of activities including information security maturity assessments, audits, regulatory compliance assessments, and independent reviews of our information security control environment and operating effectiveness. The results of assessments are reported to the Board and Audit Committee. Cybersecurity processes are adjusted based on the information provided from these assessments.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the date of this filing, we do not believe that any risks from cybersecurity threats, including as a result of past cybersecurity incidents, have had, or are reasonably likely to have, a material effect on our business strategy, results of operations or financial condition, but we cannot assure that our business strategy, results of operations and financial condition will not be materially affected in the future by cybersecurity risks or future cybersecurity incidents.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Information Security Officer (“CISO”) leads GIS, and together with our Chief Compliance Officer (“CCO”) are responsible for managing and assessing cybersecurity risk and strategy. They oversee our cybersecurity program and are responsible for identifying, assessing, monitoring, managing and communicating our cybersecurity risks. GIS is comprised of information security professionals with a variety of cybersecurity certifications and accreditations. GIS is aided by the Executive Risk Management Committee, which is comprised of senior leaders and subject matter experts throughout our company, including our CISO and CCO, who serve on the committee to assess and mitigate specific business unit risks, promote an understanding of potential issues, and provide risk resolution and prevention support. GIS and the Executive Risk Management Committee are responsible for keeping the Audit Committee apprised of developments with respect to our cybersecurity strategy and risks.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CISO has served in various roles in information technology and information security for more than 30 years, including 20 years in Financial Services, along with serving as the Deputy Head of Global Information Security at ACI prior to being designated as CISO and has been with ACI since 2008. Our CCO has served in various risk and compliance roles in both global and regulated entities within financial services technology organizations, along with serving as the Head of Enterprise Risk at ACI prior to being designated as CCO and has been with ACI since 2022. The CCO’s expertise focuses on designing, maturing, and embedding risk and compliance frameworks; credentials also include a Juris Doctor, a Masters of Business Administration with a focus in Finance and emphasis in consulting, and a Bachelors of Science in Business Administration.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oversees our cybersecurity strategy and risks. The Audit Committee is provided with cybersecurity strategy and risk updates on a quarterly, or as needed, basis. In addition, the Board is provided with an annual cybersecurity update that addresses similar topics to those discussed with the Audit Committee on a quarterly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office space in Elkhorn, Nebraska, for our principal executive offices. As of the end of 2024, we owned and leased a total of approximately 245,000 square feet of office and data center space in the United States and leased approximately 269,000 square feet of office and data center space outside the United States, primarily in India, Ireland, South Africa, Romania, and Singapore.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current facilities are adequate for our present and short-term foreseeable needs and that additional suitable space will be available as required. We also believe we will be able to renew leases as they expire or secure alternate suitable space.</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 Notes to Consolidated Financial Statements in Part IV, Item 15 of this Form 10-K for additional information regarding our obligations under our facilities leases.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proceedings, please refer to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Notes to Consolidated Financial Statements in Part IV, Item 15 of this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ACIW.</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24, 2025, there were 213 holders of record of our common stock. A substantially greater number of shareholders hold our common stock in “street name”, or as beneficial holders whose shares are held in the name of banks, brokers, or other financial institutions.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equity compensation plan information, please refer to Item 12 in Part III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common stock. We do not presently anticipate paying cash dividends. However, any future determination relating to our dividend policy will be made at the discretion of our board of directors (the "board") and will depend upon our financial condition, capital requirements, and earnings, as well as other factors the board may deem relevant. The terms of our current Credit Facility may restrict the payment of dividends subject to us meeting certain financial metrics and being in compliance with the events of default provisions of the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repurchases of common stock during the three months ended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20" w:type="dxa"/>
            <w:vAlign w:val="bottom"/>
          </w:tcPr>
          <w:p>
            <w:pPr>
              <w:spacing w:after="0"/>
              <w:rPr>
                <w:sz w:val="20"/>
                <w:szCs w:val="20"/>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Program</w:t>
            </w:r>
          </w:p>
        </w:tc>
      </w:tr>
      <w:tr>
        <w:trPr>
          <w:trHeight w:val="27"/>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through October 31, 2024 (1)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through November 30, 2024 (1)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31, 2024 (1)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r>
      <w:tr>
        <w:trPr>
          <w:trHeight w:val="223"/>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372,528,000</w:t>
            </w:r>
          </w:p>
        </w:tc>
      </w:tr>
      <w:tr>
        <w:trPr>
          <w:trHeight w:val="21"/>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820" w:hanging="488"/>
        <w:spacing w:after="0" w:line="266"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2020 Equity and Performance Incentive Plans, (the "2020 Incentive Plan"), we granted RSUs. Under each arrangement, shares are issued without direct cost to the employee. During the three months ended December 31, 2024, 204,636 shares of RSUs vested. We withheld 67,719 of these RSUs to pay the employees’ portion of the applicable minimum payroll withholding taxes.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2005, the board approved a stock repurchase program authorizing us, as market and business conditions warrant, to acquire our common stock and periodically authorizes additional funds for the program, with the intention of using existing cash and cash equivalents to fund these repurchases. In June 2024, the board approved the repurchase of the Company's common stock for up to $400.0 million, in place of the remaining purchase amounts previously authorized. As of December 31, 2024, the maximum remaining amount authorized for purchase under the stock repurchase program was approximately $372.5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guarantee as to the exact number of shares we will repurchase. Repurchased shares are returned to the status of authorized but unissued shares of common stock. In March 2005, the board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of three business days following our quarterly earnings release.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 and Cumulative Total Return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shows a line-graph presentation comparing cumulative stockholder return on an indexed basis with a broad equity market index and either a nationally-recognized industry standard or an index of peer companies selected by us. We selected the S&amp;P 500 Index and the S&amp;P 600 Index for comparison. The S&amp;P 600 Index will replace the S&amp;P MidCap 400 Index going forward, as the Company is now included in the S&amp;P 600 Index. The S&amp;P MidCap 400 index has been included with data through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57150</wp:posOffset>
            </wp:positionV>
            <wp:extent cx="5863590" cy="3137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graph above compares ACI Worldwide, Inc.’s annual percentage change in cumulative total return on common shares over the past five years with the cumulative total return of companies comprising the S&amp;P 500 Index and the S&amp;P 600 Index. This presentation assumes that $100 was invested in shares of the relevant issuers on December 31, 2019, and that dividends received were immediately invested in additional shares. The graph plots the value of the initial $100 investment at one-year intervals for the fiscal years shown. This information was provided by Zacks Investment Research, Inc. of Chicago, Illinois.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performance graph disclosure above is not considered “filed” with the SEC under the Securities and Exchange Act of 1934, as amended, and is not incorporated by reference in any past or future filing by us under the Securities Exchange Act of 1934, as amended, or the Securities Act of 1933, as amended, unless specifically referenced.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20"/>
        <w:spacing w:after="0" w:line="42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Worldwide, an innovator in global payments technology, delivers software solutions that power intelligent payments orchestration in real time so banks, merchants, and billers can drive growth, while continuously modernizing their payment infrastructures, simply and securely. With nearly 50 years of trusted payments expertise, we combine our global footprint with a local presence to offer enhanced payment experiences to stay ahead of constantly changing payment challenges and opportunities.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sold and supported directly and through distribution networks covering three geographic regions – the Americas, EMEA, and Asia Pacific. Each region has its own globally coordinated sales force, supplemented with local independent reseller and/or distributor networks. Our products and solutions are marketed under the ACI Worldwide brand and used globally by banks of all sizes, central banks, intermediaries, merchants, and billers, such as third-party digital payment processors, payment associations, switch interchanges, and a wide range of transaction-generating endpoints, including ATMs, merchant POS terminals, bank branches, mobile phones, tablets, corporations, and internet commerce sites.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derive a majority of our revenues from domestic operations and believe we have large opportunities for growth in international markets, as well as continued expansion domestically in the United States. We also continue to maintain centers of expertise in Timisoara, Romania, and Pune and Bangalore in India, as well as key operational centers such as in Cape Town, South Africa and in multiple locations in the United States.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influenced by trends such as information technology spending levels, the growth rate of digital payments, mandated regulatory changes, and changes in the number and type of customers in the financial services industry, as well as economic growth, and purchasing habits.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trends that currently impact our strategies and operations include:</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Increasing digital payment transaction volumes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adoption of digital payments continues to accelerate, propelled by the digitization of cash,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efforts of countries throughout the world, rapid growth of eCommerce, and the adoption of real-time payments enabling more people, governments, and businesses to embrace digital payments. We leverage the growth in transaction volumes through the licensing of new systems to customers whose older systems cannot handle increased volume, through the sale of capacity upgrades to existing customers, and through the scalability of our platform-based solutions.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Adoption of real-time payments. </w:t>
      </w:r>
      <w:r>
        <w:rPr>
          <w:rFonts w:ascii="Times New Roman" w:cs="Times New Roman" w:eastAsia="Times New Roman" w:hAnsi="Times New Roman"/>
          <w:sz w:val="18"/>
          <w:szCs w:val="18"/>
          <w:color w:val="auto"/>
        </w:rPr>
        <w:t>Expectations from both consumers and businesses are continuing to drive the payments world to more real-time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This is bolstered by the new data-rich ISO 20022 messaging format prevalent in account-to-account payments, which is delivering greater value to banks and their customers and has now been rolled out across the world and continues to see adoption with local schemes, such as FedWire, planned for 2025. We are seeing global players with existing schemes working to expand capacity in anticipation of volume growth and new payment types. Domestic schemes such as Unified Payments Interface ("UPI") in India and others are being made available to their citizens for cross-border transactions when abroad. Mature markets, including India, the United Kingdom, Australia, Brazil, Malaysia, Singapore, and Thailand, continue to accelerate innovation, especially in terms of overlay services, driving new transactions. The United States is driving real-time payments adoption through TCH Real-Time Payments and the FedNow Service. Asia is one of the most innovative markets for adoption of real-time payment systems. According to ACI’s Prime Time for Real-Time report, Asia Pacific is the largest regional market, with four of the global top five real-time payment markets by volume. ACI provides solutions for commercial and central banks across Asia. Latin American countries are pushing ahead with real-time payments modernization initiatives, looking to replicate Brazil’s success with PIX. ACI is also providing solutions centrally in Colombia and Peru. We are seeing success with real-time payments in the Middle East as well, as they have started to renovate their payment systems from legacy payment types to the modern digital and real-time world. ACI's broad software portfolio, experience, and strategic partnerships with Mastercard, Microsoft, Red Hat, and Mindgate Solutions continue to position us as a leader in real-time payments, helping to drive seamless connectivity, increased security, and end-to-end modernization for organizations throughout the world.</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Adoption of cloud technology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ACI has recognized the industry's technical inflection point in the transition from traditional on-premises infrastructure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private and public cloud, and we are supporting our customers' cloud strategies. Cloud technology innovations allow the financial services ecosystem to remove technical risk from their operations, accelerate innovation and time to market for new revenue-generating solutions for their customers, and accelerate innovation and ensure scalability and resiliency while improving operating economics over time. As banks and intermediaries, merchants, and billers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seek to transition their systems to make use of cloud technology, our investments and partnerships, as demonstrated by our product enablement and initial optimization onto Microsoft Azure, enable us to leverage those cloud technology benefits today and for the future while preserving ACI's fundamental base of performance, resiliency, and scalability. Cloud-native solutions running in a multi-tenant SaaS environment also allow ACI to expand our market coverage to smaller institutions, offering scalable solutions which are easy to integrate with but at price points that fit their budgets.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Payments intelligence, fraud, and compliance</w:t>
      </w:r>
      <w:r>
        <w:rPr>
          <w:rFonts w:ascii="Times New Roman" w:cs="Times New Roman" w:eastAsia="Times New Roman" w:hAnsi="Times New Roman"/>
          <w:sz w:val="18"/>
          <w:szCs w:val="18"/>
          <w:color w:val="auto"/>
        </w:rPr>
        <w:t>. The accelerated adoption of real-time payments, fraudsters leveraging artificial intelligence,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ramping up of mandates increase the urgency for industry-wide collaboration to mitigate fraud with precision and achieve operational excellence. As the threat of sophisticated fraud becomes a greater concern for remitting and receiving institutions, consumers are challenged with increased friction to prevent illegitimate access of genuine accounts or funds to protect the consumer trust and confidence, while achieving their strategic objectives. Regulators are beginning to litigate between consumers and financial institutions on the losses, and between remitting and receiving banks on the accountability. Banks and intermediaries, merchants, and billers are pursuing solutions to mitigate their risks while improving their customer experience, protecting their margins, and securing their revenue streams, especially with their new products and offerings. We continue to evolve our advanced machine learning and network intelligence capabilities to stop criminals and enable frictionless, legitimate business. Meanwhile, with payments intelligence, organizations can integrate intelligent services to enhance consumer relationships while achieving precise, real-time fraud and risk mitigation capabilities.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Omni-commerce. </w:t>
      </w:r>
      <w:r>
        <w:rPr>
          <w:rFonts w:ascii="Times New Roman" w:cs="Times New Roman" w:eastAsia="Times New Roman" w:hAnsi="Times New Roman"/>
          <w:sz w:val="18"/>
          <w:szCs w:val="18"/>
          <w:color w:val="auto"/>
        </w:rPr>
        <w:t>Shoppers are increasingly browsing, buying, and returning items across channels, including in-store, online, and mobile. This trend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led to an increase in contactless payments, click and collect, and curbside collection. Merchants from all industries, including grocers, fuel and convenience stores, are being tasked with delivering seamless experiences that include pay-in-aisle, kiosks, mobile app payments, QR code payments, eCommerce, traditional and mobile POS, buy online pickup in-store (BOPIS), and buy online return in-store (BORIS). We believe there is significant opportunity to provide merchants with the tools to deliver a seamless, secure, personalized experience that creates loyalty and satisfaction, and drives conversion rates while protecting consumer data and preventing fraud.</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Open banking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banking is gaining momentum globally, and while it has been accelerated in Europe by regulations like PSD3, the United States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seeing significant shifts driven by market demand and technology innovation rather than regulatory mandates. In the United States, the growing adoption of Request to Pay (RTP) offers an alternative to traditional bill payment methods, allowing payers to respond directly to payment requests with flexibility on timing, method, and amount. This aligns with the broader movement toward real-time payments, supported by platforms like the FedNow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 and The Clearing House’s RTP network. While the United States doesn't have a regulatory equivalent to PSD3, there's a strong push for open banking solutions that provide greater control and transparency for consumers, and RTP is a key trend within that space. By embracing both RTP and open banking trends in the United States, payment processors and financial institutions can offer more dynamic, flexible payment options, driving innovation and improving customer experience, while staying competitive in a rapidly evolving payments landscape. ACI is in a unique position to deliver service that takes advantage of our real-time payments software, our relationships with banks, merchants, and billers, and global connectivity.</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Several other factors related to our business may have a significant impact on our operating results from year to year. For example, the accounting rules governing the timing of revenue recognition are complex, and it can be difficult to estimate when we will recognize revenue generated by a given transaction. Factors such as creditworthiness of the customer and timing of transfer of control or acceptance of our products may cause revenues related to sales generated in one period to be deferred and recognized in later periods. For arrangements in which services revenue is deferred, related direct and incremental costs may also be deferred. Additionally, while the majority of our contracts are denominated in the U.S. dollar, a substantial portion of our sales are made, and some of our expenses are incurred, in the local currency of countries other than the United States. Fluctuations in currency exchange rates in a given period may result in the recognition of gains or losses for that period.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seek ways to grow through organic sources, partnerships, alliances, and acquisitions. We continually look for potential acquisitions designed to improve our solutions’ breadth or provide access to new markets. As part of our acquisition strategy, we seek acquisition candidates that are strategic, capable of being integrated into our operating environment, and accretive to our financial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2022, we sold our corporate online banking solutions related assets and liabilities to One Equity Partners ("OEP") for $100.0 million, and a net working capital adjustment. The sale included employees and customer contracts as well as technology assets and intellectual property.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recognized a gain of $38.5 million on the sale, which is recorded in other, net in the accompanying consolidated statements of operations. During the year ended December 31, 2023, the Company recognized a loss for the final post-closing adjustment pursuant to the definitive agreement of $0.5 million, which is recorded in other, net in the accompanying consolidated statements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OEP had also entered into a Transition Services Agreement ("TSA"), whereby the Company would continue to perform certain functions on OEP's behalf during a migration period which ended in 2024. The TSA was meant to reimburse the Company for direct costs in order to provide such functions, which are no longer generating revenue for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is comprised of:</w:t>
      </w:r>
    </w:p>
    <w:p>
      <w:pPr>
        <w:spacing w:after="0" w:line="117" w:lineRule="exact"/>
        <w:rPr>
          <w:sz w:val="20"/>
          <w:szCs w:val="20"/>
          <w:color w:val="auto"/>
        </w:rPr>
      </w:pPr>
    </w:p>
    <w:p>
      <w:pPr>
        <w:jc w:val="both"/>
        <w:ind w:left="820" w:hanging="326"/>
        <w:spacing w:after="0" w:line="258"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Committed Backlog, which includes (1) contracted revenue that will be recognized in future periods (contracted but not recognized) from software license fees, maintenance fees, service fees, and SaaS and PaaS fees specified in executed contracts (including estimates of variable consideration if required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included in the transaction price for those contracts, which includes deferred revenue and amounts that will be invoiced and recognized as revenue in future periods and (2) estimated future revenues from software license fees, maintenance fees, services fees, and SaaS and PaaS fees specified in executed contracts.</w:t>
      </w:r>
    </w:p>
    <w:p>
      <w:pPr>
        <w:spacing w:after="0" w:line="75"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Backlog, which includes estimated future revenues from assumed contract renewals to the extent we believe recognition of the related revenue will occur within the corresponding backlog period.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historically included assumed renewals in backlog estimates based upon automatic renewal provisions in the executed contract and our historic experience with customer renewal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60-month backlog estimates are derived using the following key assumptions:</w:t>
      </w:r>
    </w:p>
    <w:p>
      <w:pPr>
        <w:spacing w:after="0" w:line="117" w:lineRule="exact"/>
        <w:rPr>
          <w:sz w:val="20"/>
          <w:szCs w:val="20"/>
          <w:color w:val="auto"/>
        </w:rPr>
      </w:pPr>
    </w:p>
    <w:p>
      <w:pPr>
        <w:jc w:val="both"/>
        <w:ind w:left="820" w:hanging="326"/>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arrangements are assumed to renew at the end of their committed term or under the renewal option stated in the contract at a rate consistent with historical experience. If the license arrangement includes extended payment terms, the renewal estimate is adjusted for the effects of a significant financing component.</w:t>
      </w:r>
    </w:p>
    <w:p>
      <w:pPr>
        <w:spacing w:after="0" w:line="6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are assumed to exist for the duration of the license term for those contracts in which the committed maintenance term is less than the committed license term.</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and PaaS arrangements are assumed to renew at the end of their committed term at a rate consistent with our historical experiences.</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 are assumed to remain constant over the 60-month backlog period for those contracts stated in currencies other than the U.S. dollar.</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policies and practices are assumed to remain constant over the 60-month backlog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computing our 60-month backlog estimate, the following items are specifically not taken into account:</w:t>
      </w:r>
    </w:p>
    <w:p>
      <w:pPr>
        <w:spacing w:after="0" w:line="117"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increases in transaction, account, or processing volumes by our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annual uplifts or inflationary increases in recurring fees.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engagements, other than SaaS and PaaS arrangements, are not assumed to renew over the 60-month backlog period.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consolidation activity within our markets and/or customers.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our customer renewal experience on an annual basis. The impact of this review and subsequent updates may result in a revision to the renewal assumptions used in computing the 60-month backlog estimates. In the event a significant revision to renewal assumptions is determined to be necessary, prior periods will be adjusted for comparability purposes.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60-month backlog estimate, by reportable segment, as of December 31, 2024; September 30, 2024; June 30, 2024; March 31, 2024; and December 31, 2023 (in millions). Dollar amounts reflect foreign currency exchange rates as of each period end. This is a non-GAAP financial measure being presented to provide comparability across accounting periods. We believe this measure provides useful information to investors and others in understanding and evaluating our financial performance.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3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7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Billers</w:t>
            </w: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3"/>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w:t>
            </w:r>
          </w:p>
        </w:tc>
      </w:tr>
      <w:tr>
        <w:trPr>
          <w:trHeight w:val="21"/>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7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Renewal</w:t>
            </w: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48"/>
        </w:trPr>
        <w:tc>
          <w:tcPr>
            <w:tcW w:w="3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Estimates of future financial results require substantial judgment and are based on several assumptions, as described above. These assumptions may turn out to be inaccurate or wrong for reasons outside of management’s control. For example, our customers may attempt to renegotiate or terminate their contracts for many reasons, including mergers, changes in their financial condition, or general changes in economic conditions in the customer’s industry or geographic location. We may also experience delays in the development or delivery of products or services specified in customer contracts, which may cause the actual renewal rates and amounts to differ from historical experiences. Changes in foreign currency exchange rates may also impact the amount of revenue recognized in future periods. Accordingly, there can be no assurance that amounts included in backlog estimates will generate the specified revenues or that the actual revenues will be generated within the corresponding 60-month period. Additionally, because certain components of Committed Backlog and all of Renewal Backlog estimates are operating metrics, the estimates are not required to be subject to the same level of internal review or controls as contracted but not recognized Committed Backlog.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consolidated statements of operations, as well as the percentage relationship to total revenues of items included in our consolidated statements of operations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42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vs 2023</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vs 2023</w:t>
            </w:r>
          </w:p>
        </w:tc>
        <w:tc>
          <w:tcPr>
            <w:tcW w:w="220" w:type="dxa"/>
            <w:vAlign w:val="bottom"/>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32"/>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as a service and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platform as a service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897,979</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48,832</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412,306</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190,763</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93,240</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1,594,288</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141,709</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1,452,579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791,783</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118,352</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118,379</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110,962</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122,373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1,286,153</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53,982</w:t>
            </w: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1,232,171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308,135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203,118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81,609</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year ended December 31, 2024, increased $141.7 million, or 10%, as compared to the same period in 2023.</w:t>
      </w:r>
    </w:p>
    <w:p>
      <w:pPr>
        <w:spacing w:after="0" w:line="117"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foreign currencies weakening against the U.S. dollar resulted in a $3.2 million decrease in total revenue during the year ended December 31, 2024, as compared to the same period in 2023.</w:t>
      </w:r>
    </w:p>
    <w:p>
      <w:pPr>
        <w:ind w:left="660" w:right="2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total revenue for the year ended December 31, 2024, increased $144.9 million, or 10%,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as a Service (“SaaS”) and Platform as a Service (“PaaS”)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SaaS arrangements allow customers to use certain software solutions (without taking possession of the software) in a single-tenant cloud environment on a subscription basis. The Company’s PaaS arrangements allow customers to use certain software solutions (without taking possession of the software) in a multi-tenant cloud environment on a subscription or consumption basis. Included in SaaS and PaaS revenue are fees paid by our customers for use of our Biller solutions. Biller-related fees may be paid by our clients or directly by their customers and may be a percentage of the underlying transaction amount, a fixed fee per executed transaction or a monthly fee for each customer enrolled. SaaS and PaaS costs include payment card interchange fees, the amounts payable to banks and payment card processing fees, which are included in cost of revenue in the accompanying consolidated statements of operations. All fees from SaaS and PaaS arrangements that do not qualify for treatment as a distinct performance obligation, which includes set-up fees, implementation or customization services, and product support services, are included in SaaS and PaaS revenue.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and PaaS revenue increased $48.8 million, or 6%, during the year ended December 31, 2024, as compared to the same period in 2023.</w:t>
      </w:r>
    </w:p>
    <w:p>
      <w:pPr>
        <w:spacing w:after="0" w:line="117"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foreign currencies strengthening against the U.S. dollar resulted in a $0.5 million increase in SaaS and PaaS revenue during the year ended December 31, 2024, as compared to the same period in 2023.</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SaaS and PaaS revenue for the year ended December 31, 2024, increased $48.3 million, or 6%, as compared to the same period in 2023.</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transaction volumes during the year ended December 31, 2024, as compared to the same period in 2023, as well as new customer go-lives since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Customers purchase the right to license ACI software under multi-year, time-based software license arrangements that vary in length but are generally five years. Under these arrangements the software is installed at the customer’s location (i.e. on-premise). Within these agreements are specified capacity limits typically based on customer transaction volume. ACI employs measurement tools that monitor the number of transactions processed by customers and if contractually specified limits are exceeded, additional fees are charged for the overage. Capacity overages may occur at varying times throughout the term of the agreement depending on the product, the size of the customer, and the significance of customer transaction volume growth. Depending on specific circumstances, multiple overages or no overages may occur during the term of the agreement.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license revenue are license and capacity fees that are payable at the inception of the agreement. License revenue also includes license and capacity fees payable annually, quarterly, or monthly due to negotiated customer payment terms. The Company recognizes revenue in advance of billings for software license arrangements with extended payment terms and adjusts for the effects of the financing component, if significant.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revenue increased $91.1 million, or 28%, during the year ended December 31, 2024, as compared to the same period in 2023.</w:t>
      </w:r>
    </w:p>
    <w:p>
      <w:pPr>
        <w:spacing w:after="0" w:line="117"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foreign currencies weakening against the U.S. dollar resulted in a $3.0 million decrease in license revenue during the year ended December 31, 2024, as compared to the same period in 2023.</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license revenue for the year ended December 31, 2024, increased $94.1 million, or 30%, as compared to the same period in 2023.</w:t>
      </w:r>
    </w:p>
    <w:p>
      <w:pPr>
        <w:ind w:left="660" w:right="2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license revenue was driven by license renewal timing as well as the relative size of new license and capacity events during the year ended December 31, 2024,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Revenue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Maintenance revenue includes standard and premium customer support and any post contract support fees received from customers for the provision of product support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revenue decreased $14.3 million, or 7%, during the year ended December 31, 2024, as compared to the same period in 2023.</w:t>
      </w:r>
    </w:p>
    <w:p>
      <w:pPr>
        <w:spacing w:after="0" w:line="117"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weakening against the U.S. dollar resulted in a $0.2 million decrease in maintenance revenue during the year ended December 31, 2024, as compared to the same period in 2023.</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maintenance revenue for the year ended December 31, 2024, decreased $14.1 million, or 7%, as compared to the same period in 2023.</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primarily driven by customers reducing premium customer support and maintenance on non-strategic products during the year ended December 31, 2024, as compared to the same period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Services revenue includes fees earned through implementation services and other professional services. Implementation services include product installations, product configurations, and custom software modifications (“CSMs”). Other professional services include business consultancy, technical consultancy, on-site support services, product education, and testing services. These services include new customer implementations as well as existing customer migrations to new products or new releases of existing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revenue increased $16.1 million, or 21%, during the year ended December 31, 2024, as compared to the same period in 2023.</w:t>
      </w:r>
    </w:p>
    <w:p>
      <w:pPr>
        <w:spacing w:after="0" w:line="117"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weakening against the U.S. dollar resulted in a $0.4 million decrease in services revenue during the year ended December 31, 2024, as compared to the same period in 2023.</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services revenue for the year ended December 31, 2024, increased $16.5 million, or 21%, as compared to the same period in 2023.</w:t>
      </w:r>
    </w:p>
    <w:p>
      <w:pPr>
        <w:ind w:left="660" w:right="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driven by the timing and magnitude of project-related work during the year ended December 31, 2024, as compared to the same period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for the year ended December 31, 2024, increased $54.0 million, or 4%, as compared to the same period in 2023.</w:t>
      </w:r>
    </w:p>
    <w:p>
      <w:pPr>
        <w:spacing w:after="0" w:line="117" w:lineRule="exact"/>
        <w:rPr>
          <w:sz w:val="20"/>
          <w:szCs w:val="20"/>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year ended December 31, 2024, included $8.6 million for cost reduction strategies and $1.0 million of other significant transaction-related expenses during the period. Total operating expenses for the year ended December 31, 2023, included $21.0 million for cost reduction strategies, $2.6 million of significant transaction-related expenses, $1.8 million for CEO transition, and $2.8 million of European data center migration expenses during the period.</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weakening against the U.S. dollar resulted in a $1.0 million decrease in total operating expenses for the year ended December 31, 2024, as compared to the same period in 2023.</w:t>
      </w: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cost reduction strategies, significant transaction-related expenses, and foreign currency, total operating expenses for the year ended December 31, 2024, increased $73.6 million, or 6%,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includes costs to provide SaaS and PaaS, third-party royalties, amortization of purchased and developed software for resale, the costs of maintaining our software products, as well as the costs required to deliver, install, and support software at customer sites. SaaS and PaaS service costs include payment card interchange fees, amounts payable to banks, and payment card processing fees. Maintenance costs include the efforts associated with providing the customer with upgrades, 24-hour help desk, post go-live (remote) support, and production-type support for software that was previously installed at a customer location. Service costs include human resource costs and other incidental costs such as travel and training required for both pre go-live and post go-live support. Such efforts include project management, delivery, product customization and implementation, installation support, consulting, configuration, and on-site support.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increased $72.6 million, or 10%, during the year ended December 31, 2024, as compared to the same period in 2023.</w:t>
      </w:r>
    </w:p>
    <w:p>
      <w:pPr>
        <w:spacing w:after="0" w:line="117"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weakening against the U.S. dollar resulted in a $0.5 million decrease in cost of revenue during the year ended December 31, 2024, as compared to the same period in 2023.</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cost of revenue increased $73.1 million, or 10%, for the year ended December 31, 2024, as compared to the same period in 2023.</w:t>
      </w:r>
    </w:p>
    <w:p>
      <w:pPr>
        <w:ind w:left="660" w:right="8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payment card interchange and processing fees and cloud computing fees of $48.2 million and $8.0 million, respectively. The remaining increase was due to higher personnel and related expenses of $16.9 million, including a $2.8 million increase in stock-based compensation expense.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are primarily human resource costs related to the creation of new products, improvements made to existing products as well as compatibility with new operating system releases and generations of hardware.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$5.9 million, or 4%, during the year ended December 31, 2024, as compared to the same period in 2023.</w:t>
      </w:r>
    </w:p>
    <w:p>
      <w:pPr>
        <w:spacing w:after="0" w:line="117"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weakening against the U.S. dollar resulted in a $0.2 million decrease in R&amp;D expense during the year ended December 31, 2024, as compared to the same period in 2023.</w:t>
      </w: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R&amp;D expense increased $6.1 million, or 4%, during the year ended December 31, 2024, as compared to the same period in 2023.</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personnel and related expenses of $7.1 million, including a $4.2 million increase in stock-based compensation expense, partially offset by lower cloud computing and professional fees of $1.0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and marketing includes both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Marketing costs include costs incurred to promote the Company and its products, perform or acquire market research to help the Company better understand impending changes in customer demand for and of our products, and the costs associated with measuring customers’ opinions toward the Company, our products and personnel.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 decreased $14.3 million, or 11%, during the year ended December 31, 2024, as compared to the same period in 2023.</w:t>
      </w:r>
    </w:p>
    <w:p>
      <w:pPr>
        <w:spacing w:after="0" w:line="117" w:lineRule="exact"/>
        <w:rPr>
          <w:sz w:val="20"/>
          <w:szCs w:val="20"/>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primarily due to lower personnel and related expenses and advertising and professional fees of $14.0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are primarily human resource costs including executive salaries and benefits, personnel administration costs, and the costs of corporate support functions such as legal, administrative, human resources, and finance and accounting.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increased $1.2 million, or 1%, during the year ended December 31, 2024, as compared to the same period in 2023.</w:t>
      </w:r>
    </w:p>
    <w:p>
      <w:pPr>
        <w:spacing w:after="0" w:line="117" w:lineRule="exact"/>
        <w:rPr>
          <w:sz w:val="20"/>
          <w:szCs w:val="20"/>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year ended December 31, 2024, included $4.3 million for cost reduction strategies and $1.0 million of other significant transaction-related expenses during the period. General and administrative expenses for the year ended December 31, 2023, included $21.0 million for cost reduction strategies, $2.6 million of significant transaction-related expenses, $1.8 million for CEO transition, and $2.8 million of European data center migration expenses during the period.</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weakening against the U.S. dollar resulted in a $0.3 million decrease in general and administrative expense during the year ended December 31, 2024, as compared to the same period in 2023.</w:t>
      </w: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cost reduction strategies, significant transaction-related expenses, and foreign currency, general and administrative expense increased $24.4 million, or 28%, for the year ended December 31, 2024, as compared to the same period in 2023.</w:t>
      </w:r>
    </w:p>
    <w:p>
      <w:pPr>
        <w:ind w:left="660" w:right="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personnel and related expenses of $22.2 million, including a $11.1 million increase in stock-based compensation expense. The remaining increase was due to an increase in professional and other legal fees of $2.2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decreased $11.4 million, or 9%, during the year ended December 31, 2024, as compared to the same period in 2023.</w:t>
      </w:r>
    </w:p>
    <w:p>
      <w:pPr>
        <w:spacing w:after="0" w:line="117" w:lineRule="exact"/>
        <w:rPr>
          <w:sz w:val="20"/>
          <w:szCs w:val="20"/>
          <w:color w:val="auto"/>
        </w:rPr>
      </w:pPr>
    </w:p>
    <w:p>
      <w:pPr>
        <w:ind w:left="660" w:right="2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year ended December 31, 2024, included $4.4 million of accelerated depreciation related to the closure of a facility.</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the facility closure, depreciation and amortization decreased $15.8 million, or 13%, for the year ended December 31, 2024, as compared to the same period in 2023.</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primarily due to a $10.0 million decrease in depreciation due to prior facilities cost reduction activities and a $5.8 million decrease in amortization for fully amortized software and intangibles acquired through acquisitions.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year ended December 31, 2024, decreased $6.0 million, or 8%, as compared to the same period in 2023, primarily due to repayments on the Term Loan.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income includes the portion of software license fees paid by customers under extended payment terms that is attributed to the significant financing component. Interest income for the year ended December 31, 2024, increased $1.7 million, or 12%, as compared to the same period in 2023.</w:t>
      </w:r>
    </w:p>
    <w:p>
      <w:pPr>
        <w:spacing w:after="0" w:line="17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Other, net is primarily comprised of foreign currency transaction gains and losses. Other, net was $1.2 million and $8.5 million of expense for the years ended December 31, 2024 and 2023,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rates for the years ended December 31, 2024 and 2023, were approximately 19% and 18%, respectively. Our effective tax rates vary from our federal statutory rate due to operating in multiple foreign countries, each with its own tax laws and rates. These foreign tax laws and rates differ from those we apply to the income generated from our domestic operations. Of the foreign jurisdictions in which we operate, our December 31, 2024 and 2023 effective tax rates were most impacted by our operations in Ireland and the United Kingdom.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Notes to Consolidated Financial Statements in Part IV, Item 15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 Results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discussion of the year ended December 31, 2023, compared to the year ended December 31, 2022,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in Part II, Item 7 of our annual report on Form 10-K for the year ended December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our Notes to Consolidated Financial Statements in Part IV, Item 15 of this Form 10-K for discussion on identification of operating segments.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selected financial data for our reportable segments for the periods indicated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701,860</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616,051</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Merchants</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150,616</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Billers</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685,912</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355,489</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Merchants</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44,345</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Billers</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142,343</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(174,849)</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(64,271)</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Banks Segment Adjusted EBITDA increased $70.0 million for the year ended December 31, 2024, compared to the same period in 2023, primarily due to a $85.8 million increase in revenue primarily related to an increase in license revenues, partially offset by a $15.8 million increase in cash operating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Merchants Segment Adjusted EBITDA increased $25.2 million for the year ended December 31, 2024, compared to the same period in 2023, primarily due to a $15.3 million increase in revenue and a $9.9 million decrease in cash 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Billers Segment Adjusted EBITDA decreased $11.2 million for the year ended December 31, 2024, compared to the same period in 2023, primarily due to a $48.2 million increase in interchange and processing fees, partially offset by a $40.6 million increase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discussion of 2023 compared to 2022, see </w:t>
      </w:r>
      <w:r>
        <w:rPr>
          <w:rFonts w:ascii="Times New Roman" w:cs="Times New Roman" w:eastAsia="Times New Roman" w:hAnsi="Times New Roman"/>
          <w:sz w:val="18"/>
          <w:szCs w:val="18"/>
          <w:i w:val="1"/>
          <w:iCs w:val="1"/>
          <w:color w:val="auto"/>
        </w:rPr>
        <w:t>Segment Results</w:t>
      </w:r>
      <w:r>
        <w:rPr>
          <w:rFonts w:ascii="Times New Roman" w:cs="Times New Roman" w:eastAsia="Times New Roman" w:hAnsi="Times New Roman"/>
          <w:sz w:val="18"/>
          <w:szCs w:val="18"/>
          <w:color w:val="auto"/>
        </w:rPr>
        <w:t xml:space="preserve"> in Part II, Item 7 of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liquidity needs are: (i) to fund normal operating expenses; (ii) to meet the interest and principal requirements of our outstanding indebtedness; and (iii) to fund acquisitions, capital expenditures, and lease payments. We believe these needs will be satisfied using cash flow generated by our operations, our cash and cash equivalents, and available borrowings under our revolving credit facility over the next 12 months and beyond.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As of December 31, 2024, we had $216.4 million of cash and cash equivalents, of which $116.1 million was held by our foreign subsidiaries. If these funds were needed for our operations in the United States, we may potentially be required to accrue and pay foreign and U.S. state income taxes to repatriate these funds. As of December 31, 2024, only the earnings from our Indian foreign subsidiaries are indefinitely reinvested. We are also permanently reinvested in the outside book/tax basis differences related to foreign subsidiaries. These outside basis differences could reverse through the sale of foreign subsidiaries, as well as various other events, none of which are considered probable as of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Available Liquidity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available liquidity for the periods indicated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164,239</w:t>
            </w:r>
          </w:p>
        </w:tc>
      </w:tr>
      <w:tr>
        <w:trPr>
          <w:trHeight w:val="27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Availability under revolving credit facility</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528,100</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373,900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total liquidity is primarily attributable to the $100.0 million increase in the maximum amount available under the revolving credit facility and cash flows generated from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ACI Payments, Inc., a wholly owned subsidiary, maintain a $75.0 million uncommitted overdraft facility with Bank of America, N.A. The overdraft facility acts as a secured loan under the terms of the Credit Agreement to provide an additional funding mechanism for timing differences that can occur in the bill payment settlement process. As of December 31, 2024, the full $75.0 million was available.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26, 2024, we entered into a Refinance Amendment (the “Amendment”) to the Second Amended and Restated Credit Agreement, dated as of April 5, 2019 (as amended, restated, supplemented or otherwise modified from time to time, including by the Amendment, the “Credit Agreement”) with ACI Worldwide Corp and ACI Payments, Inc. as co-borrowers, the lenders, and Bank of America N.A, as administrative agent and lender. The Amendment, among other things, (i) provides a senior secured term loan facility in an aggregate principal amount of $500 million, (ii) provides a senior secured revolving credit facility in an aggregate principal amount of $600 million, and (iii) extends the maturity date of the Facilities to February 26, 2029. The proceeds of the borrowings under the Amendment, together with cash on hand, were used to refinance all outstanding borrowings and replace all existing revolving commitments under the Credit Agreement immediately prior to the date of the Amendment and will be used to provide ongoing working capital and for other general corporate purposes.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approved a stock repurchase program authorizing the Company, as market and business conditions warrant, to acquire its common stock and periodically authorizes additional funds for the program. In June 2024, the board approved the repurchase of the Company's common stock of up to $400.0 million in place of the remaining purchase amounts previously authorized.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repurchased 3,946,537 shares for $128.5 million under our stock repurchase program during the year ended December 31, 2024. Under the program to date, we have repurchased 62,867,837 shares for approximately $1.1 billion. As of December 31, 2024, the maximum remaining amount authorized for purchase under the stock repurchase program was approximately $372.5 million.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stock repurchase authorization does not have an expiration date and the pace of our repurchase activity will depend on factors such as our working capital needs, cash requirements for acquisitions, debt repayment obligations, our stock price, and global economic and market conditions. Our stock repurchases may be affected from time to time through open market purchases and pursuant to a Rule 10b5-1 plan and they may be accelerated, suspended, delayed or discontinued at any time. See Note 7, </w:t>
      </w:r>
      <w:r>
        <w:rPr>
          <w:rFonts w:ascii="Times New Roman" w:cs="Times New Roman" w:eastAsia="Times New Roman" w:hAnsi="Times New Roman"/>
          <w:sz w:val="18"/>
          <w:szCs w:val="18"/>
          <w:i w:val="1"/>
          <w:iCs w:val="1"/>
          <w:color w:val="auto"/>
        </w:rPr>
        <w:t>Common Stock and Treasury Stock</w:t>
      </w:r>
      <w:r>
        <w:rPr>
          <w:rFonts w:ascii="Times New Roman" w:cs="Times New Roman" w:eastAsia="Times New Roman" w:hAnsi="Times New Roman"/>
          <w:sz w:val="18"/>
          <w:szCs w:val="18"/>
          <w:color w:val="auto"/>
        </w:rPr>
        <w:t>, to our Notes to Consolidated Financial Statements in Part IV, Item 15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summary cash flow data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151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18859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3" w:lineRule="exact"/>
        <w:rPr>
          <w:sz w:val="20"/>
          <w:szCs w:val="20"/>
          <w:color w:val="auto"/>
        </w:rPr>
      </w:pPr>
    </w:p>
    <w:p>
      <w:pPr>
        <w:ind w:left="52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37" w:lineRule="exact"/>
        <w:rPr>
          <w:sz w:val="20"/>
          <w:szCs w:val="20"/>
          <w:color w:val="auto"/>
        </w:rPr>
      </w:pPr>
    </w:p>
    <w:p>
      <w:pPr>
        <w:spacing w:after="0"/>
        <w:tabs>
          <w:tab w:leader="none" w:pos="740" w:val="left"/>
          <w:tab w:leader="none" w:pos="1520" w:val="left"/>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358,748</w:t>
        <w:tab/>
        <w:t>$</w:t>
      </w:r>
      <w:r>
        <w:rPr>
          <w:sz w:val="20"/>
          <w:szCs w:val="20"/>
          <w:color w:val="auto"/>
        </w:rPr>
        <w:tab/>
      </w:r>
      <w:r>
        <w:rPr>
          <w:rFonts w:ascii="Times New Roman" w:cs="Times New Roman" w:eastAsia="Times New Roman" w:hAnsi="Times New Roman"/>
          <w:sz w:val="17"/>
          <w:szCs w:val="17"/>
          <w:color w:val="auto"/>
        </w:rPr>
        <w:t>168,517</w:t>
      </w:r>
    </w:p>
    <w:p>
      <w:pPr>
        <w:spacing w:after="0" w:line="63" w:lineRule="exact"/>
        <w:rPr>
          <w:sz w:val="20"/>
          <w:szCs w:val="20"/>
          <w:color w:val="auto"/>
        </w:rPr>
      </w:pPr>
    </w:p>
    <w:p>
      <w:pPr>
        <w:jc w:val="both"/>
        <w:ind w:left="780"/>
        <w:spacing w:after="0"/>
        <w:tabs>
          <w:tab w:leader="none" w:pos="2300" w:val="left"/>
        </w:tabs>
        <w:rPr>
          <w:sz w:val="20"/>
          <w:szCs w:val="20"/>
          <w:color w:val="auto"/>
        </w:rPr>
      </w:pPr>
      <w:r>
        <w:rPr>
          <w:rFonts w:ascii="Times New Roman" w:cs="Times New Roman" w:eastAsia="Times New Roman" w:hAnsi="Times New Roman"/>
          <w:sz w:val="18"/>
          <w:szCs w:val="18"/>
          <w:color w:val="auto"/>
        </w:rPr>
        <w:t>(45,051)</w:t>
      </w:r>
      <w:r>
        <w:rPr>
          <w:sz w:val="20"/>
          <w:szCs w:val="20"/>
          <w:color w:val="auto"/>
        </w:rPr>
        <w:tab/>
      </w:r>
      <w:r>
        <w:rPr>
          <w:rFonts w:ascii="Times New Roman" w:cs="Times New Roman" w:eastAsia="Times New Roman" w:hAnsi="Times New Roman"/>
          <w:sz w:val="18"/>
          <w:szCs w:val="18"/>
          <w:color w:val="auto"/>
        </w:rPr>
        <w:t>(37,777)</w:t>
      </w:r>
    </w:p>
    <w:p>
      <w:pPr>
        <w:spacing w:after="0" w:line="63" w:lineRule="exact"/>
        <w:rPr>
          <w:sz w:val="20"/>
          <w:szCs w:val="20"/>
          <w:color w:val="auto"/>
        </w:rPr>
      </w:pPr>
    </w:p>
    <w:p>
      <w:pPr>
        <w:ind w:left="680"/>
        <w:spacing w:after="0"/>
        <w:tabs>
          <w:tab w:leader="none" w:pos="2220" w:val="left"/>
        </w:tabs>
        <w:rPr>
          <w:sz w:val="20"/>
          <w:szCs w:val="20"/>
          <w:color w:val="auto"/>
        </w:rPr>
      </w:pPr>
      <w:r>
        <w:rPr>
          <w:rFonts w:ascii="Times New Roman" w:cs="Times New Roman" w:eastAsia="Times New Roman" w:hAnsi="Times New Roman"/>
          <w:sz w:val="17"/>
          <w:szCs w:val="17"/>
          <w:color w:val="auto"/>
        </w:rPr>
        <w:t>(288,197)</w:t>
      </w:r>
      <w:r>
        <w:rPr>
          <w:sz w:val="20"/>
          <w:szCs w:val="20"/>
          <w:color w:val="auto"/>
        </w:rPr>
        <w:tab/>
      </w:r>
      <w:r>
        <w:rPr>
          <w:rFonts w:ascii="Times New Roman" w:cs="Times New Roman" w:eastAsia="Times New Roman" w:hAnsi="Times New Roman"/>
          <w:sz w:val="17"/>
          <w:szCs w:val="17"/>
          <w:color w:val="auto"/>
        </w:rPr>
        <w:t>(111,552)</w:t>
      </w:r>
    </w:p>
    <w:p>
      <w:pPr>
        <w:spacing w:after="0" w:line="668" w:lineRule="exact"/>
        <w:rPr>
          <w:sz w:val="20"/>
          <w:szCs w:val="20"/>
          <w:color w:val="auto"/>
        </w:rPr>
      </w:pPr>
    </w:p>
    <w:p>
      <w:pPr>
        <w:sectPr>
          <w:pgSz w:w="11900" w:h="16838" w:orient="portrait"/>
          <w:cols w:equalWidth="0" w:num="2">
            <w:col w:w="7540" w:space="720"/>
            <w:col w:w="2980"/>
          </w:cols>
          <w:pgMar w:left="320" w:top="117" w:right="33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source of operating cash flows is cash collections from our customers for purchase and renewal of licensed software products and various services including software and platform as a service, maintenance, and other professional services. Our primary uses of operating cash flows include employee expenditures, taxes, interest payments, and leased facilities.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was $358.7 million for the year ended December 31, 2024, an increase of 113% compared to $168.5 million for the same period in 2023. This increase is attributed to improved profitability and corresponding cash flows primarily from customer receipt collections and lower income tax payments, partially offset by working capital use.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flow from operating activities can fluctuate from period to period due to several factors, including: the timing of billings, which are typically higher in the third and fourth quarters in conjunction with sales timing and are variable based upon license renewal timing; collections, which will lag the quarters with higher billings; the timing and amounts of interest due to interest rate fluctuations and semi-annual Senior Notes interest payments; income tax and other payments; and our operating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the timing of our purchases and investments in capital and other assets, including strategic acquisitions, that support our growth.</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used cash of $45.1 million to purchase software, property, and equipment, as compared to $37.8 million during the same period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borrowings and repayments related to our debt instruments and other debt, stock repurchases, and net proceeds related to employee stock programs.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2024, we repaid a net $57.2 million on the Term Loan under the Amendment, $54.0 million on the Revolving Credit Facility, $14.9 million of other debt payments, and $5.1 million of debt issuance costs. In addition, we used $127.7 million to repurchase common stock, $13.1 million for the repurchase of stock-based compensation awards for tax withholdings, and $25.5 million for settlement assets and liabilities due to processing timing. We received proceeds of $9.2 million from the exercise of stock options and the issuance of common stock under our 2017 Employee Stock Purchase Plan, as amended. During 2023, we repaid $73.0 million on the Term Loans, $16.8 million of other debt payments, and $2.2 million of debt issuance costs. In addition, we used $27.6 million to repurchase common stock, $5.1 million for the repurchase of stock-based compensation awards for tax withholdings, and $15.4 million for settlement assets and liabilities due to processing timing. We received net proceeds of $19.0 million on the Revolving Credit Facility and proceeds of $9.5 million from the exercise of stock options and the issuance of common stock under our 2017 Employee Stock Purchase Plan, as amended.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Year Results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discussion of 2023 compared to 2022,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in Part II, Item 7 of our annual report on Form 10-K for the year ended December 31, 2023.</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largest contractual obligations as of December 31, 2024, include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related to our Credit Agreement that are included in our consolidated balance sheet and the related periodic interest payments;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interest payments on our 2026 Notes and the ultimate principal payment that is included in our consolidated balance sheet;</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payments related to liabilities for certain multi-year license agreements for internal-use software that are included in our consolidated balance sheet;</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that are included in our consolidated balance sheet;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contractual commitments associated with agreements that are enforceable and legally binding.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we have gross unrecognized income tax benefits, including related interest and penalties, recorded on our consolidated balance sheet, the nature of which is uncertain with respect to settlement or release with the relevant tax authorities.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our Notes to Consolidated Financial Statements in Part IV, Item 15 of this Form 10-K.</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Notes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our Notes to Consolidated Financial Statements in Part IV, Item 15 of this Form 10-K provide additional information regarding our contractual obligations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that we make estimates and assumptions that affect the reported amounts of assets, liabilities, revenues and expenses, and related disclosure of contingent assets and liabilities. We base our estimates on historical experience and other assumptions that we believe to be proper and reasonable under the circumstances. We continually evaluate the appropriateness of estimates and assumptions used in the preparation of our consolidated financial statements. Actual results could differ from those estimates.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key accounting policies are impacted significantly by judgments, assumptions, and estimates used in the preparation of the consolidated financial statements. See Note 1, </w:t>
      </w:r>
      <w:r>
        <w:rPr>
          <w:rFonts w:ascii="Times New Roman" w:cs="Times New Roman" w:eastAsia="Times New Roman" w:hAnsi="Times New Roman"/>
          <w:sz w:val="18"/>
          <w:szCs w:val="18"/>
          <w:i w:val="1"/>
          <w:iCs w:val="1"/>
          <w:color w:val="auto"/>
        </w:rPr>
        <w:t>Nature of Business and Summary of Significant Accounting Policies,</w:t>
      </w:r>
      <w:r>
        <w:rPr>
          <w:rFonts w:ascii="Times New Roman" w:cs="Times New Roman" w:eastAsia="Times New Roman" w:hAnsi="Times New Roman"/>
          <w:sz w:val="18"/>
          <w:szCs w:val="18"/>
          <w:color w:val="auto"/>
        </w:rPr>
        <w:t xml:space="preserve"> and Note 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 our Notes to Consolidated Financial Statements in Part IV, Item 15 of this Form 10-K for a further discussion of significant accounting policies and revenue recognition.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revenue is recognized upon transfer of control of promised products and/or services to customers in an amount that reflects the consideration we expect to be entitled to receive in exchange for those products and services.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software license arrangements provide the customer with the right to use functional intellectual property for the duration of the contract term. Implementation, support, and other services are typically considered distinct performance obligations when sold with a software license. Significant judgment is required to determine the stand-alone selling price (“SSP”) for each performance obligation, the amount allocated to each performance obligation and whether it depicts the amount that we expect to be entitled to receive in exchange for the related product and/or service. As the selling prices of our software licenses are highly variable, we estimate SSP of our software licenses using the residual approach when the software license is sold with other services and observable SSPs exist for the other services. We use a range of amounts to estimate SSP for maintenance and services. These ranges are based on stand-alone sales and vary based on the type of service and geographic region. If the SSP of a performance obligation is not directly observable, we will maximize observable inputs to determine its SSP.</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software license arrangement contains payment terms that are extended beyond one year, a significant financing component may exist. The significant financing component is calculated as the difference between the stated value and present value of the software license fees and is recognized as interest income over the extended payment period. Judgment is used in determining: (1) whether the financing component in a software license agreement is significant and, if so, (2) the discount rate used in calculating the significant financing component.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significance of the financing component based on the ratio of license fees paid over time to total license fees. If determined to be significant, the financing component is calculated using a rate that discounts the license fees to the cash selling price.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SaaS-based and PaaS-based arrangements represent a single promise to provide continuous access to our software solutions and their processing capabilities in the form of a service through one of our data centers. These arrangements may include fixed and/or variable consideration. Fixed consideration is recognized over the term of the arrangement and variable consideration, which is a function of transaction volume or another usage-based measure, generally meets the allocation objective and revenue is recognized as the usage occurs.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apply judgment in determining the customer’s ability and intention to pay, which is based on a variety of factors including the creditworthiness of the customer, economic conditions in the customer’s industry and geographic location, and general economic conditions.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arrangements are through unrelated distributors or sales agents. For software license arrangements in which we act as a distributor of another company’s product, and in certain circumstances, modify or enhance the product, revenues are recorded on a gross basis. These include arrangements in which we take control of the products and are responsible for providing the product or service. For software license arrangements in which we act as a sales agent for another company’s product, revenues are recorded on a net basis. Judgment is required in evaluating the facts and circumstances of our relationship with the distributor or sales agent as well as our operating history and practices that can impact the timing of revenue recognition related to these arrangements. For software license arrangements in which we utilize a third-party distributor or sales agent, we recognize revenue upon transfer of control of the software license(s) to the third-party distributor or sales agent.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execute more than one contract or agreement with a single customer at or near the same time. The separate contracts or agreements may be viewed as one combined arrangement or separate agreements for revenue recognition purposes. We evaluate whether the agreements were negotiated as a package with a single commercial objective, whether the products or services promised in the agreements represent a single performance obligation, or whether the amount of consideration to be paid in one agreement depends on the price and/or performance of another agreement to reach appropriate conclusions regarding whether such arrangements are related or separate. The conclusions reached can impact the allocation of the transaction price to each performance obligation and the timing of revenue recognition related to those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and Goodwill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acquisitions typically result in the recording of intangible assets. As of December 31, 2024 and 2023, our intangible assets, excluding goodwill, net of accumulated amortization, were $165.4 million and $195.6 million, respectively. The determination of the value of such intangible assets requires management to make estimates and assumptions that affect the consolidated financial statements. We assess potential impairments to intangible assets when there is evidence that events or changes in circumstances indicate the carrying amount of an asset may not be recovered. Judgments regarding the existence of impairment indicators and future cash flows related to intangible assets are based on operational performance of our businesses, market conditions, and other factors. Although there are inherent uncertainties in this assessment process, the estimates and assumptions used, including estimates of future cash flows, volumes, market penetration and discount rates, are consistent with our internal planning. If these estimates or their related assumptions change in the future, we may be required to record an impairment charge on all or a portion of our intangible assets. Furthermore, we cannot predict the occurrence of future impairment-triggering events nor the impact such events might have on our reported asset values. Future events could cause us to conclude that impairment indicators exist and that intangible assets associated with acquired businesses are impaired. Any resulting impairment loss could have an impact on our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are amortized using the straight-line method over periods ranging from four to 20 years.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of December 31, 2024 and 2023, our goodwill was $1.2 billion.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we assess goodwill for impairment annually during the fourth quarter of our fiscal year using October 1 balances, or when there is evidence that events or changes in circumstances indicate that the carrying amount of the asset may not be recovered. We evaluate goodwill at the reporting unit level and have identified our reportable segments, Banks, Merchants, and Billers, as our reporting units. Recoverability of goodwill is measured using a discounted cash flow valuation model incorporating discount rates commensurate with the risks involved. Use of a discounted cash flow valuation model is common practice in impairment testing in the absence of available transactional market evidence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key assumptions used in the discounted cash flow valuation model include discount rates, growth rates, cash flow projections, and terminal value rates. Discount rates, growth rates, and cash flow projections are the most sensitive and susceptible to change, as they require significant management judgment. Discount rates are determined by using a weighted average cost of capital (“WACC”). The WACC considers market and industry data, as well as Company-specific risk factors. Operational management, considering industry and Company-specific historical and projected data, develops growth rates and cash flow projections for each reporting unit. Terminal value rate determination follows common methodology of capturing the present value of perpetual cash flow estimates beyond the last projected period assuming a constant WACC and low long-term growth rates. If the calculated fair value is less than the current carrying value, impairment of the reporting unit may exist. The implied fair value of goodwill is determined in a manner similar to how goodwill is calculated in a business combination. If the implied fair value of goodwill exceeds the carrying value of goodwill assigned to the reporting unit, there is no impairment. If the carrying value of goodwill assigned to the reporting unit exceeds the implied fair value of the goodwill, an impairment charge is recorded to write down the carrying value. The calculated fair value substantially exceeds the current carrying value for all reporting units. No reporting units were deemed to be at risk of failing Step 1 of the goodwill impairment test under ASC 350.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9, 2020, upon recommendation of the board, stockholders approved the ACI Worldwide, Inc. 2020 Equity and Incentive Compensation Plan (the “2020 Plan”). The 2020 Plan authorizes the board to provide for equity-based compensation in the form of stock options, stock appreciation rights, restricted stock, restricted stock units, performance shares, performance units, dividend equivalents, and certain other awards, including those denominated or payable in, or otherwise based on, our common stock ("awards"). The purpose of the 2020 Plan is to provide incentives and rewards for service and/or performance by providing awards to non-employee directors, officers, other employees, and certain consultants and other service providers of us and our subsidiaries. Following the approval of the 2020 Plan, the 2016 Incentive Plan was terminated. Termination of the 2016 Incentive Plan did not affect any equity awards outstanding under the 2016 Incentive Plan or 2005 Incentive Plan.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Performance share awards granted with a total shareholder return component ("TSRs") are shares that are earned, if at all, based upon achievement of performance goals over a specified period. For 2024 and 2023, performance share awards granted are earned, if at all, based upon achievement, over a specified period that must not be less than one year and is typically a three-year performance period. The awards have operating performance goals that include (i) adjusted EBITDA metrics and (ii) revenue growth rates as determined by the Company with a TSR multiplier up to plus or minus 20%. Up to 200% of the performance shares could be earned upon achievement of the performance goals, including the multiplier. For 2022, performance share awards granted are earned, if at all, based upon the Company’s total shareholder return as compared to a group of peer companies over a three-year performance period. The award payout can range from 0% to 200%. To determine the grant date fair value of the TSRs, a Monte Carlo simulation model is used. We recognize compensation expense for the TSRs over the performance period based on the grant date fair value. On a quarterly basis, management evaluates the probability that the threshold performance goals will be achieved, if at all, and the anticipated level of attainment to determine the amount of compensation expense to record in the consolidated financial statements.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share unit awards (“RSUs”) generally have requisite service periods of three years and may vest 100% upon the three-year anniversary or in equal increments quarterly or annually. Under each arrangement, RSUs are issued without direct cost to the employee on the vesting date. We estimate the fair value of RSUs based upon the market price of our stock on the date of grant. We recognize compensation expense for RSUs on a straight-line basis over the requisite service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assumptions utilized in the Monte Carlo simulation models, as well as the description of the plans the stock-based awards are granted under are described in further detail in Note 6, </w:t>
      </w:r>
      <w:r>
        <w:rPr>
          <w:rFonts w:ascii="Times New Roman" w:cs="Times New Roman" w:eastAsia="Times New Roman" w:hAnsi="Times New Roman"/>
          <w:sz w:val="18"/>
          <w:szCs w:val="18"/>
          <w:i w:val="1"/>
          <w:iCs w:val="1"/>
          <w:color w:val="auto"/>
        </w:rPr>
        <w:t>Stock-Based Compensation Plans</w:t>
      </w:r>
      <w:r>
        <w:rPr>
          <w:rFonts w:ascii="Times New Roman" w:cs="Times New Roman" w:eastAsia="Times New Roman" w:hAnsi="Times New Roman"/>
          <w:sz w:val="18"/>
          <w:szCs w:val="18"/>
          <w:color w:val="auto"/>
        </w:rPr>
        <w:t>, to our Notes to Consolidated Financial Statements in Part IV, Item 15 of this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for income taxes requires significant judgments in the development of estimates used in income tax calculations. Such judgments include, but are not limited to, the likelihood we would realize the benefits of net operating loss carryforwards and/or foreign tax credit carryforwards, the adequacy of valuation allowances, and the rates used to measure transactions with foreign subsidiaries. As part of the process of preparing our consolidated financial statements, we are required to estimate our income taxes in each of the jurisdictions in which we operate. The judgments and estimates used are subject to challenge by domestic and foreign taxing authorities.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part of our process of determining current tax liability, we exercise judgment in evaluating positions we have taken in our tax returns. We periodically assess our tax exposures and establish, or adjust, estimated unrecognized benefits for probable assessments by taxing authorities, including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Internal Revenue Service, and various foreign and state authorities. Such unrecognized tax benefits represent the estimated provision for income taxes expected to ultimately be paid. It is possible that either domestic or foreign taxing authorities could challenge those judgments or positions and draw conclusions that would cause us to incur tax liabilities in excess of, or realize benefits less than, those currently recorded. In addition, changes in the geographical mix or estimated amount of annual pretax income could impact our overall effective tax rate.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recovery of deferred tax assets is not more likely than not, we record a valuation allowance to reduce our deferred tax assets to the amount that is more likely than not to be realized. Although we have considered future taxable income along with prudent and feasible tax planning strategies in assessing the need for a valuation allowance, if we should determine that we would not be able to realize all or part of our deferred tax assets in the future, an adjustment to deferred tax assets would be charged to income in the period any such determination was made. Likewise, in the event we are able to realize our deferred tax assets in the future in excess of the net recorded amount, an adjustment to deferred tax assets would increase income in the period any such determination was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Recently Adopted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related to recent accounting pronouncements and the impact of these pronouncements on our consolidated financial statements, see Note 1, </w:t>
      </w:r>
      <w:r>
        <w:rPr>
          <w:rFonts w:ascii="Times New Roman" w:cs="Times New Roman" w:eastAsia="Times New Roman" w:hAnsi="Times New Roman"/>
          <w:sz w:val="18"/>
          <w:szCs w:val="18"/>
          <w:i w:val="1"/>
          <w:iCs w:val="1"/>
          <w:color w:val="auto"/>
        </w:rPr>
        <w:t>Nature of Business and Summary of Significant Accounting Policies</w:t>
      </w:r>
      <w:r>
        <w:rPr>
          <w:rFonts w:ascii="Times New Roman" w:cs="Times New Roman" w:eastAsia="Times New Roman" w:hAnsi="Times New Roman"/>
          <w:sz w:val="18"/>
          <w:szCs w:val="18"/>
          <w:color w:val="auto"/>
        </w:rPr>
        <w:t>, to our Notes to Consolidated Financial Statements in Part IV, Item 15 of this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Excluding the impact of changes in interest rates, inflationary pressures, and the uncertainty in the global financial markets, there have been no material changes to our market risk for the year ended December 31, 2024.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At times, we enter into revenue contracts that are denominated in the country’s local currency, primarily in Australia, Canada, the United Kingdom, other European countries, Brazil, India, and Singapore. This practice serves as a natural hedge to finance the local currency expenses incurred in those locations. We have not entered into any foreign currency hedging transactions. We do not purchase or hold any derivative financial instruments for speculation or arbitrage.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objective of our cash investment policy is to preserve principal without significantly increasing risk. If we maintained similar cash investments for a period of one year based on our cash investments and interest rates at December 31, 2024, a hypothetical ten percent increase or decrease in effective interest rates would increase or decrease interest income by $0.3 million annually.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approximately $0.9 billion of debt outstanding at December 31, 2024, with $532.5 million outstanding under our Credit Facility and $400.0 million in 2026 Notes. Our Credit Facility has a floating rate, which was 6.21% at December 31, 2024. Our 2026 Notes are fixed-rate long-term debt obligations with a 5.750% interest rate. A hypothetical ten percent increase or decrease in effective interest rates would increase or decrease interest expense related to the Credit Facility by approximately $3.3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consolidated financial statements and notes thereto are included in this annual report and are listed in Part IV, Item 15.</w:t>
      </w:r>
    </w:p>
    <w:p>
      <w:pPr>
        <w:spacing w:after="0" w:line="181" w:lineRule="exact"/>
        <w:rPr>
          <w:sz w:val="20"/>
          <w:szCs w:val="20"/>
          <w:color w:val="auto"/>
        </w:rPr>
      </w:pPr>
    </w:p>
    <w:p>
      <w:pPr>
        <w:ind w:right="1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Chief Executive Officer and Chief Financial Officer, performed an evaluation of the effectiveness of our disclosure controls and procedures (as defined in Rules 13a-15(e) and 15d-15(e) under the Securities Exchange Act of 1934 (the “Exchange Act”)) as of the end of the period covered by this report, December 31,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our evaluation of disclosure controls and procedures, we have concluded that our disclosure controls and procedures are effective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our consolidated financial statements for external purposes in accordance with U.S. GAAP. Under the supervision of, and with the participation of our Chief Executive Officer and Chief Financial Officer, management assessed the effectiveness of internal control over financial reporting as of December 31,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based its assessment on criteria established in “Internal Control Integrated Framework (2013)” issued by the Committee of Sponsoring Organizations of the Treadway Commission. Based on this evaluation, management concluded that our internal control over financial reporting was effective as of December 31, 2024.</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Deloitte &amp; Touche, LLP, an independent registered public accounting firm, and Deloitte &amp; Touche, LLP has issued an attestation report on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under the Exchange Act)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0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ACI Worldwide,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ACI Worldwide,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pacing w:after="0" w:line="12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three months ended December 31, 2024.</w:t>
      </w:r>
    </w:p>
    <w:p>
      <w:pPr>
        <w:spacing w:after="0" w:line="1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heading “Executive Officers of the Registrant” in Part 1, Item 1 of this Form 10-K is incorporated herein by reference.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information required by this Item 10 is incorporated by reference from our Proxy Statement for the Annual Meeting of Stockholders to be held on or about June 3, 2025 (the “2025 Proxy Statement“), under the sections entitled “Proposal 1 – Election of Directors,” “Information Regarding Security Ownership – Section 16(a) Beneficial Ownership Reporting Compliance,” "Corporate Governance – Code of Business Conduct and Ethics,” and “Corporate Governance – Board Committees.”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included in the sections entitled “Director Compensation,” “Compensation Discussion and Analysis,” “Compensation Committee Report,” “Executive Compensation,” and “Compensation Committee Interlocks and Insider Participation” in our 2025 Proxy Statement is incorporated herein by reference.</w:t>
      </w:r>
    </w:p>
    <w:p>
      <w:pPr>
        <w:spacing w:after="0" w:line="14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included in the sections entitled “Information Regarding Security Ownership” in our 2025 Proxy Statement is incorporated herein by reference.</w:t>
      </w:r>
    </w:p>
    <w:p>
      <w:pPr>
        <w:spacing w:after="0" w:line="200" w:lineRule="exact"/>
        <w:rPr>
          <w:sz w:val="20"/>
          <w:szCs w:val="20"/>
          <w:color w:val="auto"/>
        </w:rPr>
      </w:pPr>
    </w:p>
    <w:p>
      <w:pPr>
        <w:spacing w:after="0" w:line="250" w:lineRule="exact"/>
        <w:rPr>
          <w:sz w:val="20"/>
          <w:szCs w:val="20"/>
          <w:color w:val="auto"/>
        </w:rPr>
      </w:pPr>
    </w:p>
    <w:p>
      <w:pPr>
        <w:ind w:right="360"/>
        <w:spacing w:after="0" w:line="414" w:lineRule="auto"/>
        <w:rPr>
          <w:sz w:val="20"/>
          <w:szCs w:val="20"/>
          <w:color w:val="auto"/>
        </w:rPr>
      </w:pPr>
      <w:r>
        <w:rPr>
          <w:rFonts w:ascii="Times New Roman" w:cs="Times New Roman" w:eastAsia="Times New Roman" w:hAnsi="Times New Roman"/>
          <w:sz w:val="18"/>
          <w:szCs w:val="18"/>
          <w:color w:val="auto"/>
        </w:rPr>
        <w:t xml:space="preserve">Information included in the section entitled “Equity Compensation Plan Information” in our 2025 Proxy Statement is incorporated herein by reference. </w:t>
      </w: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included in the section entitled “Certain Relationships and Related Transactions” in our 2025 Proxy Statement is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included in the sections entitled “Director Independence” and “Board Committees and Committee Meetings” in the “Corporate Governance” section of our 2025 Proxy Statement is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included in the sections entitled “Independent Registered Public Accounting Firm Fees” and “Pre-Approval of Audit and Non-Audit Services” under “Proposal 2 – Ratification of Appointment of the Company’s Independent Registered Public Accounting Firm” in our 2025 Proxy Statement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filed as part of this annual report on Form 10-K:</w:t>
      </w:r>
    </w:p>
    <w:p>
      <w:pPr>
        <w:spacing w:after="0" w:line="252"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The following index lists consolidated financial statements and notes thereto filed as part of this annual report on Form 10-K:</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10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Deloitte &amp; Touche LLP </w:t>
            </w:r>
            <w:r>
              <w:rPr>
                <w:rFonts w:ascii="Times New Roman" w:cs="Times New Roman" w:eastAsia="Times New Roman" w:hAnsi="Times New Roman"/>
                <w:sz w:val="18"/>
                <w:szCs w:val="18"/>
                <w:color w:val="0E32E1"/>
              </w:rPr>
              <w:t>(PCAOB ID No. 34)</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49</w:t>
            </w:r>
          </w:p>
        </w:tc>
      </w:tr>
      <w:tr>
        <w:trPr>
          <w:trHeight w:val="250"/>
        </w:trPr>
        <w:tc>
          <w:tcPr>
            <w:tcW w:w="4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14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tcBorders>
              <w:top w:val="single" w:sz="8" w:color="0E32E1"/>
            </w:tcBorders>
          </w:tcPr>
          <w:p>
            <w:pPr>
              <w:spacing w:after="0"/>
              <w:rPr>
                <w:sz w:val="21"/>
                <w:szCs w:val="21"/>
                <w:color w:val="auto"/>
              </w:rPr>
            </w:pPr>
          </w:p>
        </w:tc>
        <w:tc>
          <w:tcPr>
            <w:tcW w:w="278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50"/>
        </w:trPr>
        <w:tc>
          <w:tcPr>
            <w:tcW w:w="7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each of the three years in the period ended December 31, 2024</w:t>
            </w:r>
          </w:p>
        </w:tc>
        <w:tc>
          <w:tcPr>
            <w:tcW w:w="2740" w:type="dxa"/>
            <w:vAlign w:val="bottom"/>
            <w:gridSpan w:val="4"/>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50"/>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each of the three years in the period ended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50"/>
        </w:trPr>
        <w:tc>
          <w:tcPr>
            <w:tcW w:w="8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each of the three years in the period ended December 31, 2024</w:t>
            </w:r>
          </w:p>
        </w:tc>
        <w:tc>
          <w:tcPr>
            <w:tcW w:w="180" w:type="dxa"/>
            <w:vAlign w:val="bottom"/>
            <w:tcBorders>
              <w:top w:val="single" w:sz="8" w:color="0000FF"/>
            </w:tcBorders>
          </w:tcPr>
          <w:p>
            <w:pPr>
              <w:spacing w:after="0"/>
              <w:rPr>
                <w:sz w:val="21"/>
                <w:szCs w:val="21"/>
                <w:color w:val="auto"/>
              </w:rPr>
            </w:pPr>
          </w:p>
        </w:tc>
        <w:tc>
          <w:tcPr>
            <w:tcW w:w="18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50"/>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50"/>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560" w:type="dxa"/>
            <w:vAlign w:val="bottom"/>
            <w:tcBorders>
              <w:top w:val="single" w:sz="8" w:color="0000FF"/>
            </w:tcBorders>
            <w:gridSpan w:val="6"/>
          </w:tcPr>
          <w:p>
            <w:pPr>
              <w:spacing w:after="0"/>
              <w:rPr>
                <w:sz w:val="21"/>
                <w:szCs w:val="21"/>
                <w:color w:val="auto"/>
              </w:rPr>
            </w:pPr>
          </w:p>
        </w:tc>
        <w:tc>
          <w:tcPr>
            <w:tcW w:w="270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-1036320</wp:posOffset>
            </wp:positionV>
            <wp:extent cx="28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9" w:lineRule="exact"/>
        <w:rPr>
          <w:sz w:val="20"/>
          <w:szCs w:val="20"/>
          <w:color w:val="auto"/>
        </w:rPr>
      </w:pPr>
    </w:p>
    <w:p>
      <w:pPr>
        <w:ind w:firstLine="8"/>
        <w:spacing w:after="0" w:line="286" w:lineRule="auto"/>
        <w:tabs>
          <w:tab w:leader="none" w:pos="28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All schedules have been omitted because they are not applicable or the required information is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or notes thereto.</w:t>
      </w:r>
    </w:p>
    <w:p>
      <w:pPr>
        <w:spacing w:after="0" w:line="181"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A list of exhibits filed or furnished with this report on Form 10-K (or incorporated by reference to exhibits previously filed by ACI)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accompanying Exhibit Index.</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ACI Worldwide,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ACI Worldwide, Inc. and subsidiaries (the “Company”) as of December 31, 2024 and 2023, the related consolidated statements of operations, comprehensive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Software License Arrangements - Refer to Note 2 to the financial statements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products and/or services to customers in an amount that reflects the consideration the Company expects to be entitled to in exchange for those products or services. The Company’s software license arrangements provide the customer with the right to use functional intellectual property (as it exists at the point in time at which the license is granted) for the duration of the contract term. Implementation, support, and other services are typically considered distinct performance obligations when sold with a software license.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 is exercised by the Company in determining revenue recognition for these customer arrangements, and includes the following:</w:t>
      </w:r>
    </w:p>
    <w:p>
      <w:pPr>
        <w:spacing w:after="0" w:line="117"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term of a software license arrangement when early termination rights are provided to the customer.</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products and/or services are considered distinct performance obligations that should be accounted for separately.</w:t>
      </w:r>
    </w:p>
    <w:p>
      <w:pPr>
        <w:spacing w:after="0" w:line="117"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financing component in a software licensing arrangement is significant and, if so, the discount rate used in calculating the significant financing component.</w:t>
      </w:r>
    </w:p>
    <w:p>
      <w:pPr>
        <w:spacing w:after="0" w:line="53"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the extension of payment terms in a software licensing arrangement results in variable consideration and, if so, the amount to be included in the transaction price.</w:t>
      </w:r>
    </w:p>
    <w:p>
      <w:pPr>
        <w:spacing w:after="0" w:line="53"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standalone selling price for each performance obligation, the amount allocated to each performance obligation and whether it depicts the amount that the Company expects to be entitled to in exchange for the related product and/or service. As the selling prices of the Company’s software licenses are highly variable, the Company estimates standalone selling price of its software licenses using the residual approach when the software license is sold with other services and observable standalone selling prices exist for the other services.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Given these factors, the related audit effort in evaluating management’s judgments in determining revenue recognition for software license arrangements was extensive and required a high degree of auditor judgment.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software license arrangements included the following, among others:</w:t>
      </w:r>
    </w:p>
    <w:p>
      <w:pPr>
        <w:spacing w:after="0" w:line="117" w:lineRule="exact"/>
        <w:rPr>
          <w:sz w:val="20"/>
          <w:szCs w:val="20"/>
          <w:color w:val="auto"/>
        </w:rPr>
      </w:pPr>
    </w:p>
    <w:p>
      <w:pPr>
        <w:jc w:val="both"/>
        <w:ind w:left="420" w:hanging="412"/>
        <w:spacing w:after="0" w:line="266" w:lineRule="auto"/>
        <w:tabs>
          <w:tab w:leader="none" w:pos="4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review of software license arrangements, including, among others, the determination of the contract term, identification of performance obligations, determination of significant financing component, estimation of variable consideration, and determination of standalone selling prices, including those controls over the determination that software license pricing is highly variable.</w:t>
      </w:r>
    </w:p>
    <w:p>
      <w:pPr>
        <w:spacing w:after="0" w:line="6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software license arrangements and performed the following, among others:</w:t>
      </w:r>
    </w:p>
    <w:p>
      <w:pPr>
        <w:spacing w:after="0" w:line="117" w:lineRule="exact"/>
        <w:rPr>
          <w:rFonts w:ascii="Times New Roman" w:cs="Times New Roman" w:eastAsia="Times New Roman" w:hAnsi="Times New Roman"/>
          <w:sz w:val="18"/>
          <w:szCs w:val="18"/>
          <w:color w:val="auto"/>
        </w:rPr>
      </w:pPr>
    </w:p>
    <w:p>
      <w:pPr>
        <w:ind w:left="860" w:right="20" w:hanging="407"/>
        <w:spacing w:after="0" w:line="282" w:lineRule="auto"/>
        <w:tabs>
          <w:tab w:leader="none" w:pos="8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contract source documents for each selection, including separate contracts or agreements that should be combined with the selected arrangement, and other documents that were part of the arrangement.</w:t>
      </w:r>
    </w:p>
    <w:p>
      <w:pPr>
        <w:spacing w:after="0" w:line="53" w:lineRule="exact"/>
        <w:rPr>
          <w:rFonts w:ascii="Times New Roman" w:cs="Times New Roman" w:eastAsia="Times New Roman" w:hAnsi="Times New Roman"/>
          <w:sz w:val="18"/>
          <w:szCs w:val="18"/>
          <w:color w:val="auto"/>
        </w:rPr>
      </w:pPr>
    </w:p>
    <w:p>
      <w:pPr>
        <w:ind w:left="860" w:hanging="407"/>
        <w:spacing w:after="0" w:line="282" w:lineRule="auto"/>
        <w:tabs>
          <w:tab w:leader="none" w:pos="8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determination of the contract term, identification of performance obligations, determination of significant financing component, estimation of variable consideration, and determination of standalone selling prices.</w:t>
      </w:r>
    </w:p>
    <w:p>
      <w:pPr>
        <w:spacing w:after="0" w:line="53" w:lineRule="exact"/>
        <w:rPr>
          <w:rFonts w:ascii="Times New Roman" w:cs="Times New Roman" w:eastAsia="Times New Roman" w:hAnsi="Times New Roman"/>
          <w:sz w:val="18"/>
          <w:szCs w:val="18"/>
          <w:color w:val="auto"/>
        </w:rPr>
      </w:pPr>
    </w:p>
    <w:p>
      <w:pPr>
        <w:ind w:left="860" w:hanging="407"/>
        <w:spacing w:after="0" w:line="282" w:lineRule="auto"/>
        <w:tabs>
          <w:tab w:leader="none" w:pos="8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the methodology and estimates used by management and the appropriateness of its revenue recognition conclusions for these key judgment areas.</w:t>
      </w:r>
    </w:p>
    <w:p>
      <w:pPr>
        <w:spacing w:after="0" w:line="53" w:lineRule="exact"/>
        <w:rPr>
          <w:rFonts w:ascii="Times New Roman" w:cs="Times New Roman" w:eastAsia="Times New Roman" w:hAnsi="Times New Roman"/>
          <w:sz w:val="18"/>
          <w:szCs w:val="18"/>
          <w:color w:val="auto"/>
        </w:rPr>
      </w:pPr>
    </w:p>
    <w:p>
      <w:pPr>
        <w:ind w:left="860" w:hanging="407"/>
        <w:spacing w:after="0" w:line="282" w:lineRule="auto"/>
        <w:tabs>
          <w:tab w:leader="none" w:pos="8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calculations of revenue and the associated timing of revenue recognized in the financial statements.</w:t>
      </w:r>
    </w:p>
    <w:p>
      <w:pPr>
        <w:spacing w:after="0" w:line="53"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determination that software license pricing is highly variable by obtaining management’s highly variable analysis and performing the following:</w:t>
      </w:r>
    </w:p>
    <w:p>
      <w:pPr>
        <w:spacing w:after="0" w:line="53" w:lineRule="exact"/>
        <w:rPr>
          <w:rFonts w:ascii="Times New Roman" w:cs="Times New Roman" w:eastAsia="Times New Roman" w:hAnsi="Times New Roman"/>
          <w:sz w:val="18"/>
          <w:szCs w:val="18"/>
          <w:color w:val="auto"/>
        </w:rPr>
      </w:pPr>
    </w:p>
    <w:p>
      <w:pPr>
        <w:ind w:left="860" w:hanging="407"/>
        <w:spacing w:after="0"/>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of management’s analysis by tracing a selection of known data points from contracts into the highly variable analysis.</w:t>
      </w:r>
    </w:p>
    <w:p>
      <w:pPr>
        <w:spacing w:after="0" w:line="117" w:lineRule="exact"/>
        <w:rPr>
          <w:rFonts w:ascii="Times New Roman" w:cs="Times New Roman" w:eastAsia="Times New Roman" w:hAnsi="Times New Roman"/>
          <w:sz w:val="18"/>
          <w:szCs w:val="18"/>
          <w:color w:val="auto"/>
        </w:rPr>
      </w:pPr>
    </w:p>
    <w:p>
      <w:pPr>
        <w:ind w:left="860" w:hanging="407"/>
        <w:spacing w:after="0" w:line="282" w:lineRule="auto"/>
        <w:tabs>
          <w:tab w:leader="none" w:pos="8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accuracy of management’s analysis by selecting a sample of contracts from the highly variable analysis, obtaining the contract and price detail, and evaluating whether discounts were appropriately included in the analysis.</w:t>
      </w:r>
    </w:p>
    <w:p>
      <w:pPr>
        <w:spacing w:after="0" w:line="53" w:lineRule="exact"/>
        <w:rPr>
          <w:rFonts w:ascii="Times New Roman" w:cs="Times New Roman" w:eastAsia="Times New Roman" w:hAnsi="Times New Roman"/>
          <w:sz w:val="18"/>
          <w:szCs w:val="18"/>
          <w:color w:val="auto"/>
        </w:rPr>
      </w:pPr>
    </w:p>
    <w:p>
      <w:pPr>
        <w:ind w:left="860" w:hanging="407"/>
        <w:spacing w:after="0"/>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management’s calculation.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2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19685</wp:posOffset>
            </wp:positionV>
            <wp:extent cx="1748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6" w:lineRule="exact"/>
        <w:rPr>
          <w:sz w:val="20"/>
          <w:szCs w:val="20"/>
          <w:color w:val="auto"/>
        </w:rPr>
      </w:pPr>
    </w:p>
    <w:p>
      <w:pPr>
        <w:jc w:val="both"/>
        <w:ind w:left="8920"/>
        <w:spacing w:after="0"/>
        <w:tabs>
          <w:tab w:leader="none" w:pos="103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17" w:right="379" w:bottom="960" w:gutter="0" w:footer="0" w:header="0"/>
        </w:sectPr>
      </w:pP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480" w:right="2500"/>
        <w:spacing w:after="0" w:line="297" w:lineRule="auto"/>
        <w:rPr>
          <w:sz w:val="20"/>
          <w:szCs w:val="20"/>
          <w:color w:val="auto"/>
        </w:rPr>
      </w:pPr>
      <w:r>
        <w:rPr>
          <w:rFonts w:ascii="Times New Roman" w:cs="Times New Roman" w:eastAsia="Times New Roman" w:hAnsi="Times New Roman"/>
          <w:sz w:val="18"/>
          <w:szCs w:val="18"/>
          <w:color w:val="auto"/>
        </w:rPr>
        <w:t>Receivables, net of allowances of $1,758 and $4,295, respectively 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062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164,239</w:t>
            </w:r>
          </w:p>
        </w:tc>
      </w:tr>
      <w:tr>
        <w:trPr>
          <w:trHeight w:val="234"/>
        </w:trPr>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452,337</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723,039</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31,479</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35,551</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990,822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1,406,645</w:t>
            </w:r>
          </w:p>
        </w:tc>
      </w:tr>
    </w:tbl>
    <w:p>
      <w:pPr>
        <w:spacing w:after="0" w:line="265" w:lineRule="exact"/>
        <w:rPr>
          <w:sz w:val="20"/>
          <w:szCs w:val="20"/>
          <w:color w:val="auto"/>
        </w:rPr>
      </w:pPr>
    </w:p>
    <w:p>
      <w:pPr>
        <w:sectPr>
          <w:pgSz w:w="11900" w:h="16838" w:orient="portrait"/>
          <w:cols w:equalWidth="0" w:num="2">
            <w:col w:w="7720" w:space="720"/>
            <w:col w:w="2760"/>
          </w:cols>
          <w:pgMar w:left="320" w:top="117" w:right="379" w:bottom="96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receivables, net</w:t>
            </w:r>
          </w:p>
        </w:tc>
        <w:tc>
          <w:tcPr>
            <w:tcW w:w="2360" w:type="dxa"/>
            <w:vAlign w:val="bottom"/>
          </w:tcPr>
          <w:p>
            <w:pPr>
              <w:spacing w:after="0"/>
              <w:rPr>
                <w:sz w:val="20"/>
                <w:szCs w:val="20"/>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Software, net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360" w:type="dxa"/>
            <w:vAlign w:val="bottom"/>
          </w:tcPr>
          <w:p>
            <w:pPr>
              <w:spacing w:after="0"/>
              <w:rPr>
                <w:sz w:val="23"/>
                <w:szCs w:val="23"/>
                <w:color w:val="auto"/>
              </w:rPr>
            </w:pPr>
          </w:p>
        </w:tc>
      </w:tr>
      <w:tr>
        <w:trPr>
          <w:trHeight w:val="270"/>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360" w:type="dxa"/>
            <w:vAlign w:val="bottom"/>
          </w:tcPr>
          <w:p>
            <w:pPr>
              <w:spacing w:after="0"/>
              <w:rPr>
                <w:sz w:val="23"/>
                <w:szCs w:val="23"/>
                <w:color w:val="auto"/>
              </w:rPr>
            </w:pPr>
          </w:p>
        </w:tc>
      </w:tr>
      <w:tr>
        <w:trPr>
          <w:trHeight w:val="25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360" w:type="dxa"/>
            <w:vAlign w:val="bottom"/>
          </w:tcPr>
          <w:p>
            <w:pPr>
              <w:spacing w:after="0"/>
              <w:rPr>
                <w:sz w:val="22"/>
                <w:szCs w:val="22"/>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Settlement liabilities</w:t>
            </w:r>
          </w:p>
        </w:tc>
        <w:tc>
          <w:tcPr>
            <w:tcW w:w="2360" w:type="dxa"/>
            <w:vAlign w:val="bottom"/>
          </w:tcPr>
          <w:p>
            <w:pPr>
              <w:spacing w:after="0"/>
              <w:rPr>
                <w:sz w:val="21"/>
                <w:szCs w:val="21"/>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Employee compensation</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60" w:type="dxa"/>
            <w:vAlign w:val="bottom"/>
          </w:tcPr>
          <w:p>
            <w:pPr>
              <w:spacing w:after="0"/>
              <w:rPr>
                <w:sz w:val="23"/>
                <w:szCs w:val="23"/>
                <w:color w:val="auto"/>
              </w:rPr>
            </w:pPr>
          </w:p>
        </w:tc>
      </w:tr>
      <w:tr>
        <w:trPr>
          <w:trHeight w:val="270"/>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360" w:type="dxa"/>
            <w:vAlign w:val="bottom"/>
          </w:tcPr>
          <w:p>
            <w:pPr>
              <w:spacing w:after="0"/>
              <w:rPr>
                <w:sz w:val="23"/>
                <w:szCs w:val="23"/>
                <w:color w:val="auto"/>
              </w:rPr>
            </w:pPr>
          </w:p>
        </w:tc>
      </w:tr>
      <w:tr>
        <w:trPr>
          <w:trHeight w:val="257"/>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360" w:type="dxa"/>
            <w:vAlign w:val="bottom"/>
          </w:tcPr>
          <w:p>
            <w:pPr>
              <w:spacing w:after="0"/>
              <w:rPr>
                <w:sz w:val="22"/>
                <w:szCs w:val="22"/>
                <w:color w:val="auto"/>
              </w:rPr>
            </w:pPr>
          </w:p>
        </w:tc>
      </w:tr>
      <w:tr>
        <w:trPr>
          <w:trHeight w:val="243"/>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tcPr>
          <w:p>
            <w:pPr>
              <w:spacing w:after="0"/>
              <w:rPr>
                <w:sz w:val="21"/>
                <w:szCs w:val="21"/>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360" w:type="dxa"/>
            <w:vAlign w:val="bottom"/>
          </w:tcPr>
          <w:p>
            <w:pPr>
              <w:spacing w:after="0"/>
              <w:rPr>
                <w:sz w:val="23"/>
                <w:szCs w:val="23"/>
                <w:color w:val="auto"/>
              </w:rPr>
            </w:pPr>
          </w:p>
        </w:tc>
      </w:tr>
      <w:tr>
        <w:trPr>
          <w:trHeight w:val="270"/>
        </w:trPr>
        <w:tc>
          <w:tcPr>
            <w:tcW w:w="6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360" w:type="dxa"/>
            <w:vAlign w:val="bottom"/>
          </w:tcPr>
          <w:p>
            <w:pPr>
              <w:spacing w:after="0"/>
              <w:rPr>
                <w:sz w:val="23"/>
                <w:szCs w:val="23"/>
                <w:color w:val="auto"/>
              </w:rPr>
            </w:pPr>
          </w:p>
        </w:tc>
      </w:tr>
      <w:tr>
        <w:trPr>
          <w:trHeight w:val="270"/>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60" w:type="dxa"/>
            <w:vAlign w:val="bottom"/>
          </w:tcPr>
          <w:p>
            <w:pPr>
              <w:spacing w:after="0"/>
              <w:rPr>
                <w:sz w:val="23"/>
                <w:szCs w:val="23"/>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3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-4217035</wp:posOffset>
            </wp:positionV>
            <wp:extent cx="710628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0628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10628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0628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-2528570</wp:posOffset>
            </wp:positionV>
            <wp:extent cx="710628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-2185670</wp:posOffset>
            </wp:positionV>
            <wp:extent cx="710628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710628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062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0628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0628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0628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0628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-2845435</wp:posOffset>
            </wp:positionV>
            <wp:extent cx="710628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11" w:lineRule="exact"/>
        <w:rPr>
          <w:sz w:val="20"/>
          <w:szCs w:val="20"/>
          <w:color w:val="auto"/>
        </w:rPr>
      </w:pPr>
    </w:p>
    <w:p>
      <w:pPr>
        <w:ind w:left="460" w:right="480"/>
        <w:spacing w:after="0" w:line="234" w:lineRule="auto"/>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at December 31, 2024 and 2023</w:t>
      </w:r>
    </w:p>
    <w:p>
      <w:pPr>
        <w:spacing w:after="0" w:line="10" w:lineRule="exact"/>
        <w:rPr>
          <w:sz w:val="20"/>
          <w:szCs w:val="20"/>
          <w:color w:val="auto"/>
        </w:rPr>
      </w:pPr>
    </w:p>
    <w:p>
      <w:pPr>
        <w:ind w:left="460" w:right="200"/>
        <w:spacing w:after="0" w:line="237" w:lineRule="auto"/>
        <w:rPr>
          <w:sz w:val="20"/>
          <w:szCs w:val="20"/>
          <w:color w:val="auto"/>
        </w:rPr>
      </w:pPr>
      <w:r>
        <w:rPr>
          <w:rFonts w:ascii="Times New Roman" w:cs="Times New Roman" w:eastAsia="Times New Roman" w:hAnsi="Times New Roman"/>
          <w:sz w:val="18"/>
          <w:szCs w:val="18"/>
          <w:color w:val="auto"/>
        </w:rPr>
        <w:t>Common stock; $0.005 par value; 280,000,000 shares authorized; 140,525,055 shares issued at December 31, 2024 and 2023</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60" w:right="640"/>
        <w:spacing w:after="0" w:line="268" w:lineRule="auto"/>
        <w:rPr>
          <w:sz w:val="20"/>
          <w:szCs w:val="20"/>
          <w:color w:val="auto"/>
        </w:rPr>
      </w:pPr>
      <w:r>
        <w:rPr>
          <w:rFonts w:ascii="Times New Roman" w:cs="Times New Roman" w:eastAsia="Times New Roman" w:hAnsi="Times New Roman"/>
          <w:sz w:val="18"/>
          <w:szCs w:val="18"/>
          <w:color w:val="auto"/>
        </w:rPr>
        <w:t>Treasury stock, at cost, 35,270,142 and 32,447,317 shares at December 31, 2024 and 2023, respectively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628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63" w:lineRule="exact"/>
        <w:rPr>
          <w:sz w:val="20"/>
          <w:szCs w:val="20"/>
          <w:color w:val="auto"/>
        </w:rPr>
      </w:pPr>
    </w:p>
    <w:p>
      <w:pPr>
        <w:ind w:left="880"/>
        <w:spacing w:after="0"/>
        <w:tabs>
          <w:tab w:leader="none" w:pos="8440" w:val="left"/>
        </w:tabs>
        <w:rPr>
          <w:sz w:val="20"/>
          <w:szCs w:val="20"/>
          <w:color w:val="auto"/>
        </w:rPr>
      </w:pPr>
      <w:r>
        <w:rPr>
          <w:rFonts w:ascii="Times New Roman" w:cs="Times New Roman" w:eastAsia="Times New Roman" w:hAnsi="Times New Roman"/>
          <w:sz w:val="18"/>
          <w:szCs w:val="18"/>
          <w:b w:val="1"/>
          <w:bCs w:val="1"/>
          <w:color w:val="auto"/>
        </w:rPr>
        <w:t>TOTAL LIABILITIES AND STOCKHOLDERS’ EQUITY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360,079</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313,983</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35,069</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37,856</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28,864</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34,338</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92,893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108,418</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1,226,026</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1,226,026</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165,377</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195,646</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72,713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58,499</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53,450</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63,328</w:t>
            </w:r>
          </w:p>
        </w:tc>
      </w:tr>
      <w:tr>
        <w:trPr>
          <w:trHeight w:val="223"/>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3,025,293</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3,444,739</w:t>
            </w: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36"/>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45,422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45,964</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317,484</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721,164</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55,567</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34,928</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74,405</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75,419</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73,808</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82,244</w:t>
            </w:r>
          </w:p>
        </w:tc>
      </w:tr>
      <w:tr>
        <w:trPr>
          <w:trHeight w:val="25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602,628</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1,037,249</w:t>
            </w:r>
          </w:p>
        </w:tc>
      </w:tr>
      <w:tr>
        <w:trPr>
          <w:trHeight w:val="48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19,304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889,649</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963,599</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39,920</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22,592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29,074</w:t>
            </w:r>
          </w:p>
        </w:tc>
      </w:tr>
      <w:tr>
        <w:trPr>
          <w:trHeight w:val="27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26,873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w:t>
            </w:r>
          </w:p>
        </w:tc>
      </w:tr>
      <w:tr>
        <w:trPr>
          <w:trHeight w:val="25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1,600,966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-179705</wp:posOffset>
            </wp:positionV>
            <wp:extent cx="8401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-1182370</wp:posOffset>
            </wp:positionV>
            <wp:extent cx="8401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-2716530</wp:posOffset>
            </wp:positionV>
            <wp:extent cx="8401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-2871470</wp:posOffset>
            </wp:positionV>
            <wp:extent cx="8401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880" w:hanging="1433"/>
        <w:spacing w:after="0"/>
        <w:tabs>
          <w:tab w:leader="none" w:pos="1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w:t>
      </w:r>
    </w:p>
    <w:p>
      <w:pPr>
        <w:spacing w:after="0" w:line="2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731,927</w:t>
      </w:r>
      <w:r>
        <w:rPr>
          <w:rFonts w:ascii="Times New Roman" w:cs="Times New Roman" w:eastAsia="Times New Roman" w:hAnsi="Times New Roman"/>
          <w:sz w:val="17"/>
          <w:szCs w:val="17"/>
          <w:color w:val="auto"/>
        </w:rPr>
        <w:t>712,994</w:t>
      </w:r>
    </w:p>
    <w:p>
      <w:pPr>
        <w:spacing w:after="0" w:line="2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1,598,085</w:t>
      </w:r>
      <w:r>
        <w:rPr>
          <w:sz w:val="20"/>
          <w:szCs w:val="20"/>
          <w:color w:val="auto"/>
        </w:rPr>
        <w:tab/>
      </w:r>
      <w:r>
        <w:rPr>
          <w:rFonts w:ascii="Times New Roman" w:cs="Times New Roman" w:eastAsia="Times New Roman" w:hAnsi="Times New Roman"/>
          <w:sz w:val="18"/>
          <w:szCs w:val="18"/>
          <w:color w:val="auto"/>
        </w:rPr>
        <w:t>1,394,967</w:t>
      </w:r>
    </w:p>
    <w:p>
      <w:pPr>
        <w:spacing w:after="0" w:line="23"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18"/>
          <w:szCs w:val="18"/>
          <w:color w:val="auto"/>
        </w:rPr>
        <w:t>(784,914)</w:t>
      </w:r>
      <w:r>
        <w:rPr>
          <w:sz w:val="20"/>
          <w:szCs w:val="20"/>
          <w:color w:val="auto"/>
        </w:rPr>
        <w:tab/>
      </w:r>
      <w:r>
        <w:rPr>
          <w:rFonts w:ascii="Times New Roman" w:cs="Times New Roman" w:eastAsia="Times New Roman" w:hAnsi="Times New Roman"/>
          <w:sz w:val="18"/>
          <w:szCs w:val="18"/>
          <w:color w:val="auto"/>
        </w:rPr>
        <w:t>(674,896)</w:t>
      </w:r>
    </w:p>
    <w:p>
      <w:pPr>
        <w:spacing w:after="0" w:line="23"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18"/>
          <w:szCs w:val="18"/>
          <w:color w:val="auto"/>
        </w:rPr>
        <w:t>(121,473)</w:t>
      </w:r>
      <w:r>
        <w:rPr>
          <w:sz w:val="20"/>
          <w:szCs w:val="20"/>
          <w:color w:val="auto"/>
        </w:rPr>
        <w:tab/>
      </w:r>
      <w:r>
        <w:rPr>
          <w:rFonts w:ascii="Times New Roman" w:cs="Times New Roman" w:eastAsia="Times New Roman" w:hAnsi="Times New Roman"/>
          <w:sz w:val="18"/>
          <w:szCs w:val="18"/>
          <w:color w:val="auto"/>
        </w:rPr>
        <w:t>(109,470)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1,424,327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1,324,297</w:t>
            </w:r>
          </w:p>
        </w:tc>
      </w:tr>
      <w:tr>
        <w:trPr>
          <w:trHeight w:val="223"/>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3,025,293</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3,444,739</w:t>
            </w:r>
          </w:p>
        </w:tc>
      </w:tr>
      <w:tr>
        <w:trPr>
          <w:trHeight w:val="21"/>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-33655</wp:posOffset>
            </wp:positionV>
            <wp:extent cx="8401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-8255</wp:posOffset>
            </wp:positionV>
            <wp:extent cx="8401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-187960</wp:posOffset>
            </wp:positionV>
            <wp:extent cx="8401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420"/>
            <w:col w:w="2220"/>
          </w:cols>
          <w:pgMar w:left="320" w:top="117" w:right="379" w:bottom="96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00"/>
          </w:cols>
          <w:pgMar w:left="320" w:top="117" w:right="379" w:bottom="96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96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68"/>
        </w:trPr>
        <w:tc>
          <w:tcPr>
            <w:tcW w:w="136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478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080" w:type="dxa"/>
            <w:vAlign w:val="bottom"/>
            <w:gridSpan w:val="5"/>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23"/>
        </w:trPr>
        <w:tc>
          <w:tcPr>
            <w:tcW w:w="136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tc>
        <w:tc>
          <w:tcPr>
            <w:tcW w:w="3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897,979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849,147</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802,880</w:t>
            </w: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348,134</w:t>
            </w: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Maintenance</w:t>
            </w:r>
          </w:p>
        </w:tc>
        <w:tc>
          <w:tcPr>
            <w:tcW w:w="3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200,045</w:t>
            </w: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70,842</w:t>
            </w:r>
          </w:p>
        </w:tc>
      </w:tr>
      <w:tr>
        <w:trPr>
          <w:trHeight w:val="250"/>
        </w:trPr>
        <w:tc>
          <w:tcPr>
            <w:tcW w:w="36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1,594,288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1,452,579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1,421,901</w:t>
            </w:r>
          </w:p>
        </w:tc>
      </w:tr>
      <w:tr>
        <w:trPr>
          <w:trHeight w:val="23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revenue (1)</w:t>
            </w:r>
          </w:p>
        </w:tc>
        <w:tc>
          <w:tcPr>
            <w:tcW w:w="3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696,071</w:t>
            </w: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w:t>
            </w: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3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134,812</w:t>
            </w: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114,194</w:t>
            </w:r>
          </w:p>
        </w:tc>
      </w:tr>
      <w:tr>
        <w:trPr>
          <w:trHeight w:val="270"/>
        </w:trPr>
        <w:tc>
          <w:tcPr>
            <w:tcW w:w="3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122,373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126,678</w:t>
            </w:r>
          </w:p>
        </w:tc>
      </w:tr>
      <w:tr>
        <w:trPr>
          <w:trHeight w:val="250"/>
        </w:trPr>
        <w:tc>
          <w:tcPr>
            <w:tcW w:w="3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1,286,153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1,232,171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1,218,066</w:t>
            </w:r>
          </w:p>
        </w:tc>
      </w:tr>
      <w:tr>
        <w:trPr>
          <w:trHeight w:val="223"/>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203,835</w:t>
            </w:r>
          </w:p>
        </w:tc>
      </w:tr>
      <w:tr>
        <w:trPr>
          <w:trHeight w:val="23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(53,193)</w:t>
            </w: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r>
      <w:tr>
        <w:trPr>
          <w:trHeight w:val="270"/>
        </w:trPr>
        <w:tc>
          <w:tcPr>
            <w:tcW w:w="3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3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43,446</w:t>
            </w:r>
          </w:p>
        </w:tc>
      </w:tr>
      <w:tr>
        <w:trPr>
          <w:trHeight w:val="250"/>
        </w:trPr>
        <w:tc>
          <w:tcPr>
            <w:tcW w:w="3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3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206,635</w:t>
            </w:r>
          </w:p>
        </w:tc>
      </w:tr>
      <w:tr>
        <w:trPr>
          <w:trHeight w:val="23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64,458</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142,177</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36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Income per common share</w:t>
            </w:r>
          </w:p>
        </w:tc>
        <w:tc>
          <w:tcPr>
            <w:tcW w:w="3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60" w:type="dxa"/>
            <w:vAlign w:val="bottom"/>
            <w:gridSpan w:val="2"/>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113,700</w:t>
            </w:r>
          </w:p>
        </w:tc>
      </w:tr>
      <w:tr>
        <w:trPr>
          <w:trHeight w:val="270"/>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114,238</w:t>
            </w:r>
          </w:p>
        </w:tc>
      </w:tr>
    </w:tbl>
    <w:p>
      <w:pPr>
        <w:spacing w:after="0" w:line="306"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revenue excludes charges for depreciation and amortization.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68"/>
        </w:trPr>
        <w:tc>
          <w:tcPr>
            <w:tcW w:w="1360" w:type="dxa"/>
            <w:vAlign w:val="bottom"/>
            <w:tcBorders>
              <w:top w:val="single" w:sz="8" w:color="0000FF"/>
            </w:tcBorders>
          </w:tcPr>
          <w:p>
            <w:pPr>
              <w:spacing w:after="0"/>
              <w:rPr>
                <w:sz w:val="24"/>
                <w:szCs w:val="24"/>
                <w:color w:val="auto"/>
              </w:rPr>
            </w:pPr>
          </w:p>
        </w:tc>
        <w:tc>
          <w:tcPr>
            <w:tcW w:w="2280" w:type="dxa"/>
            <w:vAlign w:val="bottom"/>
          </w:tcPr>
          <w:p>
            <w:pPr>
              <w:spacing w:after="0"/>
              <w:rPr>
                <w:sz w:val="24"/>
                <w:szCs w:val="24"/>
                <w:color w:val="auto"/>
              </w:rPr>
            </w:pPr>
          </w:p>
        </w:tc>
        <w:tc>
          <w:tcPr>
            <w:tcW w:w="480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080" w:type="dxa"/>
            <w:vAlign w:val="bottom"/>
            <w:gridSpan w:val="5"/>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23"/>
        </w:trPr>
        <w:tc>
          <w:tcPr>
            <w:tcW w:w="136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203,118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142,177</w:t>
            </w: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(18,113)</w:t>
            </w:r>
          </w:p>
        </w:tc>
      </w:tr>
      <w:tr>
        <w:trPr>
          <w:trHeight w:val="223"/>
        </w:trPr>
        <w:tc>
          <w:tcPr>
            <w:tcW w:w="364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(18,113)</w:t>
            </w: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191,115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124,064</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80" w:type="dxa"/>
            <w:vAlign w:val="bottom"/>
          </w:tcPr>
          <w:p>
            <w:pPr>
              <w:spacing w:after="0"/>
              <w:rPr>
                <w:sz w:val="2"/>
                <w:szCs w:val="2"/>
                <w:color w:val="auto"/>
              </w:rPr>
            </w:pPr>
          </w:p>
        </w:tc>
        <w:tc>
          <w:tcPr>
            <w:tcW w:w="9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8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60" w:type="dxa"/>
            <w:vAlign w:val="bottom"/>
            <w:gridSpan w:val="3"/>
            <w:vMerge w:val="continue"/>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1,131,281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1,244,777</w:t>
            </w:r>
          </w:p>
        </w:tc>
        <w:tc>
          <w:tcPr>
            <w:tcW w:w="0" w:type="dxa"/>
            <w:vAlign w:val="bottom"/>
          </w:tcPr>
          <w:p>
            <w:pPr>
              <w:spacing w:after="0"/>
              <w:rPr>
                <w:sz w:val="1"/>
                <w:szCs w:val="1"/>
                <w:color w:val="auto"/>
              </w:rPr>
            </w:pPr>
          </w:p>
        </w:tc>
      </w:tr>
      <w:tr>
        <w:trPr>
          <w:trHeight w:val="240"/>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142,177</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w:t>
            </w:r>
          </w:p>
        </w:tc>
        <w:tc>
          <w:tcPr>
            <w:tcW w:w="0" w:type="dxa"/>
            <w:vAlign w:val="bottom"/>
          </w:tcPr>
          <w:p>
            <w:pPr>
              <w:spacing w:after="0"/>
              <w:rPr>
                <w:sz w:val="1"/>
                <w:szCs w:val="1"/>
                <w:color w:val="auto"/>
              </w:rPr>
            </w:pPr>
          </w:p>
        </w:tc>
      </w:tr>
      <w:tr>
        <w:trPr>
          <w:trHeight w:val="240"/>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29,753</w:t>
            </w: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issued and forfeited, net, under</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plans</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0" w:type="dxa"/>
            <w:vAlign w:val="bottom"/>
          </w:tcPr>
          <w:p>
            <w:pPr>
              <w:spacing w:after="0"/>
              <w:rPr>
                <w:sz w:val="1"/>
                <w:szCs w:val="1"/>
                <w:color w:val="auto"/>
              </w:rPr>
            </w:pPr>
          </w:p>
        </w:tc>
      </w:tr>
      <w:tr>
        <w:trPr>
          <w:trHeight w:val="20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8,624,238 shares of</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(206,537)</w:t>
            </w: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stock-based</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compensation awards for tax</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withholdings</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702,458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1,273,458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(665,771)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(117,660)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1,193,187</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121,509</w:t>
            </w:r>
          </w:p>
        </w:tc>
        <w:tc>
          <w:tcPr>
            <w:tcW w:w="0" w:type="dxa"/>
            <w:vAlign w:val="bottom"/>
          </w:tcPr>
          <w:p>
            <w:pPr>
              <w:spacing w:after="0"/>
              <w:rPr>
                <w:sz w:val="1"/>
                <w:szCs w:val="1"/>
                <w:color w:val="auto"/>
              </w:rPr>
            </w:pPr>
          </w:p>
        </w:tc>
      </w:tr>
      <w:tr>
        <w:trPr>
          <w:trHeight w:val="240"/>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c>
          <w:tcPr>
            <w:tcW w:w="0" w:type="dxa"/>
            <w:vAlign w:val="bottom"/>
          </w:tcPr>
          <w:p>
            <w:pPr>
              <w:spacing w:after="0"/>
              <w:rPr>
                <w:sz w:val="1"/>
                <w:szCs w:val="1"/>
                <w:color w:val="auto"/>
              </w:rPr>
            </w:pPr>
          </w:p>
        </w:tc>
      </w:tr>
      <w:tr>
        <w:trPr>
          <w:trHeight w:val="20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issued and forfeited, net, under</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plans</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939,567 shares of</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common stock</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(27,587)</w:t>
            </w:r>
          </w:p>
        </w:tc>
        <w:tc>
          <w:tcPr>
            <w:tcW w:w="0" w:type="dxa"/>
            <w:vAlign w:val="bottom"/>
          </w:tcPr>
          <w:p>
            <w:pPr>
              <w:spacing w:after="0"/>
              <w:rPr>
                <w:sz w:val="1"/>
                <w:szCs w:val="1"/>
                <w:color w:val="auto"/>
              </w:rPr>
            </w:pPr>
          </w:p>
        </w:tc>
      </w:tr>
      <w:tr>
        <w:trPr>
          <w:trHeight w:val="20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stock-based</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compensation awards for tax</w:t>
            </w: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withholdings</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0" w:type="dxa"/>
            <w:vAlign w:val="bottom"/>
          </w:tcPr>
          <w:p>
            <w:pPr>
              <w:spacing w:after="0"/>
              <w:rPr>
                <w:sz w:val="1"/>
                <w:szCs w:val="1"/>
                <w:color w:val="auto"/>
              </w:rPr>
            </w:pPr>
          </w:p>
        </w:tc>
      </w:tr>
      <w:tr>
        <w:trPr>
          <w:trHeight w:val="21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712,994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1,394,967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(109,470)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1,324,297</w:t>
            </w:r>
          </w:p>
        </w:tc>
        <w:tc>
          <w:tcPr>
            <w:tcW w:w="0" w:type="dxa"/>
            <w:vAlign w:val="bottom"/>
          </w:tcPr>
          <w:p>
            <w:pPr>
              <w:spacing w:after="0"/>
              <w:rPr>
                <w:sz w:val="1"/>
                <w:szCs w:val="1"/>
                <w:color w:val="auto"/>
              </w:rPr>
            </w:pPr>
          </w:p>
        </w:tc>
      </w:tr>
      <w:tr>
        <w:trPr>
          <w:trHeight w:val="240"/>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203,118</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w:t>
            </w:r>
          </w:p>
        </w:tc>
        <w:tc>
          <w:tcPr>
            <w:tcW w:w="0" w:type="dxa"/>
            <w:vAlign w:val="bottom"/>
          </w:tcPr>
          <w:p>
            <w:pPr>
              <w:spacing w:after="0"/>
              <w:rPr>
                <w:sz w:val="1"/>
                <w:szCs w:val="1"/>
                <w:color w:val="auto"/>
              </w:rPr>
            </w:pPr>
          </w:p>
        </w:tc>
      </w:tr>
      <w:tr>
        <w:trPr>
          <w:trHeight w:val="240"/>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41,281</w:t>
            </w: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issued and forfeited, net, under</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plans</w:t>
            </w:r>
          </w:p>
        </w:tc>
        <w:tc>
          <w:tcPr>
            <w:tcW w:w="5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0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3,946,537 shares of</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(128,454)</w:t>
            </w: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stock-based</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compensation awards for tax</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withholdings</w:t>
            </w:r>
          </w:p>
        </w:tc>
        <w:tc>
          <w:tcPr>
            <w:tcW w:w="5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731,927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1,598,085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(784,914)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(121,473)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1,424,327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25"/>
        </w:trPr>
        <w:tc>
          <w:tcPr>
            <w:tcW w:w="1360" w:type="dxa"/>
            <w:vAlign w:val="bottom"/>
            <w:tcBorders>
              <w:top w:val="single" w:sz="8" w:color="0000FF"/>
            </w:tcBorders>
          </w:tcPr>
          <w:p>
            <w:pPr>
              <w:spacing w:after="0"/>
              <w:rPr>
                <w:sz w:val="24"/>
                <w:szCs w:val="24"/>
                <w:color w:val="auto"/>
              </w:rPr>
            </w:pPr>
          </w:p>
        </w:tc>
        <w:tc>
          <w:tcPr>
            <w:tcW w:w="7080" w:type="dxa"/>
            <w:vAlign w:val="bottom"/>
            <w:gridSpan w:val="4"/>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080" w:type="dxa"/>
            <w:vAlign w:val="bottom"/>
            <w:gridSpan w:val="4"/>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56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1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23"/>
        </w:trPr>
        <w:tc>
          <w:tcPr>
            <w:tcW w:w="136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9"/>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142,177</w:t>
            </w:r>
          </w:p>
        </w:tc>
      </w:tr>
      <w:tr>
        <w:trPr>
          <w:trHeight w:val="250"/>
        </w:trPr>
        <w:tc>
          <w:tcPr>
            <w:tcW w:w="7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7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r>
      <w:tr>
        <w:trPr>
          <w:trHeight w:val="270"/>
        </w:trPr>
        <w:tc>
          <w:tcPr>
            <w:tcW w:w="7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104,147</w:t>
            </w:r>
          </w:p>
        </w:tc>
      </w:tr>
      <w:tr>
        <w:trPr>
          <w:trHeight w:val="270"/>
        </w:trPr>
        <w:tc>
          <w:tcPr>
            <w:tcW w:w="7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70"/>
        </w:trPr>
        <w:tc>
          <w:tcPr>
            <w:tcW w:w="7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70"/>
        </w:trPr>
        <w:tc>
          <w:tcPr>
            <w:tcW w:w="7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70"/>
        </w:trPr>
        <w:tc>
          <w:tcPr>
            <w:tcW w:w="7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r>
      <w:tr>
        <w:trPr>
          <w:trHeight w:val="270"/>
        </w:trPr>
        <w:tc>
          <w:tcPr>
            <w:tcW w:w="7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 on divestiture</w:t>
            </w:r>
          </w:p>
        </w:tc>
        <w:tc>
          <w:tcPr>
            <w:tcW w:w="2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(38,452)</w:t>
            </w:r>
          </w:p>
        </w:tc>
      </w:tr>
      <w:tr>
        <w:trPr>
          <w:trHeight w:val="270"/>
        </w:trPr>
        <w:tc>
          <w:tcPr>
            <w:tcW w:w="7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43"/>
        </w:trPr>
        <w:tc>
          <w:tcPr>
            <w:tcW w:w="7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 net of impact of divestiture: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(132,194)</w:t>
            </w:r>
          </w:p>
        </w:tc>
      </w:tr>
      <w:tr>
        <w:trPr>
          <w:trHeight w:val="270"/>
        </w:trPr>
        <w:tc>
          <w:tcPr>
            <w:tcW w:w="7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70"/>
        </w:trPr>
        <w:tc>
          <w:tcPr>
            <w:tcW w:w="7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70"/>
        </w:trPr>
        <w:tc>
          <w:tcPr>
            <w:tcW w:w="7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70"/>
        </w:trPr>
        <w:tc>
          <w:tcPr>
            <w:tcW w:w="7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and noncurrent assets and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50"/>
        </w:trPr>
        <w:tc>
          <w:tcPr>
            <w:tcW w:w="702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143,381</w:t>
            </w:r>
          </w:p>
        </w:tc>
      </w:tr>
      <w:tr>
        <w:trPr>
          <w:trHeight w:val="23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software and distribution rights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divestiture</w:t>
            </w:r>
          </w:p>
        </w:tc>
        <w:tc>
          <w:tcPr>
            <w:tcW w:w="2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100,139</w:t>
            </w:r>
          </w:p>
        </w:tc>
      </w:tr>
      <w:tr>
        <w:trPr>
          <w:trHeight w:val="250"/>
        </w:trPr>
        <w:tc>
          <w:tcPr>
            <w:tcW w:w="7020" w:type="dxa"/>
            <w:vAlign w:val="bottom"/>
            <w:tcBorders>
              <w:top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60,246</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
        </w:trPr>
        <w:tc>
          <w:tcPr>
            <w:tcW w:w="7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stock-based compensation awards for tax withholdings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(206,537)</w:t>
            </w: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term portion of credit agreement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Repayments of term portion of credit agreement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(85,431)</w:t>
            </w: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other debt, net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r>
      <w:tr>
        <w:trPr>
          <w:trHeight w:val="229"/>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settlement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w:t>
            </w:r>
          </w:p>
        </w:tc>
      </w:tr>
      <w:tr>
        <w:trPr>
          <w:trHeight w:val="250"/>
        </w:trPr>
        <w:tc>
          <w:tcPr>
            <w:tcW w:w="702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(288,197)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(171,060)</w:t>
            </w:r>
          </w:p>
        </w:tc>
      </w:tr>
      <w:tr>
        <w:trPr>
          <w:trHeight w:val="25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r>
      <w:tr>
        <w:trPr>
          <w:trHeight w:val="27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settlement deposits, 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184,142</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settlement deposits,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238,821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214,672</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70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cash and cash equivalents to the Consolidated Balance Sheets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7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124,981</w:t>
            </w:r>
          </w:p>
        </w:tc>
      </w:tr>
      <w:tr>
        <w:trPr>
          <w:trHeight w:val="230"/>
        </w:trPr>
        <w:tc>
          <w:tcPr>
            <w:tcW w:w="7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deposits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89,691</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including settlement deposits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238,821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214,672</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7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taxes paid,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65,441</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43,553</w:t>
            </w:r>
          </w:p>
        </w:tc>
      </w:tr>
      <w:tr>
        <w:trPr>
          <w:trHeight w:val="27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48,526</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00"/>
          </w:cols>
          <w:pgMar w:left="320" w:top="108" w:right="379" w:bottom="44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447"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Worldwide, Inc., a Delaware corporation, and its subsidiaries (collectively referred to as “ACI” or the “Company”) develop, market, install, and support a broad line of software products and services primarily focused on facilitating electronic payments. In addition to its own products, the Company distributes or acts as a sales agent for software developed by third parties. These products and services are used principally by banks and intermediaries, merchants, and billers, both in domestic and international markets.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balances and transactions have been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outstanding capital stock consists of a single class of common stock. Each share of common stock is entitled to one vote for each matter subject to a stockholder’s vote and to dividends, if and when declared by the board of directors (the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are affected by management’s application of accounting policies, as well as uncertainty in the current economic environment. Actual results could differ from those estimates.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 Company’s cash and cash equivalents includes holdings in checking, savings, money market, and overnight sweep accounts, all of which have daily maturities, as well as time deposits with maturities of three months or less at the date of purchase.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include the following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financed licenses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51,022</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Liabilities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Individuals and businesses settle their obligations to the Company’s various Biller clients using credit or debit cards or via automated clearing house (“ACH”) payments. The Company creates a receivable for the amount due from the credit or debit card processor and an offsetting payable to the client. Upon confirmation that the funds have been received, the Company settles the obligation to the client. Due to timing, in some instances, the Company may</w:t>
      </w:r>
    </w:p>
    <w:p>
      <w:pPr>
        <w:spacing w:after="0" w:line="1" w:lineRule="exact"/>
        <w:rPr>
          <w:sz w:val="20"/>
          <w:szCs w:val="20"/>
          <w:color w:val="auto"/>
        </w:rPr>
      </w:pPr>
    </w:p>
    <w:p>
      <w:pPr>
        <w:jc w:val="both"/>
        <w:ind w:firstLine="8"/>
        <w:spacing w:after="0" w:line="255" w:lineRule="auto"/>
        <w:tabs>
          <w:tab w:leader="none" w:pos="2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funds into bank accounts controlled by and in the Company’s name that are not disbursed to its clients by the end of the day, resulting in a settlement deposit on the Company’s books and (2) disburse funds to its clients in advance of receiving funds from the credit or debit card processor, resulting in a net settlement receivable position.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Settlement Accounts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enters into agreements with certain Biller clients to process payment funds on their behalf. When an ACH or automated teller machine network payment transaction is processed, a transaction is initiated to withdraw funds from the designated source account and deposit them into a settlement account, which is a trust account maintained for the benefit of the Company’s clients. A simultaneous transaction is initiated to transfer funds from the settlement account to the intended destination account. These “back to back” transactions are designed to settle at the same time, usually overnight, such that the Company receives the funds from the source at the same time as it sends the funds to their destination. However, due to the transactions being with various financial institutions there may be timing differences that result in float balances. These funds are maintained in accounts for the benefit of the client which is separate from the Company’s corporate assets. As the Company does not take ownership of the funds, these settlement accounts are not included in the Company’s balance sheet. The Company is entitled to interest earned on the fund balances. The collection of interest on these settlement accounts is considered in the Company’s determination of its fee structure for clients and represents a portion of the payment for services performed by the Company. The amount of settlement funds as of December 31, 2024 and 2023, were $267.0 million and $273.2 million,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of these assets is generally computed using the straight-line method over their estimated useful lives based on asset class. As of December 31, 2024 and 2023, net property and equipment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10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5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3 - 5 years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118,805</w:t>
            </w:r>
          </w:p>
        </w:tc>
        <w:tc>
          <w:tcPr>
            <w:tcW w:w="0" w:type="dxa"/>
            <w:vAlign w:val="bottom"/>
          </w:tcPr>
          <w:p>
            <w:pPr>
              <w:spacing w:after="0"/>
              <w:rPr>
                <w:sz w:val="1"/>
                <w:szCs w:val="1"/>
                <w:color w:val="auto"/>
              </w:rPr>
            </w:pPr>
          </w:p>
        </w:tc>
      </w:tr>
      <w:tr>
        <w:trPr>
          <w:trHeight w:val="27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Lesser of useful life of improvement or remaining life of lease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32,660</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7 - 30 years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0" w:type="dxa"/>
            <w:vAlign w:val="bottom"/>
          </w:tcPr>
          <w:p>
            <w:pPr>
              <w:spacing w:after="0"/>
              <w:rPr>
                <w:sz w:val="1"/>
                <w:szCs w:val="1"/>
                <w:color w:val="auto"/>
              </w:rPr>
            </w:pPr>
          </w:p>
        </w:tc>
      </w:tr>
      <w:tr>
        <w:trPr>
          <w:trHeight w:val="27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 years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Non-depreciable</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5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175,945</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(138,089)</w:t>
            </w:r>
          </w:p>
        </w:tc>
        <w:tc>
          <w:tcPr>
            <w:tcW w:w="0" w:type="dxa"/>
            <w:vAlign w:val="bottom"/>
          </w:tcPr>
          <w:p>
            <w:pPr>
              <w:spacing w:after="0"/>
              <w:rPr>
                <w:sz w:val="1"/>
                <w:szCs w:val="1"/>
                <w:color w:val="auto"/>
              </w:rPr>
            </w:pPr>
          </w:p>
        </w:tc>
      </w:tr>
      <w:tr>
        <w:trPr>
          <w:trHeight w:val="223"/>
        </w:trPr>
        <w:tc>
          <w:tcPr>
            <w:tcW w:w="3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Software may be for internal use or for resale. Costs related to certain software, which is for resale, are capitalized in accordance with Accounting Standards Codification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xml:space="preserve">, when the resulting product reaches technological feasibility. The Company generally determines technological feasibility when it has a detailed program design that takes product function, feature and technical requirements to their most detailed, logical form and is ready for coding. The Company does not typically capitalize costs related to software for resale as technological feasibility generally coincides with general availability of the software. The Company capitalizes the costs of software developed or obtained for internal use in accordance with ASC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The Company expenses all costs incurred during the preliminary project stage of its development and capitalizes the costs incurred during the application development stage. Costs incurred relating to upgrades and enhancements to the software are capitalized if it is determined that these upgrades or enhancements add additional functionality to the software. Costs incurred during the application development stage include purchased software licenses, implementation costs, consulting costs, and payroll-related costs for projects that qualify for capitalization. All other costs, primarily related to maintenance and minor software fixes, are expensed as incurred.</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of software for resale is determined on a product-by-product basis and begins when the product is available for licensing to customers. The annual amortization is computed using the greater of (a) the ratio of current gross revenues to the total of current and future gross revenues expected to be derived from the software or (b) the straight-line method over the remaining estimated useful life of generally five to ten years, including the period being reported on. Due to competitive pressures, it may be possible that the estimates of future gross revenue or remaining estimated useful life of the software will be reduced significantly. As a result, the carrying amount of the software may be reduced accordingly. Amortization of internal-use software is generally computed using the straight-line method over estimated useful lives of three to eight years.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(“ASC 820”) defines fair value as the price that would be received to sell an asset or paid to transfer a liability in an orderly transaction between market participants. ASC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49" w:lineRule="exact"/>
        <w:rPr>
          <w:sz w:val="20"/>
          <w:szCs w:val="20"/>
          <w:color w:val="auto"/>
        </w:rPr>
      </w:pPr>
    </w:p>
    <w:p>
      <w:pPr>
        <w:ind w:left="82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 Unadjusted quoted prices in active markets for identical assets or liabilities that the reporting entity has the ability to access at the measurement date.</w:t>
      </w:r>
    </w:p>
    <w:p>
      <w:pPr>
        <w:spacing w:after="0" w:line="53"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71"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 Unobservable inputs for determining the fair values of assets or liabilities that reflect an entity’s own assumptions about the assumptions that market participants would use in pricing the assets or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Credit Agreement approximates the carrying value due to the floating interest rate (Level 2 of the fair value hierarchy). The Company measures the fair value of its Senior Notes based on Level 2 inputs, which include quoted market prices and interest rate spreads of similar securities. The fair value of the Company’s 5.750% Senior Notes due 2026 (“2026 Notes”) was $399.2 million and $398.5 million as of December 31, 2024 and 2023,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approximate the carrying values due to the short period of time to maturity (Level 2 of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Company assesses goodwill for impairment annually during the fourth quarter of its fiscal year using October 1 balances or when there is evidence that events or changes in circumstances indicate that the carrying amount of the asset may not be recovered. The Company evaluates goodwill at the reporting unit level using the discounted cash flow valuation model and allocates goodwill to these reporting units using a relative fair value approach. During this assessment, management relies on a number of factors, including operating results, business plans, and anticipated future cash flows. The Company has identified its reportable segments, Banks, Merchants, and Billers, as the reporting units. As of December 31, 2024, the Company's goodwill balance of $1.2 billion was allocated $671.7 million to Banks, $137.3 million to Merchants, and $417.0 million to Billers.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key assumptions used in the discounted cash flow valuation model include discount rates, growth rates, cash flow projections, and terminal value rates. Discount rates, growth rates, and cash flow projections are the most sensitive and susceptible to change, as they require significant management judgment. Discount rates are determined by using a weighted average cost of capital (“WACC”). The WACC considers market and industry data as well as company-specific risk factors. Operational management, considering industry and company-specific historical and projected data, develops growth rates and cash flow projections for each reporting unit. Terminal value rate determination follows common methodology of capturing the present value of perpetual cash flow estimates beyond the last projected period, assuming a constant WACC and low, long-term growth rates. If, as per the quantitative test, the estimated fair value of the reporting unit is less than the carrying amount of the reporting unit, impairment is recognized for the difference, limited to the amount of goodwill recognized for the reporting unit. The calculated fair value substantially exceeded the current carrying value for all reporting units for all periods.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intangible assets, which include customer relationships and trademarks and trade names, are amortized using the straight-line method over periods ranging from four to 20 years. The Company reviews its other intangible assets for impairment whenever events or changes in circumstances indicate that the carrying amount may not be recoverable.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2019, the Company invested $18.3 million for a 30% non-controlling financial interest in a payment technology and services company in India. The Company accounted for this investment using the equity method 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The Company records its share of earnings and losses in the investment on a one-quarter lag basis. Accordingly, the Company recorded an investment of $18.6 million and $18.5 million, which is included in other noncurrent assets in the consolidated balance sheet as of December 31, 2024 and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 long-lived asset group may not be recoverable. An impairment loss is recorded if the sum of the future cash flows expected to result from the use of the asset (undiscounted and without interest charges) is less than the carrying amount of the asset. The amount of the impairment charge is measured based upon the fair value of the asset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shares of its common stock that are repurchased without intent to retire as treasury stock. Such shares are recorded at cost and reflected separately on the consolidated balance sheets as a reduction of stockholders’ equity. The Company issues shares of treasury stock upon exercise of stock options, issuance of restricted share units, payment of earned performance shares, and for issuance of common stock pursuant to the Company’s employee stock purchase plan. For purposes of determining the cost of the treasury shares re-issued, the Company uses the average cost method.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the Company recognizes stock-based compensation expense for awards that are probable of vesting on a straight-line basis over the requisite service period of the award, which is generally the vesting term. Stock-based compensation expense is recorded in operating expenses depending on where the respective individual’s compensation is recorded. To determine the grant date fair value of total shareholder return awards (“TSRs”), a Monte Carlo simulation model was used. The assumptions utilized in the Monte Carlo simulation models, as well as the description of the plans the stock-based awards are granted under, are described in further detail in Note 6, </w:t>
      </w:r>
      <w:r>
        <w:rPr>
          <w:rFonts w:ascii="Times New Roman" w:cs="Times New Roman" w:eastAsia="Times New Roman" w:hAnsi="Times New Roman"/>
          <w:sz w:val="18"/>
          <w:szCs w:val="18"/>
          <w:i w:val="1"/>
          <w:iCs w:val="1"/>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Plans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of Foreign Currencies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foreign subsidiaries typically use the local currency of the countries in which they are located as their functional currency. Their assets and liabilities are translated into U.S. dollars at the exchange rates in effect at the balance sheet date. Revenues and expenses are translated at the average exchange rates during the period. Translation gains and losses are reflected in the consolidated financial statements as a component of accumulated other comprehensive income (loss). Transaction gains and losses, including those related to intercompany accounts, that are not considered to be of a long-term investment nature are included in the determination of net income. Transaction gains and losses, including those related to intercompany accounts, that are considered to be of a long-term investment nature are reflected in the consolidated financial statements as a component of accumulated other comprehensive income (loss).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Deferred tax assets are reduced by a valuation allowance when it is more likely than not that some portion or all of the deferred tax assets will not be realized.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its tax exposures and establishes, or adjusts, estimated unrecognized tax benefits for probable assessments by taxing authorities, including the Internal Revenue Service, and various foreign and state authorities. Such unrecognized tax benefits represent the estimated provision for income taxes expected to ultimately be paid.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Effective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 usefulness of income tax disclosures. The amendments in this update will require disclosure of more disaggregated information about a reporting entity's effective tax rate reconciliation and income taxes paid. ASU 2023-09 is effective for annual periods beginning after December 15, 2024, and early application is permitted for annual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that have not yet been issued or made available for issuance. The Company is currently assessing the impact the adoption of ASU 2023-09 will have on its income tax disclosures.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The amendments in this update will require entities to provide disaggregated disclosures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underlying certain income statement expense line items on an annual and interim basis. ASU 2024-03 is effective for annual periods beginning after December 15, 2026, and early application is permitted for annual financial statements that have not yet been issued or made available for issuance. The Company is currently assessing the impact that the adoption of ASU 2024-03 will have on its financial statement footnote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requiring public entities to disclose information about their reportable segments’ significant expenses and other segment items on an interim and annual basis. The Company adopted ASU 2023-07 during the year ended December 31, 2024. See Note 10,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accompanying notes to the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upon transfer of control of promised products and/or services to customers in an amount that reflects the consideration the Company expects to be entitled to in exchange for those products and services. Revenue is recognized net of any taxes collected from customers and subsequently remitted to governmental authorities.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Combination. </w:t>
      </w:r>
      <w:r>
        <w:rPr>
          <w:rFonts w:ascii="Times New Roman" w:cs="Times New Roman" w:eastAsia="Times New Roman" w:hAnsi="Times New Roman"/>
          <w:sz w:val="18"/>
          <w:szCs w:val="18"/>
          <w:color w:val="auto"/>
        </w:rPr>
        <w:t>The Company may execute more than one contract or agreement with a single customer at or near the same time. The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or agreements may be viewed as one combined arrangement or separate agreements for revenue recognition purposes. In order to reach appropriate conclusions regarding whether such agreements should be combined, the Company evaluates whether the agreements were negotiated as a package with a single commercial objective, whether the amount of consideration to be paid in one agreement depends on the price and/or performance of another agreement, or whether the product(s) or services promised in the agreements represent a single performance obligation. The conclusions reached can impact the allocation of the transaction price to each performance obligation and the timing of revenue recognition related to those arrangements.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Software as a Service (“SaaS”) and Platform as a Service (“PaaS”) Arrangements. </w:t>
      </w:r>
      <w:r>
        <w:rPr>
          <w:rFonts w:ascii="Times New Roman" w:cs="Times New Roman" w:eastAsia="Times New Roman" w:hAnsi="Times New Roman"/>
          <w:sz w:val="18"/>
          <w:szCs w:val="18"/>
          <w:color w:val="auto"/>
        </w:rPr>
        <w:t>The Company’s SaaS-based and PaaS-based arrangements,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support and other services, represent a single promise to provide continuous access (i.e. a stand-ready performance obligation) to its software solutions and their processing capabilities in the form of a service through one of the Company’s data centers. As each day of providing access to the software solution(s) is substantially the same and the customer simultaneously receives and consumes the benefits as access is provided, the Company’s single promise under its SaaS-based and PaaS-based arrangements is comprised of a series of distinct service periods. The Company’s SaaS-based and PaaS-based arrangements may include fixed consideration, variable consideration, or a combination of the two. Fixed consideration is recognized over the term of the arrangement or longer if the fixed consideration relates to a material right. A material right would be a separate performance obligation. The Company estimates the stand-alone selling price for a material right by reference to the services expected to be provided and the corresponding expected consideration. Variable consideration in these arrangements is typically a function of transaction volume or another usage-based measure. Depending upon the structure of a particular arrangement, the Company: (1) allocates the variable amount to each distinct service period within the series and recognizes revenue as each distinct service period is performed, (2) estimates total variable consideration at contract inception (giving consideration to any constraints that may apply and updating the estimates as new information becomes available) and recognizes the total transaction price over the period to which it relates, or (3) applies the ‘right to invoice’ practical expedient and recognizes revenue based on the amount invoiced to the customer during the period.</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Arrangements. </w:t>
      </w:r>
      <w:r>
        <w:rPr>
          <w:rFonts w:ascii="Times New Roman" w:cs="Times New Roman" w:eastAsia="Times New Roman" w:hAnsi="Times New Roman"/>
          <w:sz w:val="18"/>
          <w:szCs w:val="18"/>
          <w:color w:val="auto"/>
        </w:rPr>
        <w:t>The Company’s software license arrangements provide the customer with the right to use functional intellectual property (as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exists at the point in time at which the license is granted) for the duration of the contract term. Implementation, support, and other services are typically considered distinct performance obligations when sold with a software license.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terms for the Company’s software license arrangements generally include fixed license and capacity fees that are payable up front or over time. These arrangements may also include incremental usage-based fees that are payable when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 exceeds its contracted license capacity limits. The Company accounts for capacity overages as a usage-based royalty that is recognized when the usage occurs.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software license arrangement contains payment terms that are extended beyond one year, a significant financing component may exist. The significant financing component is calculated as the difference between the stated value and present value of the software license fees and is recognized as interest income over the extended payment period. The total fixed software license fee net of the significant financing component is recognized as revenue at the point in time when the software is transferred to the customer.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those software license arrangements that include customer-specific acceptance provisions, such provisions are generally presumed to be substantive and the Company does not recognize revenue until the earlier of the receipt of a written customer acceptance, objective demonstration that the delivered product meets the customer-specific acceptance criteria, or the expiration of the acceptance period. The Company recognizes revenues on such arrangements upon the earlier of receipt of written acceptance or the first production use of the software by the customer.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software license arrangements in which the Company acts as a distributor of another company’s product, and in certain circumstances, modifies or enhances the product, revenues are recorded on a gross basis. These include arrangements in which the Company takes control of the products and is responsible for providing the product or service. For software license arrangements in which the Company acts as a sales agent for another company’s product, revenues are recorded on a net basis. These include arrangements in which the Company does not take control of products and is not responsible for providing the product or service.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software license arrangements in which the Company utilizes a third-party distributor or sales agent, the Company recognizes revenue upon transfer of control of the software license(s) to the third-party distributor or sales agent.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software license arrangements typically provide the customer with a standard 90-day assurance-type warranty. These warranties do not represent an additional performance obligation as services beyond assuring that the software license complies with agreed-upon specifications are not provided.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license arrangements typically include an initial post contract customer support (maintenance or “PCS”) term of one year with subsequent renewals for additional years within the initial license period. The Company’s promise to those customers who elect to purchase PCS represents a stand-ready performance obligation that is distinct from the license performance obligation and recognized over the PCS term.</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provides various professional services to customers with software licenses. These include project management, software implementation, and software modification services. Revenues from arrangements to provide professional services are generally distinct from the other promises in the contract(s) and are recognized as the related services are performed. Consideration received under these arrangements is either fixed fee or on a time-and-materials basis, which represents variable consideration that must be estimated using the most likely amount based on the range of hours expected to be incurred in providing the services.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the stand-alone selling price (“SSP”) for maintenance and professional services based on observable stand-alone sales. The Company applies the residual approach to estimate the SSP for software licenses.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details, including disaggregation of revenue based on primary solution category and geographic location.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judgment in determining the customer’s ability and intention to pay, which is based on a variety of factors including the customer’s historical payment experience or, in the case of a new customer, published credit and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applies judgment in determining the term of an arrangement when early termination rights are provided to the customer.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software license arrangements with its customers often include multiple promises to transfer licensed software products and services. Determining whether the products and/or services are distinct performance obligations that should be accounted for separately may require significant judgment.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SaaS and PaaS arrangements may include variable consideration in the form of usage-based fees. If the arrangement that includes variable consideration in the form of usage-based fees does not meet the allocation exception for variable consideration, the Company estimates the amount of variable consideration at the outset of the arrangement using either the expected value or most likely amount method, depending on the specifics of each arrangement. These estimates are constrained to the extent that it is probable that a significant reversal of incremental revenue will not occur and are updated each reporting period as additional information becomes available.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is used in determining: (1) whether the financing component in a software license agreement is significant and, if so, (2) the discount rate used in calculating the significant financing component. The Company assesses the significance of the financing component based on the ratio of license fees paid over time to total license fees. If determined to be significant, the financing component is calculated using a rate that discounts the license fees to the cash selling price.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Judgment is also used in assessing whether the extension of payment terms in a software license arrangement results in variable consideration and, if so, the amount to be included in the transaction price. The Company applies the portfolio approach to estimate the amount of variable consideration in these arrangements using the most likely amount method that is based on the Company’s historical collection experience under similar arrangements.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to determine the SSP for each performance obligation, the amount allocated to each performance obligation and whether it depicts the amount that the Company expects to be entitled to in exchange for the related product and/or service. As the selling prices of the Company’s software licenses are highly variable, the Company estimates SSP of its software licenses using the residual approach when the software license is sold with other services and observable SSPs exist for the other services. The Company uses a range of amounts to estimate SSP for maintenance and services. These ranges are based on stand-alone sales and vary based on the type of service and geographic region. If the SSP of a performance obligation is not directly observable, the Company will maximize observable inputs to determine its SSP.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The Company records an accrued receivable when revenue is recognized prior to invoicing and the Company’s right to consideration only requires the passage of time, or deferred revenue when revenue is recognized subsequent to invoicing.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receivables represent amounts billed and amounts earned that are to be billed in the future (i.e. accrued receivables). Included in accrued receivables are services and SaaS and PaaS revenues earned in the current period but billed in the following period and amounts due under multi-year software license arrangements with extended payment terms for which the Company has an unconditional right to invoice and receive payment subsequent to invoicing.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 net is comprised of the following (in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receivables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Billed receivables,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accrued receivables,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accrued receivables,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313,983</w:t>
            </w:r>
          </w:p>
        </w:tc>
      </w:tr>
      <w:tr>
        <w:trPr>
          <w:trHeight w:val="223"/>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accrued receivables,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520,192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766,320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customer accounted for more than 10% of the Company’s consolidated receivables balance as of December 31, 2024 and December 31,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allowance for doubtful accounts for expected future credit losses that is calculated based on historical experience, current economic trends, and expectations of near term economic trends. The Company regularly monitors its credit risk exposures in consolidated receivables.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activity in the Company’s allowance for doubtful accounts receivable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7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increase</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7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written off, net of recoveries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increases recorded in general and administrative expense during the years ended December 31, 2024, December 31, 2023, and 2022, reflect adjustments in the allowance for doubtful accounts based upon collection experience, net of collection of customer-specific receivables that were previously reserved for as doubtful of collection.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includes amounts due or received from customers for software licenses, maintenance, services, and/or SaaS and PaaS services in advance of recording the related revenue.</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740" w:hanging="732"/>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81,536</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119,741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(117,420)</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503</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84,360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141,811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(129,483)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(1,965)</w:t>
      </w:r>
    </w:p>
    <w:p>
      <w:pPr>
        <w:spacing w:after="0" w:line="31" w:lineRule="exact"/>
        <w:rPr>
          <w:sz w:val="20"/>
          <w:szCs w:val="20"/>
          <w:color w:val="auto"/>
        </w:rPr>
      </w:pPr>
    </w:p>
    <w:p>
      <w:pPr>
        <w:ind w:left="740" w:hanging="732"/>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401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80" w:space="720"/>
            <w:col w:w="1340"/>
          </w:cols>
          <w:pgMar w:left="320" w:top="117" w:right="339" w:bottom="1440" w:gutter="0" w:footer="0" w:header="0"/>
          <w:type w:val="continuous"/>
        </w:sectPr>
      </w:pP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54" w:lineRule="exact"/>
        <w:rPr>
          <w:sz w:val="20"/>
          <w:szCs w:val="20"/>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that will be recognized in future periods from capacity overages that are accounted for as a usage-based royalty.</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and PaaS revenue from variable consideration that will be recognized in accordance with the ‘right to invoice’ practical expedient or meets the allocation objective.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$731.7 million as of December 31, 2024, of which the Company expects to recognize approximately 51% over the next 12 months and the remainder thereafter.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revenue recognized by the Company from performance obligations satisfied in previous periods was $35.2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a Contract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costs to obtain and fulfill its contracts in accordance with ASC 340-40.</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of its sales commissions that meet the definition of incremental costs of obtaining a contract and for which the amortization period is greater than one year. The costs associated with those sales commissions are capitalized during the period in which the Company becomes obligated to pay the commissions and are amortized over the period in which the related products or services are transferred to the customer. As of December 31, 2024 and 2023, $2.0 million and $3.3 million of these costs are included in other current assets, respectively, and $9.9 million and $13.9 million of these costs are included in other noncurrent assets, respectively, on the consolidated balance sheets. During both of the years ended December 31, 2024 and 2023, the Company recognized $8.7 million of sales commission expense related to the amortization of these costs, which is included in selling and marketing expense on the consolidated statements of operations.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costs incurred to fulfill its contracts that: (1) relate directly to the arrangement, (2) are expected to generate resources that will be used to satisfy the Company’s performance obligation under the arrangement, and (3) are expected to be recovered through revenue generated under the arrangement. Contract fulfillment costs are expensed as the Company transfers the related services to the customer. As of December 31, 2024 and 2023, less than $0.1 million of these costs are included in other current assets, and $9.4 million and $9.7 million of these costs are included in other noncurrent assets, respectively, on the consolidated balance sheets. The amounts capitalized primarily relate to direct costs that enhance resources under the Company’s SaaS and PaaS arrangements. During both of the years ended December 31, 2024 and 2023, the Company recognized $3.6 million of expense related to the amortization of these costs, which is included in cost of revenue on the consolidated statements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Divestiture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Online Banking Solutions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7, 2022, the Company announced a definitive agreement to divest its corporate online banking solutions related assets and liabilities to One Equity Partners ("OEP") for $100.0 million, and a net working capital adjustment. The sale included employees and customer contracts as well as technology assets and intellectual property and closed on September 1, 2022.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$38.5 million on the sale, which is recorded in other, net on the consolidated statements of operations. During the year ended December 31, 2023, the Company recognized a loss for the final post-closing adjustment pursuant to the definitive agreement of $0.5 million, which is recorded in other, net on the consolidated statements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OEP also entered into a Transition Services Agreement ("TSA"), whereby the Company would continue to perform certain functions on OEP's behalf during a migration period, which ended in 2024. The TSA was meant to reimburse the Company for direct costs in order to provide such functions, which are no longer generating revenue for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$70.0 million, $462.5 million, and $400.0 million outstanding under its Revolving Credit Facility, Term Loans, and Senior Notes, respectively, with up to $528.1 million of unused borrowings under the Revolving Credit Facility portion of the Credit Agreement, as amended, and up to $1.9 million of unused borrowings under the Letter of Credit agreements. The amount of unused borrowings actually available varies in accordance with the terms of the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2024, ACI Worldwide, Inc. (the "Company") entered into a Refinance Amendment (the "Amendment") to the Second Amended and Restated Credit Agreement, dated as of April 5, 2019 (as amended, restated, supplemented or otherwise modified from time to time, including by the Amendment, the “Credit Agreement”) among the Company, the subsidiary borrowers from time to time party thereto, the lenders from time to time party thereto, Bank of America, N.A., as administrative agent and a lender, BofA Securities, Inc., PNC Capital Markets LLC, Wells Fargo Securities, LLC, and TD Securities (USA) LLC, as Joint Lead Arrangers and Joint Bookrunners, and the other financial institutions party thereto.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18"/>
          <w:szCs w:val="18"/>
          <w:color w:val="auto"/>
        </w:rPr>
        <w:t>The Amendment (i) provides a senior secured term loan facility (the “Term Loan Facility”) in an aggregate principal amount of $500 million, (ii) provides a senior secured revolving credit facility (the “Revolving Loan Facility” and together with the Term Loan Facility, the “Credit Facilities”) of up to $600 million, and (iii) extends the maturity date of the Facilities to February 26, 2029 (the “Maturity Date”), provided that if any of the Company’s 5.750% Senior Notes due 2026 are outstanding on the date that is 91 days before the maturity thereof (the “Springing Maturity Date”), and the Company does not have sufficient liquidity as of such date, the Maturity Date will be the Springing Maturity Date. The Revolving Loan Facility includes a $35 million sublimit for the issuance of standby letters of credit and a $20 million sublimit for swingline loans. Amounts repaid under the Revolving Facility may be reborrowed.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Facilities bear interest at a rate equal to, at borrower's option, either (A) a base rate determined by reference to the highest of</w:t>
      </w:r>
    </w:p>
    <w:p>
      <w:pPr>
        <w:spacing w:after="0" w:line="27" w:lineRule="exact"/>
        <w:rPr>
          <w:sz w:val="20"/>
          <w:szCs w:val="20"/>
          <w:color w:val="auto"/>
        </w:rPr>
      </w:pPr>
    </w:p>
    <w:p>
      <w:pPr>
        <w:jc w:val="both"/>
        <w:ind w:firstLine="8"/>
        <w:spacing w:after="0" w:line="253"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per annum publicly announced by Bank of America as its prime rate, (2) the federal funds effective rate plus 0.5%, (3) term Secured Overnight Financing Rate ("SOFR") plus 1%, and (4) 1% or (B) term SOFR for applicable interest period relevant to such borrowing, in each case plus an applicable margin. The applicable margin for borrowings under the Credit Facilities is, based on the calculation of the applicable consolidated total leverage ratio, between 0.5% to 1.5% with respect to base rate borrowings and between 1.5% and 2.5% with respect to term SOFR rate borrowings. Interest is due and payable monthly. The interest rate in effect for the Credit Facility as of December 31, 2024, was 6.21%.</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also required to pay customary fees under the Credit Facilities, including (a) a commitment fee related to the unutilized commitments under the Revolving Credit Facility, (b) letter of credit fees including fronting fees and commissions on the maximum amount available to be drawn under all outstanding letters of credit, and (c) agency fees.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subsidiaries, ACI Worldwide Corp. and ACI Payments, Inc. are co-borrowers under the Credit Agreement. The obligations of the borrowers under the Credit Facilities and the obligations of the Company and its subsidiaries under cash management arrangements entered into with lenders under the Credit Facilities (or affiliates thereof) are jointly and severally guaranteed by the Company and all of its existing and future material domestic subsidiaries, subject to certain exclusions. The obligations of the borrowers in respect of the Credit Facilities are secured by first-priority security interests in substantially all assets of the borrowers, including 100% of the capital stock of each domestic subsidiary of the borrower and 65% of the voting capital stock of each foreign subsidiary that is directly owned by a borrower, in each case subject to certain exclusions set forth in the Credit Agreement.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covenants that require the Company to maintain, as of the end of any fiscal quarter, (i) a consolidated total net leverage ratio of less than or equal to 4.25 to 1.00, (ii) a consolidated senior secured net leverage ratio of less than or equal to 3.75 to 1.00, and (iii) a minimum consolidated interest coverage ratio of greater than or equal to 3.00 to 1.00, in each case subject to certain exclusions as set forth in the Credit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standby letters of credit under the terms of the Credit Agreement. These letters of credit typically have one-year terms and may include auto-renewal terms without notice of intent to terminate the agreement. As of December 31, 2024, the Company had two letter of credit agreements outstanding for a total of $1.9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letters of credit reduce the maximum available borrowings under the Revolving Credit Facility to $598.1 million. Upon expiration of the letters of credit, maximum borrowings would return to $600.0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2018, the Company completed a $400.0 million offering of the 2026 Notes at an issue price of 100% of the principal amount in a private placement for resale to qualified institutional buyers. The 2026 Notes bear interest at an annual rate of 5.750%, payable semi-annually in arrears on February 15 and August 15 of each year, which commenced on February 15, 2019. The 2026 Notes will mature on August 15,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on debt outstanding at December 31, 2024, are as follows (in thousands):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382,500</w:t>
            </w:r>
          </w:p>
        </w:tc>
      </w:tr>
      <w:tr>
        <w:trPr>
          <w:trHeight w:val="27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932,500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and 2026 Notes do not amortize. The Term Loans do amortize, with principal payable in consecutive quarterly installments.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and 2026 Notes contain certain customary affirmative covenants and negative covenants that, among other things, limit or restrict, subject to certain exceptions, the incurrence of liens, indebtedness of subsidiaries, mergers, advances, investments, acquisitions, transactions with affiliates, change in nature of business, and the sale of the assets. In addition, the Credit Agreement and 2026 Notes contain certain customary mandatory prepayment provisions. As specified in the Credit Agreement and 2026 Notes agreement, if certain events occur and continue, the Company may be required to repay all amounts outstanding under the Credit Facility and 2026 Notes. As of December 31, 2024, and at all times during the period, the Company was in compliance with its financial debt covenants.</w:t>
      </w:r>
    </w:p>
    <w:p>
      <w:pPr>
        <w:sectPr>
          <w:pgSz w:w="11900" w:h="16838" w:orient="portrait"/>
          <w:cols w:equalWidth="0" w:num="1">
            <w:col w:w="11240"/>
          </w:cols>
          <w:pgMar w:left="320" w:top="1132"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debt is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1517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5.750% Senior Notes, due August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debt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of debt issuance costs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Overdraft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519,698</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70"/>
        </w:trPr>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50"/>
        </w:trPr>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1,038,004</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77,900</w:t>
            </w:r>
          </w:p>
        </w:tc>
      </w:tr>
      <w:tr>
        <w:trPr>
          <w:trHeight w:val="270"/>
        </w:trPr>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963,599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520" w:space="720"/>
            <w:col w:w="3000"/>
          </w:cols>
          <w:pgMar w:left="320" w:top="1132"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 and ACI Payments, Inc. entered in to an uncommitted overdraft facility with Bank of America, N.A. The overdraft facility bears interest at the federal funds effective rate plus 2.25% based on the Company’s average outstanding balance and the frequency in which overdrafts occur. The overdraft facility acts as a secured loan under the terms of the Credit Agreement to provide an additional funding mechanism for timing differences that can occur in the bill payment settlement process. Amounts outstanding on the overdraft facility are included in other current liabilities in the consolidated balance sheet. As of December 31, 2024 and 2023, there was $75.0 million available and no amount outstanding on the overdraft facility.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finances certain multi-year license agreements for internal-use software. Upon execution, these arrangements are treated as a non-cash investing and financing activity for purposes of the consolidated statements of cash flows. During the year ended December 31, 2022, the Company financed certain multi-year license agreements for internal-use software for $10.7 million, with annual payments through April 2024. As of December 31, 2024, there was no amount outstanding under these and other license agreements previously entered into. As of December 31, 2023, $3.6 million was outstanding under these and other license agreements previously entered into, all of which is included in other current liabilities in the consolidated balance sheet.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Software and Other Intangible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and accumulated amortization of the Company's software assets subject to amortization at each balance sheet date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4"/>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38"/>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for internal use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469,325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108,418</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for internal use amortization expense recorded during the years ended December 31, 2024, 2023, and 2022, totaled $63.3 million, $64.8 million, and $68.0 million, respectively. These software amortization expense amounts are reflected in depreciation and amortization in the consolidated statements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for resale amortization expense recorded during the year ended December 31, 2022, totaled $0.7 million. Software for resale was fully amortized during the first quarter of 2022 and, therefore, there was no amortization expense recorded during the years ended December 31, 2024 and 2023. The software amortization expense amount is reflected in cost of revenue in the condensed consolidated statements of operations.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and accumulated amortization of the Company’s other intangible assets subject to amortization at each balance sheet date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4"/>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194,826</w:t>
            </w:r>
          </w:p>
        </w:tc>
      </w:tr>
      <w:tr>
        <w:trPr>
          <w:trHeight w:val="27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48"/>
        </w:trPr>
        <w:tc>
          <w:tcPr>
            <w:tcW w:w="2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195,646</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intangible assets amortization expense recorded during the years ended December 31, 2024, 2023, and 2022, totaled $29.5 million, $33.8 million, and $35.5 million, respectively.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capitalized intangible assets as of December 31, 2024, estimated amortization expense amounts in future fiscal years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Other Intangible</w:t>
            </w:r>
          </w:p>
        </w:tc>
        <w:tc>
          <w:tcPr>
            <w:tcW w:w="0" w:type="dxa"/>
            <w:vAlign w:val="bottom"/>
          </w:tcPr>
          <w:p>
            <w:pPr>
              <w:spacing w:after="0"/>
              <w:rPr>
                <w:sz w:val="1"/>
                <w:szCs w:val="1"/>
                <w:color w:val="auto"/>
              </w:rPr>
            </w:pPr>
          </w:p>
        </w:tc>
      </w:tr>
      <w:tr>
        <w:trPr>
          <w:trHeight w:val="17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43"/>
        </w:trPr>
        <w:tc>
          <w:tcPr>
            <w:tcW w:w="80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1"/>
                <w:szCs w:val="21"/>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0" w:type="dxa"/>
            <w:vAlign w:val="bottom"/>
          </w:tcPr>
          <w:p>
            <w:pPr>
              <w:spacing w:after="0"/>
              <w:rPr>
                <w:sz w:val="1"/>
                <w:szCs w:val="1"/>
                <w:color w:val="auto"/>
              </w:rPr>
            </w:pP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67,050</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6. Stock-Based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6, 2017, the board approved the 2017 Employee Stock Purchase Plan (“2017 ESPP”), which was approved by shareholders at the 2017 Annual Shareholder meeting. The 2017 ESPP provides employees with an opportunity to purchase shares of the Company’s common stock. Under the Company’s 2017 ESPP, a total of 3,000,000 shares of the Company’s common stock have been reserved for issuance to eligible employees. Participating employees are permitted to designate up to the lesser of $25,000 or 10% of their annual base compensation for the purchase of common stock under the ESPP. Purchases under the ESPP are made one calendar month after the end of each fiscal quarter. The price for shares of common stock purchased under the ESPP is 85% of the stock’s fair market value on the last business day of the three-month participation period.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discount offered pursuant to the Company’s ESPP discussed above is 15%, which exceeds the 5% non-compensatory guideline in ASC 718 and exceeds the Company’s estimated cost of raising capital. Consequently, the entire 15% discount to employees is deemed to be compensatory for purposes of calculating expense using a fair value method. Compensation expense related to the ESPP was approximately $0.5 million for both the years ended December 31, 2024 and 2023, and $0.6 million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 – Active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and Incentive Compensation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9, 2020, upon recommendation of the board, stockholders approved the ACI Worldwide, Inc. 2020 Equity and Incentive Compensation Plan (the “2020 Plan”). The 2020 Plan authorizes the board to provide for equity-based compensation in the form of stock options, stock appreciation rights, restricted stock, restricted stock units, performance shares, performance units, dividend equivalents, and certain other awards, including those denominated or payable in, or otherwise based on, the Company’s common stock ("awards"). The purpose of the 2020 Plan is to provide incentives and rewards for service and/or performance by providing awards to non-employee directors, officers, other employees, and certain consultants and other service providers of the Company and its subsidiaries. Following the approval of the 2020 Plan, the 2016 Equity and Performance Incentive Plan (the “2016 Incentive Plan”) was terminated. Termination of the 2016 Incentive Plan did not affect any equity awards outstanding under the 2016 Incentive Plan.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adjustment and share counting rules as described in the 2020 Plan, a total of 6,658,754 shares of common stock are available for awards granted under the 2020 Plan. Shares underlying certain awards under the 2020 Plan, the Company’s 2005 Equity and Performance Incentive Plan (the "2005 Incentive Plan"), and the 2016 Incentive Plan (each including as amended or amended and restated) that are cancelled or forfeited, expire, are settled for cash, or are unearned after June 9, 2020, will again be available under the 2020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generally will be able to amend the 2020 Plan, subject to stockholder approval in certain circumstances, as described in the 2020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Equity and Performance Incentive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2016 Incentive Plan provided for the grant of incentive stock options, nonqualified stock options, stock appreciation rights, restricted stock awards, performance awards, and other awards. The 2016 Incentive Plan was adopted by the stockholders on June 14, 2016. Following the adoption of the 2016 Incentive Plan, the 2005 Incentive Plan was terminated. Subject to adjustment in certain circumstances, the maximum number of shares of common stock that was issued or transferred in connection with awards granted under the 2016 Incentive Plan was the sum of (i) 8,000,000 shares of common stock and (ii) any shares of common stock that were represented by options previously granted under the 2005 Incentive Plan which were subsequently forfeited, expired, or cancelled without delivery of common stock or which resulted in the forfeiture or relinquishment of common stock back to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2005 Equity and Performance Incentive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2005 Incentive Plan, as amended, under which shares of the Company’s common stock were reserved for issuance to eligible employees or non-employee directors of the Company. The 2005 Incentive Plan provided for the grant of incentive stock options, nonqualified stock options, stock appreciation rights, restricted stock awards, performance awards, and other awards. The maximum number of shares of the Company’s common stock that was issued or transferred in connection with awards granted under the 2005 Incentive Plan was the sum of (i) 23,250,000 shares and (ii) any shares represented by outstanding options that had been granted under designated terminated stock option plans that were subsequently forfeited, expired, or are cancelled without delivery of the Company’s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granted pursuant to the Company's incentive plans were granted at an exercise price not less than the market value per share of the Company’s common stock on the date of grant. The term of the outstanding options may not exceed ten years nor be less than one year. Vesting of options is determined by the compensation committee of the board and the administrator of the respective plan and can vary based upon the individual award agreements. In addition, outstanding options do not have dividend equivalent rights associated with them.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42"/>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24"/>
                <w:szCs w:val="24"/>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4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In-the-Money</w:t>
            </w:r>
          </w:p>
        </w:tc>
      </w:tr>
      <w:tr>
        <w:trPr>
          <w:trHeight w:val="238"/>
        </w:trPr>
        <w:tc>
          <w:tcPr>
            <w:tcW w:w="474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2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 ($)</w:t>
            </w:r>
          </w:p>
        </w:tc>
      </w:tr>
      <w:tr>
        <w:trPr>
          <w:trHeight w:val="27"/>
        </w:trPr>
        <w:tc>
          <w:tcPr>
            <w:tcW w:w="4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5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873,512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7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(334,242)</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539,270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17,938,517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520" w:type="dxa"/>
            <w:vAlign w:val="bottom"/>
            <w:tcBorders>
              <w:bottom w:val="single" w:sz="8" w:color="auto"/>
            </w:tcBorders>
          </w:tcPr>
          <w:p>
            <w:pPr>
              <w:jc w:val="center"/>
              <w:ind w:left="690"/>
              <w:spacing w:after="0" w:line="203" w:lineRule="exact"/>
              <w:rPr>
                <w:sz w:val="20"/>
                <w:szCs w:val="20"/>
                <w:color w:val="auto"/>
              </w:rPr>
            </w:pPr>
            <w:r>
              <w:rPr>
                <w:rFonts w:ascii="Times New Roman" w:cs="Times New Roman" w:eastAsia="Times New Roman" w:hAnsi="Times New Roman"/>
                <w:sz w:val="18"/>
                <w:szCs w:val="18"/>
                <w:color w:val="auto"/>
                <w:w w:val="99"/>
              </w:rPr>
              <w:t>539,270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17,938,517</w:t>
            </w:r>
          </w:p>
        </w:tc>
      </w:tr>
      <w:tr>
        <w:trPr>
          <w:trHeight w:val="21"/>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grant stock options during the years ended December 31, 2024, 2023, and 2022. The total intrinsic value of stock options exercised during the years ended December 31, 2024, 2023, and 2022, was $10.9 million, $2.1 million, and $2.9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2024, 2023, and 2022, pursuant to the 2020 Plan, the Company granted performance share awards with a total shareholder return component ("TSRs"). For 2024 and 2023, these performance share awards are earned, if at all, based upon achievement, over a specific period that must not be less than one year and is typically a three-year performance period. The awards have operating performance goals that include (i) adjusted EBITDA metrics and (ii) revenue growth rates as determined by the Company with a TSR multiplier up to plus or minus 20%. Up to 200% of the performance shares could be earned upon achievement of the performance goals, including the multiplier. For 2022, the Company granted performance share awards that are earned, if at all, based upon the Company’s total shareholder return as compared to a group of peer companies over a three-year performance period. The award payout can range from 0% to 200%. To determine the grant date fair value of the TSRs, a Monte Carlo simulation model is used. The Company recognizes compensation expense for the TSRs over the performance period based on the grant date fair value. On a quarterly basis, management evaluates the probability that the threshold performance goals will be achieved, if at all, and the anticipated level of attainment to determine the amount of compensation expense to record in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nonvested TSRs is as follows: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0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8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payout rate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TSRs granted in 2021 were earned by the employees. However, the performance goals were not met and no shares were issued.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2" w:name="page73"/>
    <w:bookmarkEnd w:id="72"/>
    <w:p>
      <w:pPr>
        <w:ind w:right="380"/>
        <w:spacing w:after="0" w:line="282" w:lineRule="auto"/>
        <w:rPr>
          <w:sz w:val="20"/>
          <w:szCs w:val="20"/>
          <w:color w:val="auto"/>
        </w:rPr>
      </w:pPr>
      <w:r>
        <w:rPr>
          <w:rFonts w:ascii="Times New Roman" w:cs="Times New Roman" w:eastAsia="Times New Roman" w:hAnsi="Times New Roman"/>
          <w:sz w:val="18"/>
          <w:szCs w:val="18"/>
          <w:color w:val="auto"/>
        </w:rPr>
        <w:t>The fair value of TSRs granted during the years ended December 31, 2024, 2023, and 2022, were estimated on the date of grant using the Monte Carlo simulation model, acceptable under ASC 718, using the following weighted-average assumptions:</w:t>
      </w:r>
    </w:p>
    <w:p>
      <w:pPr>
        <w:spacing w:after="0" w:line="7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8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36.8 %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pursuant to the 2020 Plan, the Company granted restricted share unit awards (“RSUs”). RSUs generally have requisite service periods of three years and may vest 100% upon the three-year anniversary or in equal increments quarterly or annually. RSUs granted to the board vest one year from grant or as of the next annual shareholders meeting, whichever is earlier. Under each arrangement, RSUs are issued without direct cost to the recipient on the vesting date. The Company estimates the fair value of the RSUs based upon the market price of the Company’s stock on the date of grant. The Company recognizes compensation expense for RSUs on a straight-line basis over the requisite service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nonvested RSUs is as follows: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0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8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 total of 1,020,408 RSUs vested. The Company withheld 320,009 of those shares to pay the employees’ portion of the minimum payroll withholding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unrecognized compensation expense of $43.1 million related to RSUs and $20.0 million related to TSRs, which the Company expects to recognize over a weighted average period of 1.9 years and 1.8 years, respectively.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recognized under ASC 718 during the years ended December 31, 2024, 2023, and 2022, of $41.3 million, $24.5 million, and $29.8 million, respectively, with corresponding tax benefits of $6.7 million, $4.5 million, and $4.5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and Treasury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2005, the board approved a stock repurchase program authorizing the Company, as market and business conditions warrant, to acquire its common stock and periodically authorizes additional funds for the program. In June 2024, the board approved the repurchase of the Company's common stock of up to $400.0 million, in place of the remaining purchase amounts previously authorized.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repurchased 3,946,537 shares for $128.5 million under the program for the year ended December 31, 2024. Under the program to date, the Company has repurchased 62,867,837 shares for approximately $1.1 billion. As of December 31, 2024, the maximum remaining amount authorized for purchase under the stock repurchase program was $372.5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In 2006, the Company began to issue shares of treasury stock upon exercise of stock options, payment of earned performance shares (LTIP performance shares and TSRs), vesting of RSUs, and for issuances of common stock pursuant to the Company’s ESPP. Treasury shares issued by award type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2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406,230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212,210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534,759</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145,909</w:t>
            </w:r>
          </w:p>
        </w:tc>
      </w:tr>
      <w:tr>
        <w:trPr>
          <w:trHeight w:val="248"/>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treasury shares issued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1,299,108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Basic earnings per share is computed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based on weighted average outstanding common shares. Diluted earnings per share is computed based on basic weighted average outstanding common shares adjusted for the dilutive effect of stock options, RSUs, and certain contingently issuable shares for which performance targets have been achieved.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weighted average share amounts used to compute both basic and diluted earnings per share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2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105,491</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113,700</w:t>
            </w:r>
          </w:p>
        </w:tc>
      </w:tr>
      <w:tr>
        <w:trPr>
          <w:trHeight w:val="27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Dilutive effect of stock options, RSUs, and contingently issuable shares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114,238</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diluted earnings per share computation excludes 1.1 million, 1.3 million, and 1.9 million options to purchase shares, RSUs, and contingently issuable shares during the years ended December 31, 2024, 2023, and 2022, respectively, as their effect would be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as of December 31, 2024 and 2023, was 105,254,913 and 108,077,738,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is primarily comprised of foreign currency transaction gains and losses and, for the year ended December 31, 2022, the $38.5 million gain on the divestiture. Other, net was $1.2 million of expense, $8.5 million of expense, and $43.4 million of income for the years ended December 31, 2024,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financial performance based on its operating segments, Banks, Merchants, and Billers, and analyzes Segment Adjusted EBITDA as a measure of segment profitability.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also the chief operating decision maker ("CODM"). The CODM, together with other senior management personnel, focus their review on consolidated financial information and the allocation of resources based on operating results, including revenues and Segment Adjusted EBITDA, for each segment, separate from corporate operations. No operating segments have been aggregated to form the reportable segments.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Banks. </w:t>
      </w:r>
      <w:r>
        <w:rPr>
          <w:rFonts w:ascii="Times New Roman" w:cs="Times New Roman" w:eastAsia="Times New Roman" w:hAnsi="Times New Roman"/>
          <w:sz w:val="18"/>
          <w:szCs w:val="18"/>
          <w:color w:val="auto"/>
        </w:rPr>
        <w:t>ACI provides payment solutions to large and mid-size banks globally for retail banking, digital, and other payment services. These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 banks’ complex payment environments to speed time to market, reduce costs, and deliver a consistent experience to customers across channels while enabling them to prevent and rapidly react to fraudulent activity. In addition, they enable banks to meet the requirements of different real-time payments schemes and to quickly create differentiated products to meet consumer, business, and merchant demands.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Merchants. </w:t>
      </w:r>
      <w:r>
        <w:rPr>
          <w:rFonts w:ascii="Times New Roman" w:cs="Times New Roman" w:eastAsia="Times New Roman" w:hAnsi="Times New Roman"/>
          <w:sz w:val="18"/>
          <w:szCs w:val="18"/>
          <w:color w:val="auto"/>
        </w:rPr>
        <w:t>ACI’s support of merchants globally includes Tier 1 and Tier 2 merchants (in-store and online), payment service providers, independent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value-added resellers, and acquirers who service them. These customers operate in a variety of verticals, including general retail, grocery, hospitality, dining, travel and ticketing, fuel, telecommunications, and others. The Company's solutions provide merchants with a secure, omnichannel payments platform that gives them flexibility and independence. The Company also offers secure solutions to online-only merchants that provide consumers with a convenient and seamless way to shop.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Billers. </w:t>
      </w:r>
      <w:r>
        <w:rPr>
          <w:rFonts w:ascii="Times New Roman" w:cs="Times New Roman" w:eastAsia="Times New Roman" w:hAnsi="Times New Roman"/>
          <w:sz w:val="18"/>
          <w:szCs w:val="18"/>
          <w:color w:val="auto"/>
        </w:rPr>
        <w:t>Within the billers segment, ACI provides electronic bill presentment and payment services to companies operating in the consumer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healthcare, higher education, utility, government, mortgage, subscription provider, and telecommunications categories. The solutions enable these customers to support a wide range of payment options and provide a convenient consumer payments experience that drives consumer loyalty and increases revenue. ACI also provides fraud abuse protection to its biller customers leveraging its proven AI, human, and data capabilities.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attributed to the reportable segments based upon customer. Expenses are attributed to the reportable segments in one of three methods: (1) direct costs of the segment, (2) labor costs that can be attributed based upon time tracking for individual projects, or (3) costs that are allocated. Allocated costs are generally marketing and sales related activities.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Segment Adjusted EBITDA is the measure reported to the CODM for purposes of making decisions on allocating resources and assessing the performance of the Company’s segments, including budget and forecast-to-actual variances, and, therefore, Segment Adjusted EBITDA is presented in conformity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Segment Adjusted EBITDA is defined as earnings from operations before interest, income tax expense (benefit), depreciation and amortization (“EBITDA”) adjusted to exclude net other income (expense).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Corporate and unallocated expenses includes global facilities and information technology costs and long-term product roadmap expenses in addition to corporate overhead costs that are not allocated to reportable segments. The overhead costs relate to human resources, finance, legal, accounting, and merger and acquisition activity. These costs along with depreciation and amortization and stock-based compensation are not considered when management evaluates segment performance.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following is selected financial data for the Company’s reportable segments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Billers</w:t>
            </w:r>
          </w:p>
        </w:tc>
        <w:tc>
          <w:tcPr>
            <w:tcW w:w="32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701,860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726,518</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1,594,288</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Interchange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469,358</w:t>
            </w:r>
          </w:p>
        </w:tc>
      </w:tr>
      <w:tr>
        <w:trPr>
          <w:trHeight w:val="27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Global technology and innovation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295,099</w:t>
            </w:r>
          </w:p>
        </w:tc>
      </w:tr>
      <w:tr>
        <w:trPr>
          <w:trHeight w:val="27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203,577</w:t>
            </w: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626,254</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(110,962)</w:t>
            </w: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w:t>
            </w: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(165,876)</w:t>
            </w: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(56,545)</w:t>
            </w:r>
          </w:p>
        </w:tc>
      </w:tr>
      <w:tr>
        <w:trPr>
          <w:trHeight w:val="229"/>
        </w:trPr>
        <w:tc>
          <w:tcPr>
            <w:tcW w:w="4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Billers</w:t>
            </w:r>
          </w:p>
        </w:tc>
        <w:tc>
          <w:tcPr>
            <w:tcW w:w="32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616,051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685,912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1,452,579</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Interchange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421,133</w:t>
            </w:r>
          </w:p>
        </w:tc>
      </w:tr>
      <w:tr>
        <w:trPr>
          <w:trHeight w:val="27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Global technology and innovation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276,792</w:t>
            </w:r>
          </w:p>
        </w:tc>
      </w:tr>
      <w:tr>
        <w:trPr>
          <w:trHeight w:val="27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212,477</w:t>
            </w: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542,177</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(122,373)</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(174,849)</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(64,271)</w:t>
            </w:r>
          </w:p>
        </w:tc>
      </w:tr>
      <w:tr>
        <w:trPr>
          <w:trHeight w:val="230"/>
        </w:trPr>
        <w:tc>
          <w:tcPr>
            <w:tcW w:w="4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Merchants</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Billers</w:t>
            </w: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629,411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1,421,901</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Interchange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406,610</w:t>
            </w:r>
          </w:p>
        </w:tc>
      </w:tr>
      <w:tr>
        <w:trPr>
          <w:trHeight w:val="27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Global technology and innovation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271,531</w:t>
            </w:r>
          </w:p>
        </w:tc>
      </w:tr>
      <w:tr>
        <w:trPr>
          <w:trHeight w:val="27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216,343</w:t>
            </w: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527,417</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(127,328)</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(166,501)</w:t>
            </w: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(40,646)</w:t>
            </w:r>
          </w:p>
        </w:tc>
      </w:tr>
      <w:tr>
        <w:trPr>
          <w:trHeight w:val="230"/>
        </w:trPr>
        <w:tc>
          <w:tcPr>
            <w:tcW w:w="4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43,446</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8"/>
        <w:spacing w:after="0" w:line="282" w:lineRule="auto"/>
        <w:tabs>
          <w:tab w:leader="none" w:pos="2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Interchange – Interchange costs include all payment card interchange fees, amounts payable to banks, and payment card processing fees associated with providing services to Biller customers.</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&amp; Innovation – (“GTI”) costs include the costs of maintaining software products, as well as the costs required to deliver, install, and support software at customer sites. It also includes maintenance costs, which are the efforts associated with providing the customer with upgrades, 24-hour help desk, post go-live (remote) support, and production-type support for software that was previously installed at a customer location. GTI includes costs to provide SaaS and PaaS services including our data center operations. Service costs including human resource and other incidental costs such as travel and training required for both pre go-live and post go-live support. Such efforts include project management, delivery, product customization and implementation, installation support, consulting, configuration, and on-site support. GTI also includes research and development expenses which are primarily human resource costs related to the creation of new products, improvements made to existing products, as well as compatibility with new operating system releases and generations of hardware.</w:t>
      </w:r>
    </w:p>
    <w:p>
      <w:pPr>
        <w:spacing w:after="0" w:line="218"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 other includes selling and marketing, product management, third-party royalties and other cost of goods sold excluding interchange. Selling and marketing costs, which are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Product management costs are primarily the human resource costs related to developing and documenting our product requirements.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are not allocated to segments, and the Company’s CODM does not evaluate operating segments using discrete asset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following is revenue by primary solution category for the Company’s reportable segments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Billers</w:t>
            </w: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Solution Categories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 Payments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726,518</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Payments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165,910</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Fraud Management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52,412</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Real-Time Payments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126,740</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Issuing and Acquiring</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522,708</w:t>
            </w:r>
          </w:p>
        </w:tc>
      </w:tr>
      <w:tr>
        <w:trPr>
          <w:trHeight w:val="248"/>
        </w:trPr>
        <w:tc>
          <w:tcPr>
            <w:tcW w:w="48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1,594,288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Solution Categories</w:t>
            </w: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Billers</w:t>
            </w: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Bill Payments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685,912</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 Business Banking</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Payments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150,616</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Fraud Management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Real-Time Payments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128,957</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Issuing and Acquiring</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420,799</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1,452,579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Merchants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Billers</w:t>
            </w: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Solution Categories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 Payments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629,411</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Business Banking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35,504</w:t>
            </w: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Merchant Payments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153,905</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Fraud Management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Real-Time Payments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104,777</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Issuing and Acquiring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450,883</w:t>
            </w:r>
          </w:p>
        </w:tc>
      </w:tr>
      <w:tr>
        <w:trPr>
          <w:trHeight w:val="223"/>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638,585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629,411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1,421,901</w:t>
            </w: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Divestiture,</w:t>
      </w:r>
      <w:r>
        <w:rPr>
          <w:rFonts w:ascii="Times New Roman" w:cs="Times New Roman" w:eastAsia="Times New Roman" w:hAnsi="Times New Roman"/>
          <w:sz w:val="18"/>
          <w:szCs w:val="18"/>
          <w:color w:val="auto"/>
        </w:rPr>
        <w:t xml:space="preserve"> in 2022 the Company divested its corporate online banking solution assets, which were included in the Digital Business Banking solution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following is revenue by the Company's reportable segments for the periods indicated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Banks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48,932</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336,028</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184,017</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69,608</w:t>
            </w:r>
          </w:p>
        </w:tc>
      </w:tr>
      <w:tr>
        <w:trPr>
          <w:trHeight w:val="22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638,585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Merchants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124,631</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Billers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629,317</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726,518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685,912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629,411</w:t>
            </w:r>
          </w:p>
        </w:tc>
      </w:tr>
      <w:tr>
        <w:trPr>
          <w:trHeight w:val="21"/>
        </w:trPr>
        <w:tc>
          <w:tcPr>
            <w:tcW w:w="70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47"/>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is the Company's revenue by geographic location for the periods indicated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7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2"/>
                <w:szCs w:val="22"/>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887,168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851,712</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570,189</w:t>
            </w:r>
          </w:p>
        </w:tc>
      </w:tr>
      <w:tr>
        <w:trPr>
          <w:trHeight w:val="223"/>
        </w:trPr>
        <w:tc>
          <w:tcPr>
            <w:tcW w:w="7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1,421,901</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Company’s long-lived assets by geographic location for the periods indicated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1,169,965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1,216,158</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763,437</w:t>
            </w: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1,961,758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1,979,595</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consolidated revenues during the years ended December 31, 2024, 2023, and 2022. No other country outside the United States accounted for more than 10% of the Company’s consolidated revenues during the years ended December 31, 2024, 2023, and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financial reporting purposes, income (loss) before income taxes includes the following components (in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218,386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expense (benefit) for income taxes consists of the following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3"/>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Differences between the income tax expense computed at the statutory federal income tax rate and per the consolidated statements of operations are summarized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at federal rate of 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Unrecognized tax benefit increase (decrease)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 of research &amp;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 of divestiture</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r>
      <w:tr>
        <w:trPr>
          <w:trHeight w:val="22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48"/>
        </w:trPr>
        <w:tc>
          <w:tcPr>
            <w:tcW w:w="7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countries having the greatest impact on the tax rate adjustment line shown in the above table as “Foreign tax rate differential” for the three years reported are Ireland and the United Kingdom.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assets and liabilities result from differences in the timing of the recognition of certain income and expense items for tax and financial accounting purposes. The sources of these differences at each balance sheet date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interest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108,528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Withholding tax liability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taxes / liabilities included in the balance sheet 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asset – noncurrent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income tax liability – noncurrent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projected future taxable income, carryback opportunities, and tax planning strategies in making this assessment. Based upon the level of historical taxable income and projections for future taxable income over the periods which the deferred tax assets are deductible, the Company believes it is more likely than not that it will realize the benefits of these deductible differences, net of the valuation allowances recorded. At December 31, 2024, valuation allowances recorded primarily related to net operating losses, foreign tax credit carryforwards, and future interest deductions.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domestic federal tax net operating losses (“NOLs”) of $42.8 million, of which $2.9 million may be utilized over an indefinite life, with the remainder beginning to expire in 2025. The Company had deferred tax assets equal to $0.7 million related to domestic state tax NOLs which will begin to expire in 2025. The Company did not have any valuation allowance against the federal tax NOLs but had provided a $0.4 million valuation allowance against the deferred tax asset associated with the state NOLs. The Company had foreign tax NOLs of $14.5 million, of which $14.4 million may be utilized over an indefinite life, with the remainder expiring over the next five years. The Company did not have any valuation allowance against the deferred tax asset associated with the foreign NOLs.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U.S. foreign tax credit carryforwards at December 31, 2024, of $2.7 million, for which a $2.7 million valuation allowance had been provided. The U.S. foreign tax credits will begin to expire in 2028. The Company had foreign tax credit carryforwards in other foreign jurisdictions at December 31, 2024, of $3.9 million, of which $0.7 million may be utilized over an indefinite life, with the remainder expiring over the next seven years. The Company had provided a $0.7 million valuation allowance against the tax benefit associated with these foreign credits. The Company also had domestic federal general business tax credit carryforwards at December 31, 2024, of $26.6 million, which will expire in 2037 and state general business tax credit carryforwards of $0.4 million, which will begin to expire in 2026.</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did not provide deferred taxes on $45.7 million of unremitted earnings of its Indian subsidiaries that are considered permanently reinvested. The company did not estimate the deferred tax liability on these earnings as such estimation is not practicable to determine or is immaterial to the financial</w:t>
      </w:r>
    </w:p>
    <w:p>
      <w:pPr>
        <w:jc w:val="both"/>
        <w:spacing w:after="0" w:line="250" w:lineRule="auto"/>
        <w:rPr>
          <w:sz w:val="20"/>
          <w:szCs w:val="20"/>
          <w:color w:val="auto"/>
        </w:rPr>
      </w:pPr>
      <w:r>
        <w:rPr>
          <w:rFonts w:ascii="Times New Roman" w:cs="Times New Roman" w:eastAsia="Times New Roman" w:hAnsi="Times New Roman"/>
          <w:sz w:val="18"/>
          <w:szCs w:val="18"/>
          <w:color w:val="auto"/>
        </w:rPr>
        <w:t>statements. As of December 31, 2024, deferred taxes for non-United States withholding and other taxes were provided on $31.5 million of unremitted earnings of non-United States subsidiaries that may be remitted to the United States. As of December 31, 2024 and 2023, the Company recorded a deferred tax liability of $1.0 million and $0.6 million, respectively, related to these non-United States earnings that may be remitted.</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a German interest deduction carryforward of $9.0 million and $8.5 million, respectively, for which a full valuation allowance had been provided. The deferred interest deduction has an indefinite life.</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unrecognized tax benefit at December 31, 2024 and 2023, was $21.0 million and $20.9 million, respectively, of which $10.7 million and $10.5 million, respectively, are included in other noncurrent liabilities in the consolidated balance sheets. Of the total unrecognized tax benefit amounts at December 31, 2024 and 2023, $20.4 million and $20.1 million, respectively, represent the net unrecognized tax benefits that, if recognized, would favorably impact the effective income tax rate in the respective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for the years ended December 31 is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unrecognized tax benefits at beginning of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Increases for tax positions of prior years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Decreases for tax positions of prior years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Increases for tax positions established for the current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Decreases for settlements with taxing authorities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resulting from lapse of applicable statute of limitation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resulting from foreign 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unrecognized tax benefits at end of year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26,408</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 and local jurisdictions, and many foreign jurisdictions. The United States, Ireland, and the United Kingdom are the main taxing jurisdictions in which the Company operates. The years open for audit vary depending on the tax jurisdiction. In the United States, the Company’s federal tax return for years following 2020 are open for audit. In the foreign jurisdictions, the tax returns open for audit generally vary by jurisdiction between 2005 and 2023.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currently under audit by the U.S. Internal Revenue Service for the year ended December 31, 2021. The Company’s Indian income tax returns covering fiscal years ended March 31, 2005, 2014, 2016 and 2020 through 2023 are under audit by the Indian tax authority. Other foreign subsidiaries could face challenges from various foreign tax authorities. It is not certain that the local authorities will accept the Company’s tax positions. The Company believes its tax positions comply with applicable tax law and intends to vigorously defend its positions. However, differing positions on certain issues could be upheld by tax authorities, which could adversely affect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it is reasonably possible that the total amount of unrecognized tax benefits will decrease within the next 12 months by approximately $0.8 million due to the settlement of various audits and the expiration of statutes of limitations. The Company accrues interest related to uncertain tax positions in interest expense or interest income and recognizes penalties related to uncertain tax positions in other income or other expense. As of December 31, 2024 and 2023, $0.4 million and $0.5 million, respectively, is accrued for the payment of interest and penalties related to income tax liabilities. The aggregate amount of interest and penalties expense (benefit) recorded in the statements of operations for the years ended December 31, 2024, 2023, and 2022, was $(0.1) million, $(0.1) million, and $(0.5)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primarily for corporate offices and data centers. Excluding office leases, leases with an initial term of 12-months or less that do not include an option to purchase the underlying asset are not recorded on the consolidated balance sheet and are expensed on a straight-line basis over the lease term.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typically include certain renewal options to extend the leases for up to 25 years, some of which include options to terminate the leases within one year. The exercise of lease renewal options is at the Company’s sole discretion. The Company combines lease and non-lease components of its leases and currently has no leases with options to purchase the leased property. Payments of maintenance and property tax costs paid by the Company are accounted for as variable lease cost, which are expensed as incurred.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an assignment and assumption of lease agreement with a third-party for one of its corporate offices. The third-party is responsible for making payments directly to the landlord and the related lease's initial term expires on September 30, 2031. During an initial period ending April 30, 2025, the Company is required to make a base rent contribution of less than $0.1 million per month to the third-party, with the third-party responsible for the entirety of the lease payments after that date.</w:t>
      </w:r>
    </w:p>
    <w:p>
      <w:pPr>
        <w:sectPr>
          <w:pgSz w:w="11900" w:h="16838" w:orient="portrait"/>
          <w:cols w:equalWidth="0" w:num="1">
            <w:col w:w="11240"/>
          </w:cols>
          <w:pgMar w:left="320" w:top="891"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0628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220"/>
          </w:cols>
          <w:pgMar w:left="320" w:top="891" w:right="33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7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sublease payments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 except lease term and discount rate):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7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7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29,074</w:t>
            </w: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38,422</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7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operating lease term (years)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7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its incremental borrowing rate as the discount rate. As the Company enters into operating leases in multiple jurisdictions and denominated in currencies other than the U.S. dollar, judgment is used to determine the Company’s incremental borrowing rate including (1) conversion of its subordinated borrowing rate (using published yield curves) to an unsubordinated and collateralized rate, (2) adjusting the rate to align with the term of each lease, and (3) adjusting the rate to incorporate the effects of the currency in which the lease is denominated.</w:t>
      </w:r>
    </w:p>
    <w:p>
      <w:pPr>
        <w:sectPr>
          <w:pgSz w:w="11900" w:h="16838" w:orient="portrait"/>
          <w:cols w:equalWidth="0" w:num="1">
            <w:col w:w="11240"/>
          </w:cols>
          <w:pgMar w:left="320" w:top="1022" w:right="3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on lease liabilities as of December 31, 2024, are as follows (in thousands):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lease liability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40" w:hanging="732"/>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10,213</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6,974</w:t>
      </w:r>
    </w:p>
    <w:p>
      <w:pPr>
        <w:spacing w:after="0" w:line="34"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5,662</w:t>
      </w:r>
    </w:p>
    <w:p>
      <w:pPr>
        <w:spacing w:after="0" w:line="34"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4,889</w:t>
      </w:r>
    </w:p>
    <w:p>
      <w:pPr>
        <w:spacing w:after="0" w:line="34"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2,547</w:t>
      </w:r>
    </w:p>
    <w:p>
      <w:pPr>
        <w:spacing w:after="0" w:line="6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3,885</w:t>
      </w:r>
    </w:p>
    <w:p>
      <w:pPr>
        <w:spacing w:after="0" w:line="7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34,170</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2,313</w:t>
      </w:r>
    </w:p>
    <w:p>
      <w:pPr>
        <w:spacing w:after="0" w:line="36" w:lineRule="exact"/>
        <w:rPr>
          <w:sz w:val="20"/>
          <w:szCs w:val="20"/>
          <w:color w:val="auto"/>
        </w:rPr>
      </w:pPr>
    </w:p>
    <w:p>
      <w:pPr>
        <w:ind w:left="740" w:hanging="732"/>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401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9180" w:space="720"/>
            <w:col w:w="1340"/>
          </w:cols>
          <w:pgMar w:left="320" w:top="1022" w:right="3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recognizes the fair value for guarantee and indemnification arrangements it issues or modifies if these arrangements are within the scope of the interpretation. In addition, the Company must continue to monitor the conditions that are subject to the guarantees and indemnifications, as required under the previously existing generally accepted accounting principles, to identify if a loss has occurred. If the Company determines it is probable a loss has occurred, then any estimable loss would be recognized under those guarantees and indemnifications. Under its customer agreements, the Company may agree to indemnify, defend, and hold harmless its customers from and against certain losses, damages, and costs arising from claims alleging that the use of its software infringes the intellectual property of a third-party. Historically, the Company has not been required to pay material amounts in connection with claims asserted under these provisions, and accordingly, the Company has not recorded a liability relating to such provisions.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its customer agreements, the Company also may represent and warrant to customers that its software will operate substantially in conformance with its documentation, and that the services the Company performs will be performed in a workmanlike manner by personnel reasonably qualified by experience and expertise to perform their assigned tasks. Historically, only minimal costs have been incurred relating to the satisfaction of warranty claims. In addition, from time to time, the Company may guarantee the performance of a contract on behalf of one or more of its subsidiaries, or a subsidiary may guarantee the performance of a contract on behalf of another subsidiary.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guarantees include promises to indemnify, defend, and hold harmless the Company’s executive officers, directors, and certain other key officers. The Company’s certificate of incorporation provides that it will indemnify and advance expenses to its directors and officers to the maximum extent permitted by Delaware law. The indemnification covers any expenses and liabilities reasonably incurred by a person, by reason of the fact that such person is, was, or has agreed to be a director or</w:t>
      </w:r>
    </w:p>
    <w:p>
      <w:pPr>
        <w:sectPr>
          <w:pgSz w:w="11900" w:h="16838" w:orient="portrait"/>
          <w:cols w:equalWidth="0" w:num="1">
            <w:col w:w="11240"/>
          </w:cols>
          <w:pgMar w:left="320" w:top="1022"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84" w:name="page85"/>
    <w:bookmarkEnd w:id="84"/>
    <w:p>
      <w:pPr>
        <w:jc w:val="both"/>
        <w:spacing w:after="0" w:line="258" w:lineRule="auto"/>
        <w:rPr>
          <w:sz w:val="20"/>
          <w:szCs w:val="20"/>
          <w:color w:val="auto"/>
        </w:rPr>
      </w:pPr>
      <w:r>
        <w:rPr>
          <w:rFonts w:ascii="Times New Roman" w:cs="Times New Roman" w:eastAsia="Times New Roman" w:hAnsi="Times New Roman"/>
          <w:sz w:val="18"/>
          <w:szCs w:val="18"/>
          <w:color w:val="auto"/>
        </w:rPr>
        <w:t>officer, in connection with the investigation, defense, and settlement of any threatened, pending, or completed action, suit, proceeding, or claim. The Company’s certificate of incorporation authorizes the use of indemnification agreements, and the Company enters into such agreements with its directors and certain officers from time to time. These indemnification agreements typically provide for a broader scope of the Company’s obligation to indemnify the directors and officers than set forth in the certificate of incorporation. The Company’s contractual indemnification obligations under these agreements are in addition to the respective directors’ and officers’ rights under the certificate of incorporation or under Delaware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2021, ACH files associated with one of the Company's mortgage servicing customers were inadvertently transmitted into the ACH network during a test of the Company's payment processing system. The Company took immediate corrective action and issued reversing ACH files, restoring affected accounts.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customer commenced an action for damages as a result of this event. The Company settled with the customer for the amount of $1.8 million, which was funded by insurance carriers.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received from or expected to be received from insurance carriers are generally subject to the respective carriers' reservation of rights.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from time to time subject to other claims, litigation, and investigations. While the Company believes that none of the currently pending matters is reasonably likely to have a material adverse effect on it, there can be no assurance with respect thereto or future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various defined contribution plans for our U.S. and non-U.S. employees. Total defined contribution plan expense was $13.2 million, $12.8 million, and $13.4 million during the years ended December 31, 2024, 2023, and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 401(k)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ACI 401(k) Plan is a defined contribution plan covering all domestic employees of the Company. Participants may contribute up to 75% of their annual eligible compensation up to a maximum of $23,000 (for employees who are under the age of 50 on December 31, 2024) or a maximum of $30,500 (for employees aged 50 or older on December 31, 2024). The Company matches 100% of the first 4% of eligible participant contributions and 50% of the next 4% of eligible participant contributions, not to exceed $6,000 per employee annually. Effective January 1, 2024, employees are eligible for the Company match immediately. Employees hired January 1, 2024, and after have a one year vesting schedule for the match. Company contributions charged to expense were $6.2 million, $5.0 million, and $6.2 million during the years ended December 31, 2024, 2023, and 2022,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 Worldwide EMEA Group Personal Pension Scheme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ACI Worldwide EMEA Group Personal Pension Scheme is a defined contribution plan covering substantially all ACI Worldwide (EMEA) Limited (“ACI-EMEA”) employees. For those ACI-EMEA employees who elect to participate in the plan, the Company contributes a minimum of 8.5% of eligible compensation to the plan for employees employed at December 1, 2000 or from 7% to 10% of eligible compensation for employees employed subsequent to December 1, 2000. ACI-EMEA contributions charged to expense were $1.7 million during both the years ended December 31, 2024 and 2023, and $1.6 million during the year ended December 31,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gridSpan w:val="33"/>
          </w:tcPr>
          <w:p>
            <w:pPr>
              <w:jc w:val="center"/>
              <w:ind w:right="460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43"/>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gridSpan w:val="4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98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3.01</w:t>
            </w:r>
          </w:p>
        </w:tc>
        <w:tc>
          <w:tcPr>
            <w:tcW w:w="7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17"/>
                <w:szCs w:val="17"/>
                <w:color w:val="auto"/>
              </w:rPr>
            </w:pPr>
          </w:p>
        </w:tc>
        <w:tc>
          <w:tcPr>
            <w:tcW w:w="5300" w:type="dxa"/>
            <w:vAlign w:val="bottom"/>
            <w:tcBorders>
              <w:bottom w:val="single" w:sz="8" w:color="0000FF"/>
            </w:tcBorders>
            <w:gridSpan w:val="15"/>
            <w:shd w:val="clear" w:color="auto" w:fill="CCEEFF"/>
          </w:tcPr>
          <w:p>
            <w:pPr>
              <w:spacing w:after="0" w:line="182"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2013 Amended and Restated Certificate of Incorporation of the Company</w:t>
              </w:r>
            </w:hyperlink>
          </w:p>
        </w:tc>
        <w:tc>
          <w:tcPr>
            <w:tcW w:w="4180" w:type="dxa"/>
            <w:vAlign w:val="bottom"/>
            <w:tcBorders>
              <w:bottom w:val="single" w:sz="8" w:color="CCEEFF"/>
            </w:tcBorders>
            <w:gridSpan w:val="25"/>
            <w:shd w:val="clear" w:color="auto" w:fill="CCEEFF"/>
          </w:tcPr>
          <w:p>
            <w:pPr>
              <w:spacing w:after="0"/>
              <w:rPr>
                <w:sz w:val="17"/>
                <w:szCs w:val="17"/>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3.02</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Bylaws of the Company</w:t>
              </w:r>
            </w:hyperlink>
          </w:p>
        </w:tc>
      </w:tr>
      <w:tr>
        <w:trPr>
          <w:trHeight w:val="21"/>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948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Common Stock Certificate (P)</w:t>
            </w: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4.02</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Indenture, dated as of August 21, 2018, among ACI Worldwide, Inc., the guarantors listed therein, and Wilmington Trust, National</w:t>
              </w:r>
            </w:hyperlink>
          </w:p>
        </w:tc>
      </w:tr>
      <w:tr>
        <w:trPr>
          <w:trHeight w:val="156"/>
        </w:trPr>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4.03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8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5.750% Senior Notes due 2026 (Included as Exhibit A to Exhibit 4.02)</w:t>
              </w:r>
            </w:hyperlink>
          </w:p>
        </w:tc>
      </w:tr>
      <w:tr>
        <w:trPr>
          <w:trHeight w:val="189"/>
        </w:trPr>
        <w:tc>
          <w:tcPr>
            <w:tcW w:w="98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4.04</w:t>
            </w:r>
          </w:p>
        </w:tc>
        <w:tc>
          <w:tcPr>
            <w:tcW w:w="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72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w:t>
            </w:r>
          </w:p>
        </w:tc>
        <w:tc>
          <w:tcPr>
            <w:tcW w:w="3760" w:type="dxa"/>
            <w:vAlign w:val="bottom"/>
            <w:tcBorders>
              <w:top w:val="single" w:sz="8" w:color="CCEEFF"/>
            </w:tcBorders>
            <w:gridSpan w:val="23"/>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10.01</w:t>
            </w:r>
          </w:p>
        </w:tc>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ACI Worldwide, Inc. 2017 Employee Stock Purchase Plan</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10.02</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ACI Worldwide, Inc. 2005 Equity and Performance Incentive Plan, as amended</w:t>
              </w:r>
            </w:hyperlink>
          </w:p>
        </w:tc>
      </w:tr>
      <w:tr>
        <w:trPr>
          <w:trHeight w:val="21"/>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10.03</w:t>
            </w:r>
          </w:p>
        </w:tc>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CCEEFF"/>
            </w:tcBorders>
            <w:shd w:val="clear" w:color="auto" w:fill="CCEEFF"/>
          </w:tcPr>
          <w:p>
            <w:pPr>
              <w:spacing w:after="0"/>
              <w:rPr>
                <w:sz w:val="18"/>
                <w:szCs w:val="18"/>
                <w:color w:val="auto"/>
              </w:rPr>
            </w:pPr>
          </w:p>
        </w:tc>
        <w:tc>
          <w:tcPr>
            <w:tcW w:w="7800" w:type="dxa"/>
            <w:vAlign w:val="bottom"/>
            <w:tcBorders>
              <w:bottom w:val="single" w:sz="8" w:color="0000FF"/>
            </w:tcBorders>
            <w:gridSpan w:val="23"/>
            <w:shd w:val="clear" w:color="auto" w:fill="CCEEFF"/>
          </w:tcPr>
          <w:p>
            <w:pPr>
              <w:spacing w:after="0" w:line="18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Indemnification Agreement between the Company and certain officers, including executive officers</w:t>
              </w:r>
            </w:hyperlink>
          </w:p>
        </w:tc>
        <w:tc>
          <w:tcPr>
            <w:tcW w:w="1680" w:type="dxa"/>
            <w:vAlign w:val="bottom"/>
            <w:tcBorders>
              <w:bottom w:val="single" w:sz="8" w:color="CCEEFF"/>
            </w:tcBorders>
            <w:gridSpan w:val="17"/>
            <w:shd w:val="clear" w:color="auto" w:fill="CCEEFF"/>
          </w:tcPr>
          <w:p>
            <w:pPr>
              <w:spacing w:after="0"/>
              <w:rPr>
                <w:sz w:val="18"/>
                <w:szCs w:val="18"/>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10.04</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ACI Worldwide, Inc. 2013 Executive Management Incentive Compensation Plan</w:t>
              </w:r>
            </w:hyperlink>
          </w:p>
        </w:tc>
      </w:tr>
      <w:tr>
        <w:trPr>
          <w:trHeight w:val="21"/>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10.05</w:t>
            </w:r>
          </w:p>
        </w:tc>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FF"/>
            </w:tcBorders>
            <w:gridSpan w:val="10"/>
            <w:shd w:val="clear" w:color="auto" w:fill="CCEEFF"/>
          </w:tcPr>
          <w:p>
            <w:pPr>
              <w:spacing w:after="0" w:line="18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Amended and Restated Deferred Compensation Plan</w:t>
              </w:r>
            </w:hyperlink>
          </w:p>
        </w:tc>
        <w:tc>
          <w:tcPr>
            <w:tcW w:w="5680" w:type="dxa"/>
            <w:vAlign w:val="bottom"/>
            <w:tcBorders>
              <w:bottom w:val="single" w:sz="8" w:color="CCEEFF"/>
            </w:tcBorders>
            <w:gridSpan w:val="30"/>
            <w:shd w:val="clear" w:color="auto" w:fill="CCEEFF"/>
          </w:tcPr>
          <w:p>
            <w:pPr>
              <w:spacing w:after="0"/>
              <w:rPr>
                <w:sz w:val="18"/>
                <w:szCs w:val="18"/>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10.06</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Second Amended and Restated Credit Agreement, dated as of April 5, 2019, among ACI Worldwide, Inc., its affiliates that are a</w:t>
              </w:r>
            </w:hyperlink>
          </w:p>
        </w:tc>
      </w:tr>
      <w:tr>
        <w:trPr>
          <w:trHeight w:val="155"/>
        </w:trPr>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party thereto, Bank of America, N.A. and the lenders that are a party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10.07</w:t>
            </w:r>
          </w:p>
        </w:tc>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Extension Agreement, dated as of April 28, 2023, among ACI Worldwide, Inc., ACI Worldwide Corp., ACI Payments, Inc. and</w:t>
              </w:r>
            </w:hyperlink>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6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Bank of America, N.A., as administrative agent for the lenders</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10.08</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Refinancing Amendment, dated as of February 26, 2024, among ACI Worldwide, Inc., ACI Worldwide Corp., ACI Payments, Inc.</w:t>
              </w:r>
            </w:hyperlink>
          </w:p>
        </w:tc>
      </w:tr>
      <w:tr>
        <w:trPr>
          <w:trHeight w:val="156"/>
        </w:trPr>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Bank of America, N.A., as administrative agent for the lenders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10.09</w:t>
            </w:r>
          </w:p>
        </w:tc>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ACI Worldwide, Inc. 2016 Equity and Performance Incentive Plan</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2016 Restricted Share Unit Award Agreement for the Company’s 2016 Equity and Performance Incentive Plan</w:t>
              </w:r>
            </w:hyperlink>
          </w:p>
        </w:tc>
      </w:tr>
      <w:tr>
        <w:trPr>
          <w:trHeight w:val="20"/>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2016 Performance Share Award Agreement (rTSR Performance Share Awards)</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Change in Control Employment Agreement between ACI Worldwide, Inc. and certain officers, including executive</w:t>
              </w:r>
            </w:hyperlink>
          </w:p>
        </w:tc>
      </w:tr>
      <w:tr>
        <w:trPr>
          <w:trHeight w:val="156"/>
        </w:trPr>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officers</w:t>
              </w:r>
            </w:hyperlink>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2015 Nonqualified Stock Option Agreement - Employee for the Company's 2005 Equity and Performance Incentive Plan,</w:t>
              </w:r>
            </w:hyperlink>
          </w:p>
        </w:tc>
      </w:tr>
      <w:tr>
        <w:trPr>
          <w:trHeight w:val="190"/>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as amended</w:t>
              </w:r>
            </w:hyperlink>
          </w:p>
        </w:tc>
        <w:tc>
          <w:tcPr>
            <w:tcW w:w="8560" w:type="dxa"/>
            <w:vAlign w:val="bottom"/>
            <w:tcBorders>
              <w:top w:val="single" w:sz="8" w:color="0000FF"/>
              <w:bottom w:val="single" w:sz="8" w:color="CCEEFF"/>
            </w:tcBorders>
            <w:gridSpan w:val="34"/>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2016 Nonqualified Stock Option Agreement for the Company’s 2016 Equity and Performance Incentive Plan, as amended</w:t>
              </w:r>
            </w:hyperlink>
          </w:p>
        </w:tc>
      </w:tr>
      <w:tr>
        <w:trPr>
          <w:trHeight w:val="20"/>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7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1"/>
                <w:szCs w:val="21"/>
                <w:color w:val="auto"/>
              </w:rPr>
            </w:pPr>
          </w:p>
        </w:tc>
        <w:tc>
          <w:tcPr>
            <w:tcW w:w="948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ACI Worldwide, Inc. 2020 Equity and Incentive Compensation Plan, as amended and restated effective June 1, 2023</w:t>
              </w:r>
            </w:hyperlink>
          </w:p>
        </w:tc>
      </w:tr>
      <w:tr>
        <w:trPr>
          <w:trHeight w:val="203"/>
        </w:trPr>
        <w:tc>
          <w:tcPr>
            <w:tcW w:w="98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76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CCEEFF"/>
            </w:tcBorders>
          </w:tcPr>
          <w:p>
            <w:pPr>
              <w:spacing w:after="0"/>
              <w:rPr>
                <w:sz w:val="17"/>
                <w:szCs w:val="17"/>
                <w:color w:val="auto"/>
              </w:rPr>
            </w:pPr>
          </w:p>
        </w:tc>
        <w:tc>
          <w:tcPr>
            <w:tcW w:w="8380" w:type="dxa"/>
            <w:vAlign w:val="bottom"/>
            <w:tcBorders>
              <w:top w:val="single" w:sz="8" w:color="0000FF"/>
            </w:tcBorders>
            <w:gridSpan w:val="26"/>
          </w:tcPr>
          <w:p>
            <w:pPr>
              <w:spacing w:after="0" w:line="20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Restricted Share Unit Award Agreement for the Company's 2020 Equity and Incentive Compensation Plan</w:t>
              </w:r>
            </w:hyperlink>
          </w:p>
        </w:tc>
        <w:tc>
          <w:tcPr>
            <w:tcW w:w="1100" w:type="dxa"/>
            <w:vAlign w:val="bottom"/>
            <w:tcBorders>
              <w:top w:val="single" w:sz="8" w:color="CCEEFF"/>
            </w:tcBorders>
            <w:gridSpan w:val="14"/>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10.17</w:t>
            </w:r>
          </w:p>
        </w:tc>
        <w:tc>
          <w:tcPr>
            <w:tcW w:w="7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7"/>
                <w:szCs w:val="17"/>
                <w:color w:val="auto"/>
              </w:rPr>
            </w:pPr>
          </w:p>
        </w:tc>
        <w:tc>
          <w:tcPr>
            <w:tcW w:w="948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Performance Share Award Agreement for the Company's 2020 Equity and Incentive Compensation Plan</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Director Restricted Share Unit Award Agreement for the Company's 2020 Equity and Incentive Compensation Plan</w:t>
              </w:r>
            </w:hyperlink>
          </w:p>
        </w:tc>
      </w:tr>
      <w:tr>
        <w:trPr>
          <w:trHeight w:val="21"/>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0000FF"/>
            </w:tcBorders>
            <w:gridSpan w:val="19"/>
            <w:shd w:val="clear" w:color="auto" w:fill="CCEEFF"/>
          </w:tcPr>
          <w:p>
            <w:pPr>
              <w:spacing w:after="0" w:line="189"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Form of Severance Agreement between ACI Worldwide, Inc. and Thomas Warsop</w:t>
              </w:r>
            </w:hyperlink>
          </w:p>
        </w:tc>
        <w:tc>
          <w:tcPr>
            <w:tcW w:w="3540" w:type="dxa"/>
            <w:vAlign w:val="bottom"/>
            <w:tcBorders>
              <w:bottom w:val="single" w:sz="8" w:color="CCEEFF"/>
            </w:tcBorders>
            <w:gridSpan w:val="21"/>
            <w:shd w:val="clear" w:color="auto" w:fill="CCEEFF"/>
          </w:tcPr>
          <w:p>
            <w:pPr>
              <w:spacing w:after="0"/>
              <w:rPr>
                <w:sz w:val="18"/>
                <w:szCs w:val="18"/>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Change In Control Employment Agreement between ACI Worldwide, Inc. and Thomas Warsop</w:t>
              </w:r>
            </w:hyperlink>
          </w:p>
        </w:tc>
      </w:tr>
      <w:tr>
        <w:trPr>
          <w:trHeight w:val="20"/>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19.00</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Trading Policy</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21.01</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 (filed herewith)</w:t>
            </w:r>
          </w:p>
        </w:tc>
      </w:tr>
      <w:tr>
        <w:trPr>
          <w:trHeight w:val="21"/>
        </w:trPr>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23.01</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 (filed herewith) – Deloitte &amp; Touche LLP</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31.01</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 Rule 13a-14, as adopted pursuant to Section 302 of the Sarbanes-Oxley</w:t>
            </w:r>
          </w:p>
        </w:tc>
      </w:tr>
      <w:tr>
        <w:trPr>
          <w:trHeight w:val="155"/>
        </w:trPr>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8"/>
          </w:tcPr>
          <w:p>
            <w:pPr>
              <w:spacing w:after="0" w:line="156" w:lineRule="exact"/>
              <w:rPr>
                <w:sz w:val="20"/>
                <w:szCs w:val="20"/>
                <w:color w:val="auto"/>
              </w:rPr>
            </w:pPr>
            <w:r>
              <w:rPr>
                <w:rFonts w:ascii="Times New Roman" w:cs="Times New Roman" w:eastAsia="Times New Roman" w:hAnsi="Times New Roman"/>
                <w:sz w:val="18"/>
                <w:szCs w:val="18"/>
                <w:color w:val="0000FF"/>
              </w:rPr>
              <w:t>Act of 2002 (filed herewith)</w:t>
            </w:r>
          </w:p>
        </w:tc>
        <w:tc>
          <w:tcPr>
            <w:tcW w:w="40" w:type="dxa"/>
            <w:vAlign w:val="bottom"/>
            <w:gridSpan w:val="2"/>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31.02</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 as adopted pursuant to Section 302 of the Sarbanes-Oxley</w:t>
            </w: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360" w:type="dxa"/>
            <w:vAlign w:val="bottom"/>
            <w:tcBorders>
              <w:top w:val="single" w:sz="8" w:color="0000FF"/>
            </w:tcBorders>
            <w:gridSpan w:val="3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 of 2002 (filed herewith)</w:t>
            </w:r>
          </w:p>
        </w:tc>
        <w:tc>
          <w:tcPr>
            <w:tcW w:w="120" w:type="dxa"/>
            <w:vAlign w:val="bottom"/>
            <w:tcBorders>
              <w:top w:val="single" w:sz="8" w:color="CCEEFF"/>
            </w:tcBorders>
            <w:gridSpan w:val="6"/>
            <w:shd w:val="clear" w:color="auto" w:fill="CCEEFF"/>
          </w:tcPr>
          <w:p>
            <w:pPr>
              <w:spacing w:after="0"/>
              <w:rPr>
                <w:sz w:val="13"/>
                <w:szCs w:val="13"/>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32.01</w:t>
            </w:r>
          </w:p>
        </w:tc>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94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5"/>
        </w:trPr>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 (furnished herewith)</w:t>
            </w:r>
          </w:p>
        </w:tc>
        <w:tc>
          <w:tcPr>
            <w:tcW w:w="200" w:type="dxa"/>
            <w:vAlign w:val="bottom"/>
            <w:gridSpan w:val="7"/>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32.02</w:t>
            </w:r>
          </w:p>
        </w:tc>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94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90"/>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60" w:type="dxa"/>
            <w:vAlign w:val="bottom"/>
            <w:tcBorders>
              <w:top w:val="single" w:sz="8" w:color="0000FF"/>
              <w:bottom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 (furnished herewith)</w:t>
            </w:r>
          </w:p>
        </w:tc>
        <w:tc>
          <w:tcPr>
            <w:tcW w:w="6380" w:type="dxa"/>
            <w:vAlign w:val="bottom"/>
            <w:tcBorders>
              <w:top w:val="single" w:sz="8" w:color="0000FF"/>
              <w:bottom w:val="single" w:sz="8" w:color="CCEEFF"/>
            </w:tcBorders>
            <w:gridSpan w:val="25"/>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8"/>
            <w:shd w:val="clear" w:color="auto" w:fill="CCEEFF"/>
          </w:tcPr>
          <w:p>
            <w:pPr>
              <w:spacing w:after="0"/>
              <w:rPr>
                <w:sz w:val="16"/>
                <w:szCs w:val="16"/>
                <w:color w:val="auto"/>
              </w:rPr>
            </w:pPr>
          </w:p>
        </w:tc>
      </w:tr>
      <w:tr>
        <w:trPr>
          <w:trHeight w:val="864"/>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20" w:type="dxa"/>
            <w:vAlign w:val="bottom"/>
            <w:gridSpan w:val="1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97.10</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Clawback Policy</w:t>
            </w:r>
          </w:p>
        </w:tc>
      </w:tr>
      <w:tr>
        <w:trPr>
          <w:trHeight w:val="20"/>
        </w:trPr>
        <w:tc>
          <w:tcPr>
            <w:tcW w:w="176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760" w:type="dxa"/>
            <w:vAlign w:val="bottom"/>
            <w:shd w:val="clear" w:color="auto" w:fill="CCEEFF"/>
          </w:tcPr>
          <w:p>
            <w:pPr>
              <w:spacing w:after="0"/>
              <w:rPr>
                <w:sz w:val="21"/>
                <w:szCs w:val="21"/>
                <w:color w:val="auto"/>
              </w:rPr>
            </w:pPr>
          </w:p>
        </w:tc>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0"/>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2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30"/>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2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2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06"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3.1 to the registrant’s current report on Form 8-K filed August 17, 2017.</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3.1 to the registrant’s current report on Form 8-K/A filed April 1, 2022.</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4.01 to the registrant’s Registration Statement No. 33-88292 on Form S-1.</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4.1 to the registrant’s current report on Form 8-K filed August 21, 2018.</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Annex A to the registrant’s Proxy Statement filed on April 27, 2017.</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10.07 to the registrant’s quarterly report on Form 10-Q for the period ended June 30, 2014.</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10.10 to the registrant’s annual report on Form 10-K for the year ended December 31, 2009.</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Annex A to the registrant’s Proxy Statement for its 2013 Annual Meeting (File No. 000-25346) filed on April 29, 2013.</w:t>
      </w: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4.3 to the registrant’s Registration Statement No. 333-169293 on Form S-8 filed September 9, 2010</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registrant’s current report on Form 8-K filed April 11, 2019.</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registrant's current report on Form 8-K filed May 4,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10.01 to the registrant's quarterly report on Form 10-Q for the period ended March 31, 2024.</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registrant’s current report on Form 8-K filed June 20, 2016.</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10.26 to the registrant’s annual report on Form 10-K for the year ended December 31, 2017.</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10.4 to the registrant’s current report on Form 8-K filed March 8, 2019.</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the registrant’s current report on Form 8-K filed February 20, 2020.</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10.03 to the registrant's quarterly report on Form 10-Q for the period ended March 31, 2020.</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10.04 to the registrant's quarterly report on Form 10-Q for the period ended March 31, 2020.</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reference to Appendix B to the registrant's Proxy Statement filed April 18,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10.06 to the registrant’s quarterly report on Form 10-Q for the period ended June 30,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10.07 to the registrant’s quarterly report on Form 10-Q for the period ended June 30,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10.05 to the registrant's quarterly report on Form 10-Q for the period ended June 30,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registrant's current report on Form 8-K filed May 31,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the registrant's current report on Form 8-K filed May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exhibit that constitutes a management contract, or compensatory plan or arrangement.</w:t>
      </w:r>
    </w:p>
    <w:p>
      <w:pPr>
        <w:spacing w:after="0" w:line="15" w:lineRule="exact"/>
        <w:rPr>
          <w:sz w:val="20"/>
          <w:szCs w:val="20"/>
          <w:color w:val="auto"/>
        </w:rPr>
      </w:pPr>
    </w:p>
    <w:p>
      <w:pPr>
        <w:ind w:left="660" w:hanging="652"/>
        <w:spacing w:after="0" w:line="255" w:lineRule="auto"/>
        <w:tabs>
          <w:tab w:leader="none" w:pos="3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Company specifically incorporates it by reference.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ACI WORLDWIDE, INC.</w:t>
      </w:r>
    </w:p>
    <w:p>
      <w:pPr>
        <w:ind w:left="53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22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THOMAS W. WARSOP, III</w:t>
            </w:r>
          </w:p>
        </w:tc>
      </w:tr>
      <w:tr>
        <w:trPr>
          <w:trHeight w:val="216"/>
        </w:trPr>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W. Warsop, III</w:t>
            </w:r>
          </w:p>
        </w:tc>
      </w:tr>
      <w:tr>
        <w:trPr>
          <w:trHeight w:val="182"/>
        </w:trPr>
        <w:tc>
          <w:tcPr>
            <w:tcW w:w="3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 (Principal Executive</w:t>
            </w:r>
          </w:p>
        </w:tc>
      </w:tr>
      <w:tr>
        <w:trPr>
          <w:trHeight w:val="236"/>
        </w:trPr>
        <w:tc>
          <w:tcPr>
            <w:tcW w:w="3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Officer)</w:t>
            </w:r>
          </w:p>
        </w:tc>
      </w:tr>
    </w:tbl>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90"/>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4"/>
                <w:szCs w:val="14"/>
                <w:color w:val="auto"/>
                <w:w w:val="97"/>
              </w:rPr>
              <w:t>S</w:t>
            </w:r>
            <w:r>
              <w:rPr>
                <w:rFonts w:ascii="Times New Roman" w:cs="Times New Roman" w:eastAsia="Times New Roman" w:hAnsi="Times New Roman"/>
                <w:sz w:val="18"/>
                <w:szCs w:val="18"/>
                <w:color w:val="auto"/>
                <w:w w:val="97"/>
              </w:rPr>
              <w:t>/ THOMAS W. WARSOP, III</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President, Chief Executive Officer, and Director </w:t>
            </w:r>
            <w:r>
              <w:rPr>
                <w:rFonts w:ascii="Times New Roman" w:cs="Times New Roman" w:eastAsia="Times New Roman" w:hAnsi="Times New Roman"/>
                <w:sz w:val="18"/>
                <w:szCs w:val="18"/>
                <w:i w:val="1"/>
                <w:iCs w:val="1"/>
                <w:color w:val="auto"/>
              </w:rPr>
              <w:t>(Principal Executive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68"/>
        </w:trPr>
        <w:tc>
          <w:tcPr>
            <w:tcW w:w="326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Thomas W. Warsop, III</w:t>
            </w:r>
          </w:p>
        </w:tc>
        <w:tc>
          <w:tcPr>
            <w:tcW w:w="100" w:type="dxa"/>
            <w:vAlign w:val="bottom"/>
            <w:vMerge w:val="continue"/>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SCOTT W. BEHRENS</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68"/>
        </w:trPr>
        <w:tc>
          <w:tcPr>
            <w:tcW w:w="326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Officer </w:t>
            </w:r>
            <w:r>
              <w:rPr>
                <w:rFonts w:ascii="Times New Roman" w:cs="Times New Roman" w:eastAsia="Times New Roman" w:hAnsi="Times New Roman"/>
                <w:sz w:val="18"/>
                <w:szCs w:val="18"/>
                <w:i w:val="1"/>
                <w:iCs w:val="1"/>
                <w:color w:val="auto"/>
              </w:rPr>
              <w:t>(Principal Financial Officer)</w:t>
            </w: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Scott W. Behrens</w:t>
            </w:r>
          </w:p>
        </w:tc>
        <w:tc>
          <w:tcPr>
            <w:tcW w:w="100" w:type="dxa"/>
            <w:vAlign w:val="bottom"/>
            <w:vMerge w:val="continue"/>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ADALIO T. SANCHEZ</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Adalio T. Sanchez</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JUAN BENITEZ</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Juan Benitez</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JANET O. ESTEP</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Janet O. Estep</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MARY HARMAN</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Mary Harman</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S</w:t>
            </w:r>
            <w:r>
              <w:rPr>
                <w:rFonts w:ascii="Times New Roman" w:cs="Times New Roman" w:eastAsia="Times New Roman" w:hAnsi="Times New Roman"/>
                <w:sz w:val="18"/>
                <w:szCs w:val="18"/>
                <w:color w:val="auto"/>
                <w:w w:val="98"/>
              </w:rPr>
              <w:t>/ KATRINKA MCCALLUM</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Katrinka McCallum</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CHARLES E. PETERS, JR</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E. Peters, JR</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SAMIR ZABANEH</w:t>
            </w:r>
          </w:p>
        </w:tc>
        <w:tc>
          <w:tcPr>
            <w:tcW w:w="10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34"/>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Samir Zabaneh</w:t>
            </w:r>
          </w:p>
        </w:tc>
        <w:tc>
          <w:tcPr>
            <w:tcW w:w="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887" w:right="3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4.04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brief description of the capital stock of ACI Worldwide, Inc. (“us”, “our”, “we”, or the “Company”). This description is not complete and is subject to and qualified in its entirety by reference to the complete text of our 2013 Amended and Restated Certificate of Incorporation, as amended and restated from time to time (“Certificate of Incorporation”), and our Amended and Restated Bylaws, as amended and restated from time to time (“Bylaws”), both of which were previously filed with the U.S. Securities and Exchange Commission and incorporated by reference as an exhibit to this Annual Report on Form 10-K of which this Exhibit 4.[04] is a part. We encourage you to read our Certificate of Incorporation, our Bylaws and the applicable provisions of the Delaware General Corporation Law carefully.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provides that it may issue 280,000,000 shares of common stock, par value $0.005 per share (“Common Stock”), and 5,000,000 shares of preferred stock, par value $0.01 per share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“ACIW.” EQ Shareowners Services is our transfer agent.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holders of Common Stock are entitled to one vote per share of record on each matter submitted to a vote of stockholders and to vote together as a single class for the election of directors and in respect of other corporate matters. At a meeting of stockholders at which a quorum is present, the affirmative vote of the holders of a majority of the stock present in person or represented by proxy and entitled to vote on the subject matter and which has actually been voted will be the act of the stockholders, unless otherwise provided in the Certificate of Incorporation, the Bylaws, a Preferred Stock Designation (as defined in the Certificate of Incorporation) or by law. The election of directors is determined by a plurality vote. Holders of Common Stock do not have cumulative voting rights, dividend rights, preemptive rights, liquidation rights or conversion rights. The rights, preferences and privileges of holders of Common stock are subject to, and may be adversely affected by, the rights of the holders of any series of Preferred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(the “Board”) has the authority to issue Preferred Stock from time to time in one or more series. The Board has the authority to determine the terms of each series of Preferred Stock, within the limits of the Certificate of Incorporation and the Delaware General Corporation Law, including the number of shares in a series, dividend rights, preemptive rights, sinking fund provisions, liquidation rights, redemption rights, conversion rights and voting rights. The rights, preferences and privileges of holders of Common Stock are subject to the rights of the holders of Preferred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the Certificate of Incorporation, Bylaws and the Delaware General Corporation Law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the Company’s Certificate of Incorporation and Bylaws and the Delaware General Corporation Law summarized below may have an anti-takeover effect and may delay, defer or prevent a tender offer or takeover attempt.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Common Stock and Preferred Stock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shares of authorized and unissued Common Stock will be available for future issuance without additional stockholder approval. The existence of authorized but unissued shares of Common Stock may enable our Board to render more difficult or to discourage an attempt to obtain control of the Company by means of a merger, tender offer or otherwise. Additionally, our Certificate of Incorporation also authorizes our Board, without further stockholder approval, to issue one or more series of Preferred Stock, which could have voting and conversion rights that adversely affect or dilute the voting power of the holders of our Common Stock.</w:t>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Special Meetings of the Stockholders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meetings of the stockholders may only be called by the Company’s (i) Chairman, (ii) President, or (iii) Secretary within ten calendar days after a written request of a majority of the total number of directors of the Board that the Company would have if there were no vacancies. Requests for a special meeting must be sent to the Company’s Chairman and Secretary and must state the purpose of the proposed meeting.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Provisions Relating to Stockholder Proposals and Nominees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Bylaws contain provisions requiring stockholders to give advance written notice to the Company of a director nomination in order to have the nominee considered at an annual meeting of stockholders. The notice for a shareholder proposal must be received not less than 90 days prior nor more than 120 days prior to the first anniversary of the date of the immediately preceding year’s annual meeting of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Bylaws provide that the authorized number of directors of the Board will be determined from time to time only by a vote of a majority of the entire Board, but which authorized number will be no less than three and no more than ten.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subject to the rights of the holders of any series of Preferred Stock, vacancies on the Board, whether resulting from newly created directorships or from death, resignation, disqualification or removal, will be filled solely by the affirmative vote of a majority of the remaining Directors then in office, even if less than a quorum of the Board, or by a sole remaining director.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Law</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ectPr>
          <w:pgSz w:w="11900" w:h="16838" w:orient="portrait"/>
          <w:cols w:equalWidth="0" w:num="1">
            <w:col w:w="11240"/>
          </w:cols>
          <w:pgMar w:left="320" w:top="101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320"/>
        <w:spacing w:after="0" w:line="302" w:lineRule="auto"/>
        <w:rPr>
          <w:sz w:val="20"/>
          <w:szCs w:val="20"/>
          <w:color w:val="auto"/>
        </w:rPr>
      </w:pPr>
      <w:r>
        <w:rPr>
          <w:rFonts w:ascii="Arial" w:cs="Arial" w:eastAsia="Arial" w:hAnsi="Arial"/>
          <w:sz w:val="86"/>
          <w:szCs w:val="86"/>
          <w:b w:val="1"/>
          <w:bCs w:val="1"/>
          <w:color w:val="2725DD"/>
        </w:rPr>
        <w:t>ACI STOCK TRADING POLICY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808080"/>
        </w:rPr>
        <w:t>REVISION DATE</w:t>
      </w:r>
      <w:r>
        <w:rPr>
          <w:rFonts w:ascii="Arial" w:cs="Arial" w:eastAsia="Arial" w:hAnsi="Arial"/>
          <w:sz w:val="17"/>
          <w:szCs w:val="17"/>
          <w:color w:val="808080"/>
        </w:rPr>
        <w:t>: 10-30-24</w:t>
      </w:r>
    </w:p>
    <w:p>
      <w:pPr>
        <w:sectPr>
          <w:pgSz w:w="11900" w:h="16838" w:orient="portrait"/>
          <w:cols w:equalWidth="0" w:num="1">
            <w:col w:w="11240"/>
          </w:cols>
          <w:pgMar w:left="320" w:top="117"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7"/>
          <w:szCs w:val="27"/>
          <w:b w:val="1"/>
          <w:bCs w:val="1"/>
          <w:color w:val="2725DD"/>
        </w:rPr>
        <w:t>INTRODUCTION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Policy describes certain proscribed actions of Covered Persons in transactions related to Company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27"/>
          <w:szCs w:val="27"/>
          <w:b w:val="1"/>
          <w:bCs w:val="1"/>
          <w:color w:val="2725DD"/>
        </w:rPr>
        <w:t>DEFINITIONS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ACI Worldwide, Inc. (NASDAQ: ACIW) and its subsidiaries and affiliates.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 xml:space="preserve">Company Securities </w:t>
      </w:r>
      <w:r>
        <w:rPr>
          <w:rFonts w:ascii="Arial" w:cs="Arial" w:eastAsia="Arial" w:hAnsi="Arial"/>
          <w:sz w:val="18"/>
          <w:szCs w:val="18"/>
          <w:color w:val="auto"/>
        </w:rPr>
        <w:t>means all of the Company’s common stock, options to purchase common stock or any other type of securities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issue, including (but not limited to) preferred stock, convertible debentures, senior notes and warrants, as well as derivative securities that are not issued by the Company, such as exchange-traded put or call options or swaps relating to the common stock.</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Covered Persons: </w:t>
      </w:r>
      <w:r>
        <w:rPr>
          <w:rFonts w:ascii="Arial" w:cs="Arial" w:eastAsia="Arial" w:hAnsi="Arial"/>
          <w:sz w:val="18"/>
          <w:szCs w:val="18"/>
          <w:color w:val="auto"/>
        </w:rPr>
        <w:t>All employees, officers, consultants, contractors and members of the board of directors of the Company, as well as (i)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each such person’s immediate family and household, and (ii) entities controlled by individuals subject to this Policy, are covered by this Policy.</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2725DD"/>
        </w:rPr>
        <w:t>ROLES AND RESPONSIBILITIES</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Policy applies to all Covered Persons. Covered Persons are responsible for making sure that transactions involving Company Securities are in compliance with this policy.</w:t>
      </w:r>
    </w:p>
    <w:p>
      <w:pPr>
        <w:spacing w:after="0" w:line="156" w:lineRule="exact"/>
        <w:rPr>
          <w:sz w:val="20"/>
          <w:szCs w:val="20"/>
          <w:color w:val="auto"/>
        </w:rPr>
      </w:pPr>
    </w:p>
    <w:p>
      <w:pPr>
        <w:spacing w:after="0"/>
        <w:rPr>
          <w:sz w:val="20"/>
          <w:szCs w:val="20"/>
          <w:color w:val="auto"/>
        </w:rPr>
      </w:pPr>
      <w:r>
        <w:rPr>
          <w:rFonts w:ascii="Arial" w:cs="Arial" w:eastAsia="Arial" w:hAnsi="Arial"/>
          <w:sz w:val="27"/>
          <w:szCs w:val="27"/>
          <w:b w:val="1"/>
          <w:bCs w:val="1"/>
          <w:color w:val="2725DD"/>
        </w:rPr>
        <w:t>POLICY CONTENT</w:t>
      </w:r>
    </w:p>
    <w:p>
      <w:pPr>
        <w:spacing w:after="0" w:line="22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Covered Person may, directly or indirectly, engage in a transaction involving Company Securities while in possession of Material Non-Public Information.</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Preclearance</w:t>
      </w:r>
      <w:r>
        <w:rPr>
          <w:rFonts w:ascii="Arial" w:cs="Arial" w:eastAsia="Arial" w:hAnsi="Arial"/>
          <w:sz w:val="18"/>
          <w:szCs w:val="18"/>
          <w:color w:val="auto"/>
        </w:rPr>
        <w:t>: Members of the board of directors and employees who are senior vice presidents and above (a “</w:t>
      </w:r>
      <w:r>
        <w:rPr>
          <w:rFonts w:ascii="Arial" w:cs="Arial" w:eastAsia="Arial" w:hAnsi="Arial"/>
          <w:sz w:val="18"/>
          <w:szCs w:val="18"/>
          <w:b w:val="1"/>
          <w:bCs w:val="1"/>
          <w:color w:val="auto"/>
        </w:rPr>
        <w:t>Restricted Person</w:t>
      </w:r>
      <w:r>
        <w:rPr>
          <w:rFonts w:ascii="Arial" w:cs="Arial" w:eastAsia="Arial" w:hAnsi="Arial"/>
          <w:sz w:val="18"/>
          <w:szCs w:val="18"/>
          <w:color w:val="auto"/>
        </w:rPr>
        <w:t>”) must preclear any transaction in Company Securities. Preclearance may be provided by the Company’s General Counsel. A Restricted Person’s request for preclearance should be submitted in writing to the General Counsel at least three business days in advanced of the proposed transaction. When a request for preclearance is made, the requestor should carefully consider whether he or she may be aware of Material Non-Public Information about the Company and should describe fully those circumstances to the General Counsel. The General Counsel is under no obligation to approve a transaction submitted for preclearance and may determine not to permit the transaction. If a Restricted Person seeks preclearance and permission to engage in a transaction and such preclearance is denied, the Restricted Person should refrain from initiating any transaction in Company Securities and should not incluform any other person of the restriction.</w:t>
      </w:r>
    </w:p>
    <w:p>
      <w:pPr>
        <w:spacing w:after="0" w:line="18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u w:val="single" w:color="auto"/>
          <w:color w:val="auto"/>
        </w:rPr>
        <w:t>Insider Status</w:t>
      </w:r>
      <w:r>
        <w:rPr>
          <w:rFonts w:ascii="Arial" w:cs="Arial" w:eastAsia="Arial" w:hAnsi="Arial"/>
          <w:sz w:val="18"/>
          <w:szCs w:val="18"/>
          <w:color w:val="auto"/>
        </w:rPr>
        <w:t>: Any person who possesses Material Non-Public Information is considered an “Insider” for as long as the information is not publicly known. Insiders may not make trading recommendations or express opinions about the value of Company Securities.</w:t>
      </w:r>
    </w:p>
    <w:p>
      <w:pPr>
        <w:spacing w:after="0" w:line="15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u w:val="single" w:color="auto"/>
          <w:color w:val="auto"/>
        </w:rPr>
        <w:t>Tipping</w:t>
      </w:r>
      <w:r>
        <w:rPr>
          <w:rFonts w:ascii="Arial" w:cs="Arial" w:eastAsia="Arial" w:hAnsi="Arial"/>
          <w:sz w:val="18"/>
          <w:szCs w:val="18"/>
          <w:color w:val="auto"/>
        </w:rPr>
        <w:t>: No Insider may disclose (“tip”) Material Non-Public Information to any other person who may trade in Company Securities or “tip” someone else.</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Non-public information relating to the Company or parties who have provided the Company with non-public information is the property of the Company or such other party, and the unauthorized disclosure of such information is forbidden.</w:t>
      </w:r>
    </w:p>
    <w:p>
      <w:pPr>
        <w:spacing w:after="0" w:line="153" w:lineRule="exact"/>
        <w:rPr>
          <w:sz w:val="20"/>
          <w:szCs w:val="20"/>
          <w:color w:val="auto"/>
        </w:rPr>
      </w:pPr>
    </w:p>
    <w:p>
      <w:pPr>
        <w:ind w:right="580"/>
        <w:spacing w:after="0" w:line="296" w:lineRule="auto"/>
        <w:rPr>
          <w:sz w:val="20"/>
          <w:szCs w:val="20"/>
          <w:color w:val="auto"/>
        </w:rPr>
      </w:pPr>
      <w:r>
        <w:rPr>
          <w:rFonts w:ascii="Arial" w:cs="Arial" w:eastAsia="Arial" w:hAnsi="Arial"/>
          <w:sz w:val="18"/>
          <w:szCs w:val="18"/>
          <w:u w:val="single" w:color="auto"/>
          <w:color w:val="auto"/>
        </w:rPr>
        <w:t>Information Regarding Other Companies</w:t>
      </w:r>
      <w:r>
        <w:rPr>
          <w:rFonts w:ascii="Arial" w:cs="Arial" w:eastAsia="Arial" w:hAnsi="Arial"/>
          <w:sz w:val="18"/>
          <w:szCs w:val="18"/>
          <w:color w:val="auto"/>
        </w:rPr>
        <w:t>: This Policy applies to Material Non-Public Information relating to the Company’s customers, vendors, partners and other businesses (“</w:t>
      </w:r>
      <w:r>
        <w:rPr>
          <w:rFonts w:ascii="Arial" w:cs="Arial" w:eastAsia="Arial" w:hAnsi="Arial"/>
          <w:sz w:val="18"/>
          <w:szCs w:val="18"/>
          <w:b w:val="1"/>
          <w:bCs w:val="1"/>
          <w:color w:val="auto"/>
        </w:rPr>
        <w:t>Company Business</w:t>
      </w:r>
    </w:p>
    <w:p>
      <w:pPr>
        <w:sectPr>
          <w:pgSz w:w="11900" w:h="16838" w:orient="portrait"/>
          <w:cols w:equalWidth="0" w:num="1">
            <w:col w:w="11200"/>
          </w:cols>
          <w:pgMar w:left="320" w:top="1420" w:right="379" w:bottom="1440" w:gutter="0" w:footer="0" w:header="0"/>
        </w:sectPr>
      </w:pPr>
    </w:p>
    <w:bookmarkStart w:id="92" w:name="page93"/>
    <w:bookmarkEnd w:id="92"/>
    <w:p>
      <w:pPr>
        <w:ind w:right="40"/>
        <w:spacing w:after="0" w:line="257" w:lineRule="auto"/>
        <w:rPr>
          <w:sz w:val="20"/>
          <w:szCs w:val="20"/>
          <w:color w:val="auto"/>
        </w:rPr>
      </w:pPr>
      <w:r>
        <w:rPr>
          <w:rFonts w:ascii="Arial" w:cs="Arial" w:eastAsia="Arial" w:hAnsi="Arial"/>
          <w:sz w:val="18"/>
          <w:szCs w:val="18"/>
          <w:b w:val="1"/>
          <w:bCs w:val="1"/>
          <w:color w:val="auto"/>
        </w:rPr>
        <w:t>Partners</w:t>
      </w:r>
      <w:r>
        <w:rPr>
          <w:rFonts w:ascii="Arial" w:cs="Arial" w:eastAsia="Arial" w:hAnsi="Arial"/>
          <w:sz w:val="18"/>
          <w:szCs w:val="18"/>
          <w:color w:val="auto"/>
        </w:rPr>
        <w:t>”) when that information is obtained in the course of employment with, or through services performed on behalf of, the Company. It</w:t>
      </w:r>
      <w:r>
        <w:rPr>
          <w:rFonts w:ascii="Arial" w:cs="Arial" w:eastAsia="Arial" w:hAnsi="Arial"/>
          <w:sz w:val="18"/>
          <w:szCs w:val="18"/>
          <w:b w:val="1"/>
          <w:bCs w:val="1"/>
          <w:color w:val="auto"/>
        </w:rPr>
        <w:t xml:space="preserve"> </w:t>
      </w:r>
      <w:r>
        <w:rPr>
          <w:rFonts w:ascii="Arial" w:cs="Arial" w:eastAsia="Arial" w:hAnsi="Arial"/>
          <w:sz w:val="18"/>
          <w:szCs w:val="18"/>
          <w:color w:val="auto"/>
        </w:rPr>
        <w:t>is generally impermissible to trade in securities of any company if trading is based upon information that was obtained under an obligation of confidentiality to the Company. Information should be treated as confidential where the information is material and non-public and the original source of the information has not given express permission to use the information to engage in a securities transaction. Each Covered Person must treat Material Non-Public Information about Company Business Partners with the same care required with respect to the Company’s Material Non-Public Information.</w:t>
      </w: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Stock Trading Black-Out Period</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Transacting in Company Securities is prohibited during the period commencing on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last month of each quarter through the second business day following the public release of the Company’s financial results for that quarter (the “</w:t>
      </w:r>
      <w:r>
        <w:rPr>
          <w:rFonts w:ascii="Arial" w:cs="Arial" w:eastAsia="Arial" w:hAnsi="Arial"/>
          <w:sz w:val="17"/>
          <w:szCs w:val="17"/>
          <w:b w:val="1"/>
          <w:bCs w:val="1"/>
          <w:color w:val="auto"/>
        </w:rPr>
        <w:t>Stock Trading Black-Out Period</w:t>
      </w:r>
      <w:r>
        <w:rPr>
          <w:rFonts w:ascii="Arial" w:cs="Arial" w:eastAsia="Arial" w:hAnsi="Arial"/>
          <w:sz w:val="17"/>
          <w:szCs w:val="17"/>
          <w:color w:val="auto"/>
        </w:rPr>
        <w:t>”).</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pending stock orders, including limit orders, must expire upon commencement of the Stock Trading Black-Out Period, except as otherwise contemplated by a 10b5-1 Trading Plan (defined below).</w:t>
      </w:r>
    </w:p>
    <w:p>
      <w:pPr>
        <w:spacing w:after="0" w:line="1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an event may occur that is material to the Company and is known by only a few Covered Persons. So long as the event remains material and non-public, these Covered Persons designated by the General Counsel may not trade Company Securities. In addition, the Company’s financial results may be sufficiently material in a particular fiscal quarter that, in the judgment of the General Counsel, these designated Covered Persons should refrain from trading in Company Securities even sooner than the typical Stock Trading Black-Out Period described above. In that situation, the General Counsel may notify these Company Persons that they should not trade in Company Securities without disclosing the reason for the restriction. The existence of an event-specific trading restriction period or extension of a Stock Trading Black-Out Period will not be announced to the Company as a whole and should not be communicated to any other person. Even if the General Counsel has not designated a specific Covered Person as a person who should not trade due to an event-specific restriction, such Covered Person should not trade while aware of Material Non-Public Information. Exceptions will not be granted during an event-specific trading restriction period.</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7"/>
          <w:szCs w:val="17"/>
          <w:b w:val="1"/>
          <w:bCs w:val="1"/>
          <w:color w:val="auto"/>
        </w:rPr>
        <w:t>10b5-1 Trading Plans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Notwithstanding the foregoing restrictions on trading, Covered Persons may execute trades in Company Securities during a Stock Trading Black-Out Period or a time when he or she possesses Material Non-Public Information if such trades are pursuant to a prearranged written trading contract, instruction or plan (a “</w:t>
      </w:r>
      <w:r>
        <w:rPr>
          <w:rFonts w:ascii="Arial" w:cs="Arial" w:eastAsia="Arial" w:hAnsi="Arial"/>
          <w:sz w:val="17"/>
          <w:szCs w:val="17"/>
          <w:b w:val="1"/>
          <w:bCs w:val="1"/>
          <w:color w:val="auto"/>
        </w:rPr>
        <w:t>10b5-1 Trading Plan</w:t>
      </w:r>
      <w:r>
        <w:rPr>
          <w:rFonts w:ascii="Arial" w:cs="Arial" w:eastAsia="Arial" w:hAnsi="Arial"/>
          <w:sz w:val="17"/>
          <w:szCs w:val="17"/>
          <w:color w:val="auto"/>
        </w:rPr>
        <w:t>”) that (a) complies with Rule 10b5-1 of the Securities Exchange Act of 1934; (b) is not entered into during a Blackout Period or such other time when the Covered Person possesses any material nonpublic information; and</w:t>
      </w:r>
    </w:p>
    <w:p>
      <w:pPr>
        <w:spacing w:after="0" w:line="2" w:lineRule="exact"/>
        <w:rPr>
          <w:sz w:val="20"/>
          <w:szCs w:val="20"/>
          <w:color w:val="auto"/>
        </w:rPr>
      </w:pPr>
    </w:p>
    <w:p>
      <w:pPr>
        <w:ind w:right="80" w:firstLine="8"/>
        <w:spacing w:after="0" w:line="253"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approved in advance of its implementation by the Company’s General Counsel. Any 10b5-1 Trading Plan must be submitted for approval to the Company’s General Counsel at least five business days prior to the entry into the 10b5-1 Trading Plan. Any Covered Person party to a 10b5-1 Trading Plan must also obtain the approval of the Company’s General Counsel prior to amending or terminating such plan. Any trades consummated pursuant to a 10b5-1 Trading Plan must promptly be reported to the Company’s General Counsel. Note that SEC rules require the Company to disclose on a quarterly basis the name of each director or officer having an outstanding 10b5-1 Trading Plan and certain material terms of that 10b5-1 Trading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Short-Swing Transactions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U.S. securities laws require that members of the board of directors and executive officers who engage in short-swing transactions in Company Securities relinquish all profits to the Company. Short- swing transactions are purchases and sales (or sales and purchases) within six months.</w:t>
      </w:r>
    </w:p>
    <w:p>
      <w:pPr>
        <w:sectPr>
          <w:pgSz w:w="11900" w:h="16838" w:orient="portrait"/>
          <w:cols w:equalWidth="0" w:num="1">
            <w:col w:w="11240"/>
          </w:cols>
          <w:pgMar w:left="320" w:top="141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V.  Prohibition on Hedging; Derivative Securities; Pledging and Short Sales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Members of the board of directors and executive officers may not engage in hedging or transactions involving derivatives related to Company Securities (excluding the exercise of Company-issued stock options), nor may they pledge Company Securities or effect short sales or sales “against the box.”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Transactions under Company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Policy does not apply in the case of the following transactions, except as specifically noted:</w:t>
      </w:r>
    </w:p>
    <w:p>
      <w:pPr>
        <w:spacing w:after="0" w:line="225" w:lineRule="exact"/>
        <w:rPr>
          <w:sz w:val="20"/>
          <w:szCs w:val="20"/>
          <w:color w:val="auto"/>
        </w:rPr>
      </w:pPr>
    </w:p>
    <w:p>
      <w:pPr>
        <w:ind w:left="660" w:right="420" w:hanging="328"/>
        <w:spacing w:after="0" w:line="262" w:lineRule="auto"/>
        <w:tabs>
          <w:tab w:leader="none" w:pos="655"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Restricted Stock Awards. This Policy does not apply to the acquisition of shares of Company common stock upon vesting of restricted stock or the exercise of a tax withholding right pursuant to which the Company withholds shares of stock to satisfy tax withholding requirements upon the vesting of any restricted stock. The Policy does apply, however, to any market sale of vested shares of restricted stock.</w:t>
      </w:r>
    </w:p>
    <w:p>
      <w:pPr>
        <w:spacing w:after="0" w:line="175"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 Exercises. This Policy does not apply to the exercise of stock options acquired pursuant to the Company’s plans or to the exercise of a tax withholding right pursuant to which the Company withholds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75" w:lineRule="exact"/>
        <w:rPr>
          <w:rFonts w:ascii="Times New Roman" w:cs="Times New Roman" w:eastAsia="Times New Roman" w:hAnsi="Times New Roman"/>
          <w:sz w:val="18"/>
          <w:szCs w:val="18"/>
          <w:color w:val="auto"/>
        </w:rPr>
      </w:pPr>
    </w:p>
    <w:p>
      <w:pPr>
        <w:ind w:left="660" w:right="360" w:hanging="328"/>
        <w:spacing w:after="0" w:line="286" w:lineRule="auto"/>
        <w:tabs>
          <w:tab w:leader="none" w:pos="655"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Other Similar Transactions. Any other purchase of Company Securities from the Company or sales of Company Securities to the Company are not subject to this Policy.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Definition of Material Non-Public Information</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is any material information about the Company that has not yet become publicly available. It is not possible to define all categories of material information. However, information should be regarded as material if there is a reasonable likelihood that it would be considered important to an investor in making a decision regarding the purchase or sale of Company Securities. While it may be difficult under this standard to determine whether particular information is material, there are various categories of information that are particularly sensitive and, as a general rule, should be considered material, such as:</w:t>
      </w:r>
    </w:p>
    <w:p>
      <w:pPr>
        <w:spacing w:after="0" w:line="179" w:lineRule="exact"/>
        <w:rPr>
          <w:sz w:val="20"/>
          <w:szCs w:val="20"/>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Preliminary financial results</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Projections</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News about a merger, acquisition divestiture or joint venture</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Gain or Loss of a substantial customer or supplier</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New product announcements of a significant nature</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 dividends, etc.</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litigation</w:t>
      </w:r>
    </w:p>
    <w:p>
      <w:pPr>
        <w:spacing w:after="0" w:line="224" w:lineRule="exact"/>
        <w:rPr>
          <w:rFonts w:ascii="Times New Roman" w:cs="Times New Roman" w:eastAsia="Times New Roman" w:hAnsi="Times New Roman"/>
          <w:sz w:val="18"/>
          <w:szCs w:val="18"/>
          <w:color w:val="auto"/>
        </w:rPr>
      </w:pPr>
    </w:p>
    <w:p>
      <w:pPr>
        <w:ind w:left="2100" w:hanging="148"/>
        <w:spacing w:after="0"/>
        <w:tabs>
          <w:tab w:leader="none" w:pos="21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Either positive or negative information may be material.</w:t>
      </w:r>
    </w:p>
    <w:p>
      <w:pPr>
        <w:sectPr>
          <w:pgSz w:w="11900" w:h="16838" w:orient="portrait"/>
          <w:cols w:equalWidth="0" w:num="1">
            <w:col w:w="11220"/>
          </w:cols>
          <w:pgMar w:left="320" w:top="1417" w:right="359" w:bottom="1440" w:gutter="0" w:footer="0" w:header="0"/>
        </w:sectPr>
      </w:pPr>
    </w:p>
    <w:bookmarkStart w:id="94" w:name="page95"/>
    <w:bookmarkEnd w:id="94"/>
    <w:p>
      <w:pPr>
        <w:spacing w:after="0"/>
        <w:rPr>
          <w:sz w:val="20"/>
          <w:szCs w:val="20"/>
          <w:color w:val="auto"/>
        </w:rPr>
      </w:pPr>
      <w:r>
        <w:rPr>
          <w:rFonts w:ascii="Arial" w:cs="Arial" w:eastAsia="Arial" w:hAnsi="Arial"/>
          <w:sz w:val="27"/>
          <w:szCs w:val="27"/>
          <w:b w:val="1"/>
          <w:bCs w:val="1"/>
          <w:color w:val="2725DD"/>
        </w:rPr>
        <w:t>POLICY GOVERNANCE</w:t>
      </w:r>
    </w:p>
    <w:p>
      <w:pPr>
        <w:spacing w:after="0" w:line="2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This Policy covers all transactions relating to Company Securities</w:t>
      </w:r>
      <w:r>
        <w:rPr>
          <w:rFonts w:ascii="Arial" w:cs="Arial" w:eastAsia="Arial" w:hAnsi="Arial"/>
          <w:sz w:val="18"/>
          <w:szCs w:val="18"/>
          <w:color w:val="auto"/>
        </w:rPr>
        <w:t>. This policy is not limited to the purchase and sale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 Company reserves the right to modify this policy and all procedures associated with this policy, in its sole discretion, at any time.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General Counsel shall be responsible for administration of this Policy. All determinations and interpretations by the General Counsel shall be final and not subject to further review. The General Counsel shall facilitate the review of this Policy by the board of directors or a committee thereof at least every two years to properly reflect the law and best practices on insider trading.</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2725DD"/>
        </w:rPr>
        <w:t>POLICY COMPLIANCE</w:t>
      </w:r>
    </w:p>
    <w:p>
      <w:pPr>
        <w:spacing w:after="0" w:line="22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Failure to comply with this Policy will result in disciplinary action. Violation of U.S. securities laws may result in significant civil and criminal liability, including penalties of up to $5 million and up to 20 years in prison for insider trading.</w:t>
      </w:r>
    </w:p>
    <w:p>
      <w:pPr>
        <w:sectPr>
          <w:pgSz w:w="11900" w:h="16838" w:orient="portrait"/>
          <w:cols w:equalWidth="0" w:num="1">
            <w:col w:w="11180"/>
          </w:cols>
          <w:pgMar w:left="320" w:top="1420" w:right="3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ACI Worldwide, Inc., omitting subsidiaries which, considered in the aggregate as a single subsidiary, would not constitute a significant subsidiary as of December 31, 2024:</w:t>
      </w:r>
    </w:p>
    <w:p>
      <w:pPr>
        <w:sectPr>
          <w:pgSz w:w="11900" w:h="16838" w:orient="portrait"/>
          <w:cols w:equalWidth="0" w:num="1">
            <w:col w:w="11240"/>
          </w:cols>
          <w:pgMar w:left="320" w:top="995" w:right="339" w:bottom="1440" w:gutter="0" w:footer="0" w:header="0"/>
        </w:sectPr>
      </w:pP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(Pacific) Pty. Ltd.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Payments, Inc.</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Applied Communications Holding GmbH</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Solutions Private Limited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Applied Communications GPC Limited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Applied Communications (Ireland) Limited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(Mexico) S.A. de C.V.</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Corp.</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B.V.</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(Asia) Pte. Ltd.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South Africa (Proprietary) Ltd.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Applied Communications Inc. U.K. Holding Limited</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ACI Worldwide (EMEA) Limited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ectPr>
          <w:pgSz w:w="11900" w:h="16838" w:orient="portrait"/>
          <w:cols w:equalWidth="0" w:num="2">
            <w:col w:w="4920" w:space="720"/>
            <w:col w:w="5600"/>
          </w:cols>
          <w:pgMar w:left="320" w:top="995" w:right="33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333-123263, 333-146794, 333-182584, 333-212948, 333-169293, 333-219608, 333-239054, and 333-272329 on Form S-8 of our reports dated February 27, 2025, relating to the financial statements of ACI Worldwide, Inc. and the effectiveness of ACI Worldwide, Inc.’s internal control over financial reporting appearing in this Annual Report on Form 10-K for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99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Warsop, certify that:</w:t>
      </w:r>
    </w:p>
    <w:p>
      <w:pPr>
        <w:spacing w:after="0" w:line="117"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ACI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00" w:right="20" w:hanging="6"/>
        <w:spacing w:after="0" w:line="282" w:lineRule="auto"/>
        <w:tabs>
          <w:tab w:leader="none" w:pos="7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00" w:hanging="6"/>
        <w:spacing w:after="0" w:line="282" w:lineRule="auto"/>
        <w:tabs>
          <w:tab w:leader="none" w:pos="7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THOMAS W. WARSOP, III</w:t>
            </w:r>
          </w:p>
        </w:tc>
      </w:tr>
      <w:tr>
        <w:trPr>
          <w:trHeight w:val="216"/>
        </w:trPr>
        <w:tc>
          <w:tcPr>
            <w:tcW w:w="51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W. Warsop, III</w:t>
            </w:r>
          </w:p>
        </w:tc>
      </w:tr>
      <w:tr>
        <w:trPr>
          <w:trHeight w:val="182"/>
        </w:trPr>
        <w:tc>
          <w:tcPr>
            <w:tcW w:w="5100" w:type="dxa"/>
            <w:vAlign w:val="bottom"/>
          </w:tcPr>
          <w:p>
            <w:pPr>
              <w:spacing w:after="0"/>
              <w:rPr>
                <w:sz w:val="15"/>
                <w:szCs w:val="15"/>
                <w:color w:val="auto"/>
              </w:rPr>
            </w:pPr>
          </w:p>
        </w:tc>
        <w:tc>
          <w:tcPr>
            <w:tcW w:w="56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 (Principal Executive</w:t>
            </w:r>
          </w:p>
        </w:tc>
      </w:tr>
      <w:tr>
        <w:trPr>
          <w:trHeight w:val="236"/>
        </w:trPr>
        <w:tc>
          <w:tcPr>
            <w:tcW w:w="51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Officer)</w:t>
            </w:r>
          </w:p>
        </w:tc>
      </w:tr>
    </w:tbl>
    <w:p>
      <w:pPr>
        <w:sectPr>
          <w:pgSz w:w="11900" w:h="16838" w:orient="portrait"/>
          <w:cols w:equalWidth="0" w:num="1">
            <w:col w:w="11240"/>
          </w:cols>
          <w:pgMar w:left="320" w:top="110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Behrens, certify that:</w:t>
      </w:r>
    </w:p>
    <w:p>
      <w:pPr>
        <w:spacing w:after="0" w:line="117"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ACI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00" w:right="20" w:hanging="6"/>
        <w:spacing w:after="0" w:line="282" w:lineRule="auto"/>
        <w:tabs>
          <w:tab w:leader="none" w:pos="7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00" w:hanging="6"/>
        <w:spacing w:after="0" w:line="282" w:lineRule="auto"/>
        <w:tabs>
          <w:tab w:leader="none" w:pos="7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W. BEHRENS</w:t>
            </w:r>
          </w:p>
        </w:tc>
      </w:tr>
      <w:tr>
        <w:trPr>
          <w:trHeight w:val="216"/>
        </w:trPr>
        <w:tc>
          <w:tcPr>
            <w:tcW w:w="50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Scott W. Behrens</w:t>
            </w:r>
          </w:p>
        </w:tc>
      </w:tr>
      <w:tr>
        <w:trPr>
          <w:trHeight w:val="182"/>
        </w:trPr>
        <w:tc>
          <w:tcPr>
            <w:tcW w:w="5080" w:type="dxa"/>
            <w:vAlign w:val="bottom"/>
          </w:tcPr>
          <w:p>
            <w:pPr>
              <w:spacing w:after="0"/>
              <w:rPr>
                <w:sz w:val="15"/>
                <w:szCs w:val="15"/>
                <w:color w:val="auto"/>
              </w:rPr>
            </w:pPr>
          </w:p>
        </w:tc>
        <w:tc>
          <w:tcPr>
            <w:tcW w:w="5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 and Chief Accounting</w:t>
            </w:r>
          </w:p>
        </w:tc>
      </w:tr>
      <w:tr>
        <w:trPr>
          <w:trHeight w:val="175"/>
        </w:trPr>
        <w:tc>
          <w:tcPr>
            <w:tcW w:w="5080" w:type="dxa"/>
            <w:vAlign w:val="bottom"/>
          </w:tcPr>
          <w:p>
            <w:pPr>
              <w:spacing w:after="0"/>
              <w:rPr>
                <w:sz w:val="15"/>
                <w:szCs w:val="15"/>
                <w:color w:val="auto"/>
              </w:rPr>
            </w:pPr>
          </w:p>
        </w:tc>
        <w:tc>
          <w:tcPr>
            <w:tcW w:w="5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r>
      <w:tr>
        <w:trPr>
          <w:trHeight w:val="236"/>
        </w:trPr>
        <w:tc>
          <w:tcPr>
            <w:tcW w:w="50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110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ACI Worldwide, Inc. (the “Company”) on Form 10-K for the fiscal year ended December 31, 2024, as filed with the Securities and Exchange Commission on the date hereof (the “Report”), I, Thomas Warsop,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480" w:hanging="472"/>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540"/>
        <w:spacing w:after="0"/>
        <w:tabs>
          <w:tab w:leader="none" w:pos="72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THOMAS W. WARSOP,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572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Thomas W. Warsop, III</w:t>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 (Principal Executive</w:t>
      </w:r>
    </w:p>
    <w:p>
      <w:pPr>
        <w:ind w:left="814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240"/>
          </w:cols>
          <w:pgMar w:left="320" w:top="110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ACI Worldwide, Inc. (the “Company”) on Form 10-K for the fiscal year ended December 31, 2024, as filed with the Securities and Exchange Commission on the date hereof (the “Report”), I, Scott W. Behrens,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W. BEHRENS</w:t>
            </w:r>
          </w:p>
        </w:tc>
      </w:tr>
      <w:tr>
        <w:trPr>
          <w:trHeight w:val="216"/>
        </w:trPr>
        <w:tc>
          <w:tcPr>
            <w:tcW w:w="50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Scott W. Behrens</w:t>
            </w:r>
          </w:p>
        </w:tc>
      </w:tr>
      <w:tr>
        <w:trPr>
          <w:trHeight w:val="182"/>
        </w:trPr>
        <w:tc>
          <w:tcPr>
            <w:tcW w:w="5080" w:type="dxa"/>
            <w:vAlign w:val="bottom"/>
          </w:tcPr>
          <w:p>
            <w:pPr>
              <w:spacing w:after="0"/>
              <w:rPr>
                <w:sz w:val="15"/>
                <w:szCs w:val="15"/>
                <w:color w:val="auto"/>
              </w:rPr>
            </w:pPr>
          </w:p>
        </w:tc>
        <w:tc>
          <w:tcPr>
            <w:tcW w:w="5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 and Chief Accounting</w:t>
            </w:r>
          </w:p>
        </w:tc>
      </w:tr>
      <w:tr>
        <w:trPr>
          <w:trHeight w:val="176"/>
        </w:trPr>
        <w:tc>
          <w:tcPr>
            <w:tcW w:w="5080" w:type="dxa"/>
            <w:vAlign w:val="bottom"/>
          </w:tcPr>
          <w:p>
            <w:pPr>
              <w:spacing w:after="0"/>
              <w:rPr>
                <w:sz w:val="15"/>
                <w:szCs w:val="15"/>
                <w:color w:val="auto"/>
              </w:rPr>
            </w:pPr>
          </w:p>
        </w:tc>
        <w:tc>
          <w:tcPr>
            <w:tcW w:w="5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r>
      <w:tr>
        <w:trPr>
          <w:trHeight w:val="236"/>
        </w:trPr>
        <w:tc>
          <w:tcPr>
            <w:tcW w:w="50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99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ACI Worldwide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Recoupment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July 1, 2023</w:t>
      </w:r>
    </w:p>
    <w:p>
      <w:pPr>
        <w:spacing w:after="0"/>
        <w:rPr>
          <w:sz w:val="20"/>
          <w:szCs w:val="20"/>
          <w:color w:val="auto"/>
        </w:rPr>
      </w:pPr>
      <w:r>
        <w:rPr>
          <w:rFonts w:ascii="Times New Roman" w:cs="Times New Roman" w:eastAsia="Times New Roman" w:hAnsi="Times New Roman"/>
          <w:sz w:val="18"/>
          <w:szCs w:val="18"/>
          <w:b w:val="1"/>
          <w:bCs w:val="1"/>
          <w:color w:val="auto"/>
        </w:rPr>
        <w:t>Policy Owner: Karen Hobbs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12" w:lineRule="exact"/>
        <w:rPr>
          <w:sz w:val="20"/>
          <w:szCs w:val="20"/>
          <w:color w:val="auto"/>
        </w:rPr>
      </w:pPr>
    </w:p>
    <w:p>
      <w:pPr>
        <w:jc w:val="both"/>
        <w:ind w:right="760" w:firstLine="272"/>
        <w:spacing w:after="0" w:line="225" w:lineRule="auto"/>
        <w:rPr>
          <w:sz w:val="20"/>
          <w:szCs w:val="20"/>
          <w:color w:val="auto"/>
        </w:rPr>
      </w:pPr>
      <w:r>
        <w:rPr>
          <w:rFonts w:ascii="Times New Roman" w:cs="Times New Roman" w:eastAsia="Times New Roman" w:hAnsi="Times New Roman"/>
          <w:sz w:val="18"/>
          <w:szCs w:val="18"/>
          <w:color w:val="auto"/>
        </w:rPr>
        <w:t>As required pursuant to the listing standards of the Nasdaq Stock Market LLC]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under the Exchange Act,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w:t>
      </w:r>
    </w:p>
    <w:p>
      <w:pPr>
        <w:jc w:val="both"/>
        <w:ind w:right="760"/>
        <w:spacing w:after="0" w:line="218" w:lineRule="auto"/>
        <w:rPr>
          <w:sz w:val="20"/>
          <w:szCs w:val="20"/>
          <w:color w:val="auto"/>
        </w:rPr>
      </w:pPr>
      <w:r>
        <w:rPr>
          <w:rFonts w:ascii="Times New Roman" w:cs="Times New Roman" w:eastAsia="Times New Roman" w:hAnsi="Times New Roman"/>
          <w:sz w:val="18"/>
          <w:szCs w:val="18"/>
          <w:color w:val="auto"/>
        </w:rPr>
        <w:t>ACI Worldwide,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Compensation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require the Company, as directed by the Board or the Compensation and Leadership Development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to recover Covered Compensation (as defined below) erroneously awarded to a Covered Officer (as defined below) in the event of an Accounting Restatement (as defined below).</w:t>
      </w:r>
    </w:p>
    <w:p>
      <w:pPr>
        <w:spacing w:after="0" w:line="199" w:lineRule="exact"/>
        <w:rPr>
          <w:sz w:val="20"/>
          <w:szCs w:val="20"/>
          <w:color w:val="auto"/>
        </w:rPr>
      </w:pPr>
    </w:p>
    <w:p>
      <w:pPr>
        <w:jc w:val="both"/>
        <w:ind w:right="760" w:firstLine="207"/>
        <w:spacing w:after="0" w:line="216" w:lineRule="auto"/>
        <w:rPr>
          <w:sz w:val="20"/>
          <w:szCs w:val="20"/>
          <w:color w:val="auto"/>
        </w:rPr>
      </w:pPr>
      <w:r>
        <w:rPr>
          <w:rFonts w:ascii="Times New Roman" w:cs="Times New Roman" w:eastAsia="Times New Roman" w:hAnsi="Times New Roman"/>
          <w:sz w:val="18"/>
          <w:szCs w:val="18"/>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final listing standards adopted by the Stock Exchange, and any applicable SEC or Stock Exchange guidance or interpretations issued from time to time regarding such</w:t>
      </w:r>
    </w:p>
    <w:p>
      <w:pPr>
        <w:spacing w:after="0" w:line="1" w:lineRule="exact"/>
        <w:rPr>
          <w:sz w:val="20"/>
          <w:szCs w:val="20"/>
          <w:color w:val="auto"/>
        </w:rPr>
      </w:pPr>
    </w:p>
    <w:p>
      <w:pPr>
        <w:jc w:val="both"/>
        <w:ind w:right="780"/>
        <w:spacing w:after="0" w:line="226" w:lineRule="auto"/>
        <w:rPr>
          <w:sz w:val="20"/>
          <w:szCs w:val="20"/>
          <w:color w:val="auto"/>
        </w:rPr>
      </w:pPr>
      <w:r>
        <w:rPr>
          <w:rFonts w:ascii="Times New Roman" w:cs="Times New Roman" w:eastAsia="Times New Roman" w:hAnsi="Times New Roman"/>
          <w:sz w:val="18"/>
          <w:szCs w:val="18"/>
          <w:color w:val="auto"/>
        </w:rPr>
        <w:t>Covered Compensation recovery requirements (collectively, the “</w:t>
      </w:r>
      <w:r>
        <w:rPr>
          <w:rFonts w:ascii="Times New Roman" w:cs="Times New Roman" w:eastAsia="Times New Roman" w:hAnsi="Times New Roman"/>
          <w:sz w:val="18"/>
          <w:szCs w:val="18"/>
          <w:b w:val="1"/>
          <w:bCs w:val="1"/>
          <w:i w:val="1"/>
          <w:iCs w:val="1"/>
          <w:color w:val="auto"/>
        </w:rPr>
        <w:t>Final Guidance</w:t>
      </w:r>
      <w:r>
        <w:rPr>
          <w:rFonts w:ascii="Times New Roman" w:cs="Times New Roman" w:eastAsia="Times New Roman" w:hAnsi="Times New Roman"/>
          <w:sz w:val="18"/>
          <w:szCs w:val="18"/>
          <w:color w:val="auto"/>
        </w:rPr>
        <w:t>”). Questions regarding this Policy should be directed to the Chief Human Resources Officer (“</w:t>
      </w:r>
      <w:r>
        <w:rPr>
          <w:rFonts w:ascii="Times New Roman" w:cs="Times New Roman" w:eastAsia="Times New Roman" w:hAnsi="Times New Roman"/>
          <w:sz w:val="18"/>
          <w:szCs w:val="18"/>
          <w:b w:val="1"/>
          <w:bCs w:val="1"/>
          <w:i w:val="1"/>
          <w:iCs w:val="1"/>
          <w:color w:val="auto"/>
        </w:rPr>
        <w:t>CHRO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229" w:lineRule="exact"/>
        <w:rPr>
          <w:sz w:val="20"/>
          <w:szCs w:val="20"/>
          <w:color w:val="auto"/>
        </w:rPr>
      </w:pPr>
    </w:p>
    <w:p>
      <w:pPr>
        <w:jc w:val="both"/>
        <w:ind w:right="760" w:firstLine="261"/>
        <w:spacing w:after="0" w:line="216" w:lineRule="auto"/>
        <w:rPr>
          <w:sz w:val="20"/>
          <w:szCs w:val="20"/>
          <w:color w:val="auto"/>
        </w:rPr>
      </w:pPr>
      <w:r>
        <w:rPr>
          <w:rFonts w:ascii="Times New Roman" w:cs="Times New Roman" w:eastAsia="Times New Roman" w:hAnsi="Times New Roman"/>
          <w:sz w:val="18"/>
          <w:szCs w:val="18"/>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w:t>
      </w:r>
    </w:p>
    <w:p>
      <w:pPr>
        <w:spacing w:after="0" w:line="1" w:lineRule="exact"/>
        <w:rPr>
          <w:sz w:val="20"/>
          <w:szCs w:val="20"/>
          <w:color w:val="auto"/>
        </w:rPr>
      </w:pPr>
    </w:p>
    <w:p>
      <w:pPr>
        <w:jc w:val="both"/>
        <w:ind w:right="760"/>
        <w:spacing w:after="0" w:line="208" w:lineRule="auto"/>
        <w:rPr>
          <w:sz w:val="20"/>
          <w:szCs w:val="20"/>
          <w:color w:val="auto"/>
        </w:rPr>
      </w:pPr>
      <w:r>
        <w:rPr>
          <w:rFonts w:ascii="Times New Roman" w:cs="Times New Roman" w:eastAsia="Times New Roman" w:hAnsi="Times New Roman"/>
          <w:sz w:val="18"/>
          <w:szCs w:val="18"/>
          <w:color w:val="auto"/>
        </w:rPr>
        <w:t>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 Clawback Exception applies with respect to a Covered Officer, the Company may forgo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under this Policy from such Covered Officer.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spacing w:after="0" w:line="225" w:lineRule="exact"/>
        <w:rPr>
          <w:sz w:val="20"/>
          <w:szCs w:val="20"/>
          <w:color w:val="auto"/>
        </w:rPr>
      </w:pPr>
    </w:p>
    <w:p>
      <w:pPr>
        <w:jc w:val="both"/>
        <w:ind w:right="760" w:firstLine="186"/>
        <w:spacing w:after="0" w:line="227"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is defined as any current or former “Section 16 officer” of the Company within the meaning of Rule 16a-1(f) under the Exchange Act, as determined by the Board or the Committee. Covered Officers include, at a minimum, “executive officers” as defined in Rule 3b-7 under the Exchange Act and identified under Item 401(b) of Regulation 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397" w:lineRule="exact"/>
        <w:rPr>
          <w:sz w:val="20"/>
          <w:szCs w:val="20"/>
          <w:color w:val="auto"/>
        </w:rPr>
      </w:pPr>
    </w:p>
    <w:p>
      <w:pPr>
        <w:ind w:left="980" w:right="1060" w:hanging="324"/>
        <w:spacing w:after="0" w:line="225"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Compensation</w:t>
      </w:r>
      <w:r>
        <w:rPr>
          <w:rFonts w:ascii="Times New Roman" w:cs="Times New Roman" w:eastAsia="Times New Roman" w:hAnsi="Times New Roman"/>
          <w:sz w:val="18"/>
          <w:szCs w:val="18"/>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86" w:lineRule="exact"/>
        <w:rPr>
          <w:rFonts w:ascii="Times New Roman" w:cs="Times New Roman" w:eastAsia="Times New Roman" w:hAnsi="Times New Roman"/>
          <w:sz w:val="18"/>
          <w:szCs w:val="18"/>
          <w:color w:val="auto"/>
        </w:rPr>
      </w:pPr>
    </w:p>
    <w:p>
      <w:pPr>
        <w:ind w:left="980" w:right="94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sectPr>
          <w:pgSz w:w="11900" w:h="16838" w:orient="portrait"/>
          <w:cols w:equalWidth="0" w:num="1">
            <w:col w:w="11240"/>
          </w:cols>
          <w:pgMar w:left="320" w:top="104" w:right="339" w:bottom="1440" w:gutter="0" w:footer="0" w:header="0"/>
        </w:sectPr>
      </w:pPr>
    </w:p>
    <w:bookmarkStart w:id="102" w:name="page103"/>
    <w:bookmarkEnd w:id="102"/>
    <w:p>
      <w:pPr>
        <w:ind w:left="980" w:right="220"/>
        <w:spacing w:after="0" w:line="222"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w:t>
      </w:r>
    </w:p>
    <w:p>
      <w:pPr>
        <w:spacing w:after="0" w:line="2" w:lineRule="exact"/>
        <w:rPr>
          <w:sz w:val="20"/>
          <w:szCs w:val="20"/>
          <w:color w:val="auto"/>
        </w:rPr>
      </w:pPr>
    </w:p>
    <w:p>
      <w:pPr>
        <w:ind w:left="980" w:right="100"/>
        <w:spacing w:after="0" w:line="208" w:lineRule="auto"/>
        <w:rPr>
          <w:sz w:val="20"/>
          <w:szCs w:val="20"/>
          <w:color w:val="auto"/>
        </w:rPr>
      </w:pPr>
      <w:r>
        <w:rPr>
          <w:rFonts w:ascii="Times New Roman" w:cs="Times New Roman" w:eastAsia="Times New Roman" w:hAnsi="Times New Roman"/>
          <w:sz w:val="18"/>
          <w:szCs w:val="18"/>
          <w:color w:val="auto"/>
        </w:rPr>
        <w:t>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determination of such reasonable estimate.</w:t>
      </w:r>
    </w:p>
    <w:p>
      <w:pPr>
        <w:spacing w:after="0" w:line="188" w:lineRule="exact"/>
        <w:rPr>
          <w:sz w:val="20"/>
          <w:szCs w:val="20"/>
          <w:color w:val="auto"/>
        </w:rPr>
      </w:pPr>
    </w:p>
    <w:p>
      <w:pPr>
        <w:ind w:left="980" w:right="220" w:hanging="324"/>
        <w:spacing w:after="0" w:line="221"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94" w:lineRule="exact"/>
        <w:rPr>
          <w:rFonts w:ascii="Times New Roman" w:cs="Times New Roman" w:eastAsia="Times New Roman" w:hAnsi="Times New Roman"/>
          <w:sz w:val="18"/>
          <w:szCs w:val="18"/>
          <w:color w:val="auto"/>
        </w:rPr>
      </w:pPr>
    </w:p>
    <w:p>
      <w:pPr>
        <w:ind w:left="980" w:right="340" w:hanging="324"/>
        <w:spacing w:after="0" w:line="227"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95" w:lineRule="exact"/>
        <w:rPr>
          <w:rFonts w:ascii="Times New Roman" w:cs="Times New Roman" w:eastAsia="Times New Roman" w:hAnsi="Times New Roman"/>
          <w:sz w:val="18"/>
          <w:szCs w:val="18"/>
          <w:color w:val="auto"/>
        </w:rPr>
      </w:pPr>
    </w:p>
    <w:p>
      <w:pPr>
        <w:ind w:left="980" w:right="380" w:hanging="324"/>
        <w:spacing w:after="0" w:line="227"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212" w:lineRule="exact"/>
        <w:rPr>
          <w:sz w:val="20"/>
          <w:szCs w:val="20"/>
          <w:color w:val="auto"/>
        </w:rPr>
      </w:pPr>
    </w:p>
    <w:p>
      <w:pPr>
        <w:ind w:right="40" w:firstLine="180"/>
        <w:spacing w:after="0" w:line="238" w:lineRule="auto"/>
        <w:rPr>
          <w:sz w:val="20"/>
          <w:szCs w:val="20"/>
          <w:color w:val="auto"/>
        </w:rPr>
      </w:pPr>
      <w:r>
        <w:rPr>
          <w:rFonts w:ascii="Times New Roman" w:cs="Times New Roman" w:eastAsia="Times New Roman" w:hAnsi="Times New Roman"/>
          <w:sz w:val="17"/>
          <w:szCs w:val="17"/>
          <w:color w:val="auto"/>
        </w:rPr>
        <w:t>For purposes of this Policy, the applicable “</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is defined as the three completed fiscal years immediately preceding the Trigger Date (as defined below) and, if applicable, any transition period resulting from a change in the Company’s fiscal year within or immediately</w:t>
      </w:r>
    </w:p>
    <w:p>
      <w:pPr>
        <w:spacing w:after="0" w:line="1"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95" w:lineRule="exact"/>
        <w:rPr>
          <w:sz w:val="20"/>
          <w:szCs w:val="20"/>
          <w:color w:val="auto"/>
        </w:rPr>
      </w:pPr>
    </w:p>
    <w:p>
      <w:pPr>
        <w:ind w:right="100" w:firstLine="180"/>
        <w:spacing w:after="0" w:line="217" w:lineRule="auto"/>
        <w:rPr>
          <w:sz w:val="20"/>
          <w:szCs w:val="20"/>
          <w:color w:val="auto"/>
        </w:rPr>
      </w:pPr>
      <w:r>
        <w:rPr>
          <w:rFonts w:ascii="Times New Roman" w:cs="Times New Roman" w:eastAsia="Times New Roman" w:hAnsi="Times New Roman"/>
          <w:sz w:val="18"/>
          <w:szCs w:val="18"/>
          <w:color w:val="auto"/>
        </w:rPr>
        <w:t>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legally authorized body directs the Company to prepare the Accounting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 Restatement</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unless (i) one of the following conditions are met and (ii) the Committee has made a determination that recovery would be impracticable in accordance with Rule 10D-1 under the Exchange Act (under such circumstances, a “</w:t>
      </w:r>
      <w:r>
        <w:rPr>
          <w:rFonts w:ascii="Times New Roman" w:cs="Times New Roman" w:eastAsia="Times New Roman" w:hAnsi="Times New Roman"/>
          <w:sz w:val="18"/>
          <w:szCs w:val="18"/>
          <w:b w:val="1"/>
          <w:bCs w:val="1"/>
          <w:i w:val="1"/>
          <w:iCs w:val="1"/>
          <w:color w:val="auto"/>
        </w:rPr>
        <w:t>Clawback Exception</w:t>
      </w:r>
      <w:r>
        <w:rPr>
          <w:rFonts w:ascii="Times New Roman" w:cs="Times New Roman" w:eastAsia="Times New Roman" w:hAnsi="Times New Roman"/>
          <w:sz w:val="18"/>
          <w:szCs w:val="18"/>
          <w:color w:val="auto"/>
        </w:rPr>
        <w:t>” applies):</w:t>
      </w:r>
    </w:p>
    <w:p>
      <w:pPr>
        <w:spacing w:after="0" w:line="184" w:lineRule="exact"/>
        <w:rPr>
          <w:sz w:val="20"/>
          <w:szCs w:val="20"/>
          <w:color w:val="auto"/>
        </w:rPr>
      </w:pPr>
    </w:p>
    <w:p>
      <w:pPr>
        <w:jc w:val="both"/>
        <w:ind w:left="980" w:hanging="324"/>
        <w:spacing w:after="0" w:line="231"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20"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480"/>
          </w:cols>
          <w:pgMar w:left="320" w:top="1404" w:right="10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16" w:lineRule="exact"/>
        <w:rPr>
          <w:sz w:val="20"/>
          <w:szCs w:val="20"/>
          <w:color w:val="auto"/>
        </w:rPr>
      </w:pPr>
    </w:p>
    <w:p>
      <w:pPr>
        <w:jc w:val="both"/>
        <w:ind w:firstLine="328"/>
        <w:spacing w:after="0" w:line="250" w:lineRule="auto"/>
        <w:rPr>
          <w:sz w:val="20"/>
          <w:szCs w:val="20"/>
          <w:color w:val="auto"/>
        </w:rPr>
      </w:pPr>
      <w:r>
        <w:rPr>
          <w:rFonts w:ascii="Times New Roman" w:cs="Times New Roman" w:eastAsia="Times New Roman" w:hAnsi="Times New Roman"/>
          <w:sz w:val="18"/>
          <w:szCs w:val="18"/>
          <w:color w:val="auto"/>
        </w:rPr>
        <w:t>The Company is prohibited from paying or reimbursing for insurance for, or indemnifying, any Covered Officer against the loss of erroneously awarded Covered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Committee will administer this Policy in accordance with the Final Guidance, and will have full and exclusive authority and discretion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supplement, amend, repeal, interpret, terminate, construe, modify, replace and/or enforce (in whole or in part) this Policy, including the authority to correct any defect, supply any omission or reconcile any ambiguity, inconsistency or conflict in the Policy, subject to the Final Guidance. This Policy is in addition to and is not intended to modify any other compensation recoupment or clawback policies, arrangements or provisions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w:t>
      </w:r>
      <w:r>
        <w:rPr>
          <w:rFonts w:ascii="Times New Roman" w:cs="Times New Roman" w:eastAsia="Times New Roman" w:hAnsi="Times New Roman"/>
          <w:sz w:val="18"/>
          <w:szCs w:val="18"/>
          <w:b w:val="1"/>
          <w:bCs w:val="1"/>
          <w:i w:val="1"/>
          <w:iCs w:val="1"/>
          <w:color w:val="auto"/>
        </w:rPr>
        <w:t>Other Recovery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recovery of compensation is achieved under this Policy, there shall be no duplication of recovery under Other Recovery Provisions, except as may be required by law. The Committee will review the Policy from time to time and will have full and exclusive authority to take any action it deems appropriate.</w:t>
      </w:r>
    </w:p>
    <w:p>
      <w:pPr>
        <w:spacing w:after="0" w:line="199" w:lineRule="exact"/>
        <w:rPr>
          <w:sz w:val="20"/>
          <w:szCs w:val="20"/>
          <w:color w:val="auto"/>
        </w:rPr>
      </w:pPr>
    </w:p>
    <w:p>
      <w:pPr>
        <w:jc w:val="both"/>
        <w:ind w:firstLine="207"/>
        <w:spacing w:after="0" w:line="226"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98" w:lineRule="exact"/>
        <w:rPr>
          <w:sz w:val="20"/>
          <w:szCs w:val="20"/>
          <w:color w:val="auto"/>
        </w:rPr>
      </w:pPr>
    </w:p>
    <w:p>
      <w:pPr>
        <w:jc w:val="both"/>
        <w:ind w:right="20" w:firstLine="378"/>
        <w:spacing w:after="0" w:line="216" w:lineRule="auto"/>
        <w:rPr>
          <w:sz w:val="20"/>
          <w:szCs w:val="20"/>
          <w:color w:val="auto"/>
        </w:rPr>
      </w:pPr>
      <w:r>
        <w:rPr>
          <w:rFonts w:ascii="Times New Roman" w:cs="Times New Roman" w:eastAsia="Times New Roman" w:hAnsi="Times New Roman"/>
          <w:sz w:val="18"/>
          <w:szCs w:val="18"/>
          <w:color w:val="auto"/>
        </w:rPr>
        <w:t>Each Covered Officer, upon being so designated or assuming such position, is required to execute and deliver to the CHRO an acknowledgment of and consent to this Policy, in a form reasonably acceptable to and provided by the Company from time to time, (i) acknowledging and consenting to be bound by the terms of this Policy, (ii) agreeing to fully cooperate with the Company in connection with any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firstLine="274"/>
        <w:spacing w:after="0" w:line="226" w:lineRule="auto"/>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480"/>
          </w:cols>
          <w:pgMar w:left="320" w:top="1400" w:right="1099" w:bottom="1440" w:gutter="0" w:footer="0" w:header="0"/>
        </w:sectPr>
      </w:pPr>
    </w:p>
    <w:bookmarkStart w:id="104" w:name="page105"/>
    <w:bookmarkEnd w:id="10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ACI WORLDWIDE, INC.</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Compensation Recoupment Policy Acknowledgment and Consent</w:t>
      </w:r>
    </w:p>
    <w:p>
      <w:pPr>
        <w:spacing w:after="0" w:line="210" w:lineRule="exact"/>
        <w:rPr>
          <w:sz w:val="20"/>
          <w:szCs w:val="20"/>
          <w:color w:val="auto"/>
        </w:rPr>
      </w:pPr>
    </w:p>
    <w:p>
      <w:pPr>
        <w:ind w:firstLine="212"/>
        <w:spacing w:after="0" w:line="225" w:lineRule="auto"/>
        <w:rPr>
          <w:sz w:val="20"/>
          <w:szCs w:val="20"/>
          <w:color w:val="auto"/>
        </w:rPr>
      </w:pPr>
      <w:r>
        <w:rPr>
          <w:rFonts w:ascii="Times New Roman" w:cs="Times New Roman" w:eastAsia="Times New Roman" w:hAnsi="Times New Roman"/>
          <w:sz w:val="22"/>
          <w:szCs w:val="22"/>
          <w:color w:val="auto"/>
        </w:rPr>
        <w:t>The undersigned hereby acknowledges that he or she has received and reviewed a copy of the Compensation Recoupment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of ACI Worldwide,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July 1, 2023, as adopted by the Company’s Board of Directors.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Pursuant to such Policy, the undersigned hereby:</w:t>
      </w:r>
    </w:p>
    <w:p>
      <w:pPr>
        <w:spacing w:after="0" w:line="206" w:lineRule="exact"/>
        <w:rPr>
          <w:sz w:val="20"/>
          <w:szCs w:val="20"/>
          <w:color w:val="auto"/>
        </w:rPr>
      </w:pPr>
    </w:p>
    <w:p>
      <w:pPr>
        <w:ind w:left="1300" w:right="220" w:hanging="320"/>
        <w:spacing w:after="0" w:line="236" w:lineRule="auto"/>
        <w:tabs>
          <w:tab w:leader="none" w:pos="1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he or she shall be bound by the Policy as if he or she has been designated as (or assumed the position of) a “Covered Officer” as defined in the Policy;</w:t>
      </w:r>
    </w:p>
    <w:p>
      <w:pPr>
        <w:spacing w:after="0" w:line="17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and consents to the Policy;</w:t>
      </w:r>
    </w:p>
    <w:p>
      <w:pPr>
        <w:spacing w:after="0" w:line="20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and consents to be bound by the terms of the Policy;</w:t>
      </w:r>
    </w:p>
    <w:p>
      <w:pPr>
        <w:spacing w:after="0" w:line="206" w:lineRule="exact"/>
        <w:rPr>
          <w:rFonts w:ascii="Times New Roman" w:cs="Times New Roman" w:eastAsia="Times New Roman" w:hAnsi="Times New Roman"/>
          <w:sz w:val="22"/>
          <w:szCs w:val="22"/>
          <w:color w:val="auto"/>
        </w:rPr>
      </w:pPr>
    </w:p>
    <w:p>
      <w:pPr>
        <w:ind w:left="1300" w:right="700" w:hanging="320"/>
        <w:spacing w:after="0" w:line="236" w:lineRule="auto"/>
        <w:tabs>
          <w:tab w:leader="none" w:pos="1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to fully cooperate with the Company in connection with any of the undersigned’s obligations to the Company pursuant to the Policy; and</w:t>
      </w:r>
    </w:p>
    <w:p>
      <w:pPr>
        <w:spacing w:after="0" w:line="177" w:lineRule="exact"/>
        <w:rPr>
          <w:rFonts w:ascii="Times New Roman" w:cs="Times New Roman" w:eastAsia="Times New Roman" w:hAnsi="Times New Roman"/>
          <w:sz w:val="22"/>
          <w:szCs w:val="22"/>
          <w:color w:val="auto"/>
        </w:rPr>
      </w:pPr>
    </w:p>
    <w:p>
      <w:pPr>
        <w:ind w:left="1300" w:right="120" w:hanging="320"/>
        <w:spacing w:after="0" w:line="236" w:lineRule="auto"/>
        <w:tabs>
          <w:tab w:leader="none" w:pos="1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the Company may enforce its rights under the Policy through any and all reasonable means permitted under applicable law as the Company deems necessary or desirable under the Policy.</w:t>
      </w:r>
    </w:p>
    <w:p>
      <w:pPr>
        <w:spacing w:after="0" w:line="200" w:lineRule="exact"/>
        <w:rPr>
          <w:sz w:val="20"/>
          <w:szCs w:val="20"/>
          <w:color w:val="auto"/>
        </w:rPr>
      </w:pPr>
    </w:p>
    <w:p>
      <w:pPr>
        <w:spacing w:after="0" w:line="2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-148590</wp:posOffset>
            </wp:positionV>
            <wp:extent cx="8229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________________________________</w:t>
      </w:r>
    </w:p>
    <w:p>
      <w:pPr>
        <w:ind w:left="438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b w:val="1"/>
          <w:bCs w:val="1"/>
          <w:color w:val="auto"/>
        </w:rPr>
        <w:t>[DATE]</w:t>
      </w:r>
    </w:p>
    <w:sectPr>
      <w:pgSz w:w="11900" w:h="16838" w:orient="portrait"/>
      <w:cols w:equalWidth="0" w:num="1">
        <w:col w:w="11160"/>
      </w:cols>
      <w:pgMar w:left="320" w:top="139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2"/>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lvl w:ilvl="1">
      <w:lvlJc w:val="left"/>
      <w:lvlText w:val="•"/>
      <w:numFmt w:val="bullet"/>
      <w:start w:val="1"/>
    </w:lvl>
  </w:abstractNum>
  <w:abstractNum w:abstractNumId="27">
    <w:nsid w:val="2D517796"/>
    <w:multiLevelType w:val="hybridMultilevel"/>
    <w:lvl w:ilvl="0">
      <w:lvlJc w:val="left"/>
      <w:lvlText w:val="%1"/>
      <w:numFmt w:val="decimal"/>
      <w:start w:val="702"/>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upperLetter"/>
      <w:start w:val="9"/>
    </w:lvl>
  </w:abstractNum>
  <w:abstractNum w:abstractNumId="41">
    <w:nsid w:val="6DE91B18"/>
    <w:multiLevelType w:val="hybridMultilevel"/>
    <w:lvl w:ilvl="0">
      <w:lvlJc w:val="left"/>
      <w:lvlText w:val="(%1)"/>
      <w:numFmt w:val="lowerLetter"/>
      <w:start w:val="3"/>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50" Type="http://schemas.openxmlformats.org/officeDocument/2006/relationships/hyperlink" Target="https://www.sec.gov/Archives/edgar/data/935036/000119312517261054/d421572dex31.htm" TargetMode="External"/><Relationship Id="rId151" Type="http://schemas.openxmlformats.org/officeDocument/2006/relationships/hyperlink" Target="https://www.sec.gov/Archives/edgar/data/935036/000119312522092351/d267551dex31.htm" TargetMode="External"/><Relationship Id="rId152" Type="http://schemas.openxmlformats.org/officeDocument/2006/relationships/hyperlink" Target="https://www.sec.gov/Archives/edgar/data/935036/000119312518254066/d593612dex41.htm" TargetMode="External"/><Relationship Id="rId153" Type="http://schemas.openxmlformats.org/officeDocument/2006/relationships/hyperlink" Target="https://www.sec.gov/Archives/edgar/data/935036/000119312517142922/d286119ddef14a.htm#toc286119_20" TargetMode="External"/><Relationship Id="rId154" Type="http://schemas.openxmlformats.org/officeDocument/2006/relationships/hyperlink" Target="https://www.sec.gov/Archives/edgar/data/935036/000119312514289556/d733770dex1007.htm" TargetMode="External"/><Relationship Id="rId155" Type="http://schemas.openxmlformats.org/officeDocument/2006/relationships/hyperlink" Target="https://www.sec.gov/Archives/edgar/data/935036/000095012310018148/c55806exv10w10.htm" TargetMode="External"/><Relationship Id="rId156" Type="http://schemas.openxmlformats.org/officeDocument/2006/relationships/hyperlink" Target="https://www.sec.gov/Archives/edgar/data/935036/000119312513180377/d468072ddef14a.htm#toc468072_20" TargetMode="External"/><Relationship Id="rId157" Type="http://schemas.openxmlformats.org/officeDocument/2006/relationships/hyperlink" Target="https://www.sec.gov/Archives/edgar/data/935036/000095012310084977/c60068exv4w3.htm" TargetMode="External"/><Relationship Id="rId158" Type="http://schemas.openxmlformats.org/officeDocument/2006/relationships/hyperlink" Target="https://www.sec.gov/Archives/edgar/data/935036/000119312519103349/d696047dex101.htm" TargetMode="External"/><Relationship Id="rId159" Type="http://schemas.openxmlformats.org/officeDocument/2006/relationships/hyperlink" Target="https://www.sec.gov/Archives/edgar/data/935036/000093503623000017/aciw-20230504ex_101.htm" TargetMode="External"/><Relationship Id="rId160" Type="http://schemas.openxmlformats.org/officeDocument/2006/relationships/hyperlink" Target="https://www.sec.gov/ix?doc=/Archives/edgar/data/935036/000093503624000018/aciw-20240331.htm" TargetMode="External"/><Relationship Id="rId161" Type="http://schemas.openxmlformats.org/officeDocument/2006/relationships/hyperlink" Target="https://www.sec.gov/Archives/edgar/data/935036/000119312516626525/d212597dex101.htm" TargetMode="External"/><Relationship Id="rId162" Type="http://schemas.openxmlformats.org/officeDocument/2006/relationships/hyperlink" Target="https://www.sec.gov/Archives/edgar/data/935036/000119312518060188/d527277dex1026.htm" TargetMode="External"/><Relationship Id="rId163" Type="http://schemas.openxmlformats.org/officeDocument/2006/relationships/hyperlink" Target="https://www.sec.gov/Archives/edgar/data/935036/000119312519069083/d719281dex104.htm" TargetMode="External"/><Relationship Id="rId164" Type="http://schemas.openxmlformats.org/officeDocument/2006/relationships/hyperlink" Target="https://www.sec.gov/Archives/edgar/data/935036/000119312520042369/d894804dex102.htm" TargetMode="External"/><Relationship Id="rId165" Type="http://schemas.openxmlformats.org/officeDocument/2006/relationships/hyperlink" Target="https://www.sec.gov/Archives/edgar/data/935036/000093503620000019/aciw-20200331xexx1003.htm" TargetMode="External"/><Relationship Id="rId166" Type="http://schemas.openxmlformats.org/officeDocument/2006/relationships/hyperlink" Target="https://www.sec.gov/Archives/edgar/data/935036/000093503620000019/aciw-20200331xexx1004.htm" TargetMode="External"/><Relationship Id="rId167" Type="http://schemas.openxmlformats.org/officeDocument/2006/relationships/hyperlink" Target="https://www.sec.gov/ix?doc=/Archives/edgar/data/935036/000119312523104233/d451385ddef14a.htm#rom451385_90" TargetMode="External"/><Relationship Id="rId168" Type="http://schemas.openxmlformats.org/officeDocument/2006/relationships/hyperlink" Target="https://www.sec.gov/Archives/edgar/data/935036/000093503623000031/aciw-20230630xexx1006.htm" TargetMode="External"/><Relationship Id="rId169" Type="http://schemas.openxmlformats.org/officeDocument/2006/relationships/hyperlink" Target="https://www.sec.gov/Archives/edgar/data/935036/000093503623000031/aciw-20230630xexx1007.htm" TargetMode="External"/><Relationship Id="rId170" Type="http://schemas.openxmlformats.org/officeDocument/2006/relationships/hyperlink" Target="https://www.sec.gov/Archives/edgar/data/935036/000093503623000031/aciw-20230630xexx1005.htm" TargetMode="External"/><Relationship Id="rId171" Type="http://schemas.openxmlformats.org/officeDocument/2006/relationships/hyperlink" Target="https://www.sec.gov/Archives/edgar/data/935036/000119312523157316/d448585dex101.htm" TargetMode="External"/><Relationship Id="rId172" Type="http://schemas.openxmlformats.org/officeDocument/2006/relationships/hyperlink" Target="https://www.sec.gov/Archives/edgar/data/935036/000119312523157316/d44858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2025-02-27T09:41:08Z</dcterms:created>
  <dcterms:modified xsi:type="dcterms:W3CDTF">2025-02-27T09:41:08Z</dcterms:modified>
</cp:coreProperties>
</file>