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Shultz Ronald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85"/>
        <w:spacing w:after="0"/>
        <w:rPr>
          <w:sz w:val="20"/>
          <w:szCs w:val="20"/>
          <w:color w:val="auto"/>
        </w:rPr>
      </w:pPr>
      <w:r>
        <w:rPr>
          <w:rFonts w:ascii="Times New Roman" w:cs="Times New Roman" w:eastAsia="Times New Roman" w:hAnsi="Times New Roman"/>
          <w:sz w:val="17"/>
          <w:szCs w:val="17"/>
          <w:color w:val="0000FF"/>
        </w:rPr>
        <w:t>GM, ACI Speedpay</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ELKHORN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NE</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68022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04/13/2026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13,894</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70,254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04/13/2026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6,837</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41.24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63,417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shares were granted pursuant to the Company's 2020 Equity and Performance Incentive Plan, as amended. The performance shares were earned upon the attainment of certain performance objectives for the period May 11, 2023 through February 28,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surrendered by the reporting person to pay the tax liability due upon the vesting of performance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Ronald Craig Shultz</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04/15/2026</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3900"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2026-04-15T16:28:49Z</dcterms:created>
  <dcterms:modified xsi:type="dcterms:W3CDTF">2026-04-15T16:28:49Z</dcterms:modified>
</cp:coreProperties>
</file>