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3374.xml.htm"/>
      <w:bookmarkStart w:id="1" w:name="kswkform4_17889933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Shultz Ronald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 COVENTRY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ELKHORN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ACI WORLDWIDE, INC.</w:t>
              </w:r>
            </w:hyperlink>
            <w:r>
              <w:rPr/>
              <w:t xml:space="preserve"> [ </w:t>
            </w:r>
            <w:r>
              <w:rPr>
                <w:rFonts w:ascii="Times;serif" w:hAnsi="Times;serif"/>
                <w:color w:val="0000FF"/>
                <w:sz w:val="24"/>
                <w:shd w:fill="FFFFFF" w:val="clear"/>
              </w:rPr>
              <w:t>ACIW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ACI Speedpay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60,314</w:t>
            </w:r>
            <w:r>
              <w:rPr>
                <w:rFonts w:ascii="Times;serif" w:hAnsi="Times;serif"/>
                <w:color w:val="008000"/>
                <w:position w:val="7"/>
                <w:sz w:val="16"/>
                <w:sz w:val="20"/>
                <w:shd w:fill="FFFFFF" w:val="clear"/>
              </w:rPr>
              <w:t>(2)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765</w:t>
            </w:r>
            <w:r>
              <w:rPr>
                <w:rFonts w:ascii="Times;serif" w:hAnsi="Times;serif"/>
                <w:color w:val="008000"/>
                <w:position w:val="7"/>
                <w:sz w:val="16"/>
                <w:sz w:val="20"/>
                <w:shd w:fill="FFFFFF" w:val="clear"/>
              </w:rPr>
              <w:t>(3)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59,549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724</w:t>
            </w:r>
            <w:r>
              <w:rPr>
                <w:rFonts w:ascii="Times;serif" w:hAnsi="Times;serif"/>
                <w:color w:val="008000"/>
                <w:position w:val="7"/>
                <w:sz w:val="16"/>
                <w:sz w:val="20"/>
                <w:shd w:fill="FFFFFF" w:val="clear"/>
              </w:rPr>
              <w:t>(4)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58,825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by the reporting person to pay the tax liability due upon the vesting of 782 shares, representing one twelfth of the restricted stock units granted on March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securities owned has been updated to include 113 shares acquired under the Company's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surrendered by the reporting person to pay the tax liability due upon the vesting of 1,552 shares, representing one twelfth of the restricted stock units granted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surrendered by the reporting person to pay the tax liability due upon the vesting of 1,469 shares, representing one twelfth of the restricted stock units granted on March 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Ronald Craig Shultz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3900" TargetMode="External"/><Relationship Id="rId5" Type="http://schemas.openxmlformats.org/officeDocument/2006/relationships/hyperlink" Target="http://www.sec.gov/cgi-bin/browse-edgar?action=getcompany&amp;CIK=0000935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3757</Characters>
  <CharactersWithSpaces>4370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