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287671.xml.htm"/>
      <w:bookmarkStart w:id="1" w:name="kswkform4_1776287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Warsop Thomas W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 COVENTRY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ELKHORN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ACI WORLDWIDE, INC.</w:t>
              </w:r>
            </w:hyperlink>
            <w:r>
              <w:rPr/>
              <w:t xml:space="preserve"> [ </w:t>
            </w:r>
            <w:r>
              <w:rPr>
                <w:rFonts w:ascii="Times;serif" w:hAnsi="Times;serif"/>
                <w:color w:val="0000FF"/>
                <w:sz w:val="24"/>
                <w:shd w:fill="FFFFFF" w:val="clear"/>
              </w:rPr>
              <w:t>ACIW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51"/>
        <w:gridCol w:w="446"/>
        <w:gridCol w:w="74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176,755</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560,626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69,552</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41.24</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491,074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performance shares were granted pursuant to the Company's 2020 Equity and Performance Incentive Plan, as amended. The performance shares were earned upon the attainment of certain performance objectives for the period May 11, 2023 through February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by the reporting person to pay the tax liability due upon the vesting of performance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Thomas W Warsop,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4334" TargetMode="External"/><Relationship Id="rId5" Type="http://schemas.openxmlformats.org/officeDocument/2006/relationships/hyperlink" Target="http://www.sec.gov/cgi-bin/browse-edgar?action=getcompany&amp;CIK=0000935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3415</Characters>
  <CharactersWithSpaces>3978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